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6007" w14:textId="0490998D" w:rsidR="006A7EC2" w:rsidRPr="00742C2C" w:rsidRDefault="006A7EC2" w:rsidP="00E360A0">
      <w:pPr>
        <w:tabs>
          <w:tab w:val="left" w:pos="1725"/>
        </w:tabs>
        <w:spacing w:after="0"/>
        <w:jc w:val="both"/>
        <w:rPr>
          <w:rFonts w:ascii="Georgia" w:hAnsi="Georgia" w:cs="Segoe UI"/>
          <w:b/>
          <w:color w:val="DBB132"/>
          <w:sz w:val="32"/>
          <w:szCs w:val="24"/>
        </w:rPr>
      </w:pPr>
      <w:bookmarkStart w:id="0" w:name="_Toc422754607"/>
      <w:bookmarkStart w:id="1" w:name="_GoBack"/>
      <w:bookmarkEnd w:id="1"/>
      <w:r w:rsidRPr="00742C2C">
        <w:rPr>
          <w:rFonts w:ascii="Georgia" w:hAnsi="Georgia" w:cs="Segoe UI"/>
          <w:b/>
          <w:color w:val="DBB132"/>
          <w:sz w:val="32"/>
          <w:szCs w:val="24"/>
        </w:rPr>
        <w:t>Contents</w:t>
      </w:r>
      <w:r w:rsidR="001D6455" w:rsidRPr="00742C2C">
        <w:rPr>
          <w:rFonts w:ascii="Georgia" w:hAnsi="Georgia" w:cs="Segoe UI"/>
          <w:b/>
          <w:color w:val="DBB132"/>
          <w:sz w:val="32"/>
          <w:szCs w:val="24"/>
          <w:highlight w:val="yellow"/>
        </w:rPr>
        <w:t xml:space="preserve"> </w:t>
      </w:r>
    </w:p>
    <w:p w14:paraId="5463DD62" w14:textId="77777777" w:rsidR="008F120D" w:rsidRPr="00C43D6A" w:rsidRDefault="008F120D" w:rsidP="00E360A0">
      <w:pPr>
        <w:tabs>
          <w:tab w:val="left" w:pos="1725"/>
        </w:tabs>
        <w:spacing w:after="0"/>
        <w:jc w:val="both"/>
        <w:rPr>
          <w:rFonts w:ascii="Segoe UI" w:hAnsi="Segoe UI" w:cs="Segoe UI"/>
          <w:color w:val="0F243E" w:themeColor="text2" w:themeShade="80"/>
          <w:sz w:val="14"/>
          <w:szCs w:val="40"/>
        </w:rPr>
      </w:pPr>
    </w:p>
    <w:p w14:paraId="7657D952" w14:textId="524EBBC2" w:rsidR="00A42B78" w:rsidRDefault="006A7EC2">
      <w:pPr>
        <w:pStyle w:val="TOC1"/>
        <w:rPr>
          <w:rFonts w:eastAsiaTheme="minorEastAsia"/>
          <w:b w:val="0"/>
          <w:noProof/>
          <w:lang w:eastAsia="en-GB"/>
        </w:rPr>
      </w:pPr>
      <w:r w:rsidRPr="0074724B">
        <w:rPr>
          <w:rFonts w:ascii="Segoe UI" w:hAnsi="Segoe UI" w:cs="Segoe UI"/>
          <w:color w:val="014171"/>
        </w:rPr>
        <w:fldChar w:fldCharType="begin"/>
      </w:r>
      <w:r w:rsidRPr="0074724B">
        <w:rPr>
          <w:rFonts w:ascii="Segoe UI" w:hAnsi="Segoe UI" w:cs="Segoe UI"/>
          <w:color w:val="014171"/>
        </w:rPr>
        <w:instrText xml:space="preserve"> TOC \o "1-2" \h \z \t "Daiwa_Heading_1,1" </w:instrText>
      </w:r>
      <w:r w:rsidRPr="0074724B">
        <w:rPr>
          <w:rFonts w:ascii="Segoe UI" w:hAnsi="Segoe UI" w:cs="Segoe UI"/>
          <w:color w:val="014171"/>
        </w:rPr>
        <w:fldChar w:fldCharType="separate"/>
      </w:r>
      <w:hyperlink w:anchor="_Toc122626048" w:history="1">
        <w:r w:rsidR="00A42B78" w:rsidRPr="005A6846">
          <w:rPr>
            <w:rStyle w:val="Hyperlink"/>
            <w:noProof/>
          </w:rPr>
          <w:t>1</w:t>
        </w:r>
        <w:r w:rsidR="00A42B78">
          <w:rPr>
            <w:rFonts w:eastAsiaTheme="minorEastAsia"/>
            <w:b w:val="0"/>
            <w:noProof/>
            <w:lang w:eastAsia="en-GB"/>
          </w:rPr>
          <w:tab/>
        </w:r>
        <w:r w:rsidR="00A42B78" w:rsidRPr="005A6846">
          <w:rPr>
            <w:rStyle w:val="Hyperlink"/>
            <w:noProof/>
          </w:rPr>
          <w:t>Overview</w:t>
        </w:r>
        <w:r w:rsidR="00A42B78">
          <w:rPr>
            <w:noProof/>
            <w:webHidden/>
          </w:rPr>
          <w:tab/>
        </w:r>
        <w:r w:rsidR="00A42B78">
          <w:rPr>
            <w:noProof/>
            <w:webHidden/>
          </w:rPr>
          <w:fldChar w:fldCharType="begin"/>
        </w:r>
        <w:r w:rsidR="00A42B78">
          <w:rPr>
            <w:noProof/>
            <w:webHidden/>
          </w:rPr>
          <w:instrText xml:space="preserve"> PAGEREF _Toc122626048 \h </w:instrText>
        </w:r>
        <w:r w:rsidR="00A42B78">
          <w:rPr>
            <w:noProof/>
            <w:webHidden/>
          </w:rPr>
        </w:r>
        <w:r w:rsidR="00A42B78">
          <w:rPr>
            <w:noProof/>
            <w:webHidden/>
          </w:rPr>
          <w:fldChar w:fldCharType="separate"/>
        </w:r>
        <w:r w:rsidR="000E4B6F">
          <w:rPr>
            <w:noProof/>
            <w:webHidden/>
          </w:rPr>
          <w:t>3</w:t>
        </w:r>
        <w:r w:rsidR="00A42B78">
          <w:rPr>
            <w:noProof/>
            <w:webHidden/>
          </w:rPr>
          <w:fldChar w:fldCharType="end"/>
        </w:r>
      </w:hyperlink>
    </w:p>
    <w:p w14:paraId="23391D0C" w14:textId="111F8167" w:rsidR="00A42B78" w:rsidRDefault="00BB56AD">
      <w:pPr>
        <w:pStyle w:val="TOC2"/>
        <w:rPr>
          <w:rFonts w:eastAsiaTheme="minorEastAsia" w:cstheme="minorBidi"/>
          <w:noProof/>
          <w:sz w:val="22"/>
          <w:lang w:eastAsia="en-GB"/>
        </w:rPr>
      </w:pPr>
      <w:hyperlink w:anchor="_Toc122626049" w:history="1">
        <w:r w:rsidR="00A42B78" w:rsidRPr="005A6846">
          <w:rPr>
            <w:rStyle w:val="Hyperlink"/>
            <w:noProof/>
          </w:rPr>
          <w:t>1.1</w:t>
        </w:r>
        <w:r w:rsidR="00A42B78">
          <w:rPr>
            <w:rFonts w:eastAsiaTheme="minorEastAsia" w:cstheme="minorBidi"/>
            <w:noProof/>
            <w:sz w:val="22"/>
            <w:lang w:eastAsia="en-GB"/>
          </w:rPr>
          <w:tab/>
        </w:r>
        <w:r w:rsidR="00A42B78" w:rsidRPr="005A6846">
          <w:rPr>
            <w:rStyle w:val="Hyperlink"/>
            <w:noProof/>
          </w:rPr>
          <w:t>Background</w:t>
        </w:r>
        <w:r w:rsidR="00A42B78">
          <w:rPr>
            <w:noProof/>
            <w:webHidden/>
          </w:rPr>
          <w:tab/>
        </w:r>
        <w:r w:rsidR="00A42B78">
          <w:rPr>
            <w:noProof/>
            <w:webHidden/>
          </w:rPr>
          <w:fldChar w:fldCharType="begin"/>
        </w:r>
        <w:r w:rsidR="00A42B78">
          <w:rPr>
            <w:noProof/>
            <w:webHidden/>
          </w:rPr>
          <w:instrText xml:space="preserve"> PAGEREF _Toc122626049 \h </w:instrText>
        </w:r>
        <w:r w:rsidR="00A42B78">
          <w:rPr>
            <w:noProof/>
            <w:webHidden/>
          </w:rPr>
        </w:r>
        <w:r w:rsidR="00A42B78">
          <w:rPr>
            <w:noProof/>
            <w:webHidden/>
          </w:rPr>
          <w:fldChar w:fldCharType="separate"/>
        </w:r>
        <w:r w:rsidR="000E4B6F">
          <w:rPr>
            <w:noProof/>
            <w:webHidden/>
          </w:rPr>
          <w:t>3</w:t>
        </w:r>
        <w:r w:rsidR="00A42B78">
          <w:rPr>
            <w:noProof/>
            <w:webHidden/>
          </w:rPr>
          <w:fldChar w:fldCharType="end"/>
        </w:r>
      </w:hyperlink>
    </w:p>
    <w:p w14:paraId="611C0B62" w14:textId="140DEA22" w:rsidR="00A42B78" w:rsidRDefault="00BB56AD">
      <w:pPr>
        <w:pStyle w:val="TOC2"/>
        <w:rPr>
          <w:rFonts w:eastAsiaTheme="minorEastAsia" w:cstheme="minorBidi"/>
          <w:noProof/>
          <w:sz w:val="22"/>
          <w:lang w:eastAsia="en-GB"/>
        </w:rPr>
      </w:pPr>
      <w:hyperlink w:anchor="_Toc122626050" w:history="1">
        <w:r w:rsidR="00A42B78" w:rsidRPr="005A6846">
          <w:rPr>
            <w:rStyle w:val="Hyperlink"/>
            <w:noProof/>
          </w:rPr>
          <w:t>1.2</w:t>
        </w:r>
        <w:r w:rsidR="00A42B78">
          <w:rPr>
            <w:rFonts w:eastAsiaTheme="minorEastAsia" w:cstheme="minorBidi"/>
            <w:noProof/>
            <w:sz w:val="22"/>
            <w:lang w:eastAsia="en-GB"/>
          </w:rPr>
          <w:tab/>
        </w:r>
        <w:r w:rsidR="00A42B78" w:rsidRPr="005A6846">
          <w:rPr>
            <w:rStyle w:val="Hyperlink"/>
            <w:noProof/>
          </w:rPr>
          <w:t>Structure</w:t>
        </w:r>
        <w:r w:rsidR="00A42B78">
          <w:rPr>
            <w:noProof/>
            <w:webHidden/>
          </w:rPr>
          <w:tab/>
        </w:r>
        <w:r w:rsidR="00A42B78">
          <w:rPr>
            <w:noProof/>
            <w:webHidden/>
          </w:rPr>
          <w:fldChar w:fldCharType="begin"/>
        </w:r>
        <w:r w:rsidR="00A42B78">
          <w:rPr>
            <w:noProof/>
            <w:webHidden/>
          </w:rPr>
          <w:instrText xml:space="preserve"> PAGEREF _Toc122626050 \h </w:instrText>
        </w:r>
        <w:r w:rsidR="00A42B78">
          <w:rPr>
            <w:noProof/>
            <w:webHidden/>
          </w:rPr>
        </w:r>
        <w:r w:rsidR="00A42B78">
          <w:rPr>
            <w:noProof/>
            <w:webHidden/>
          </w:rPr>
          <w:fldChar w:fldCharType="separate"/>
        </w:r>
        <w:r w:rsidR="000E4B6F">
          <w:rPr>
            <w:noProof/>
            <w:webHidden/>
          </w:rPr>
          <w:t>3</w:t>
        </w:r>
        <w:r w:rsidR="00A42B78">
          <w:rPr>
            <w:noProof/>
            <w:webHidden/>
          </w:rPr>
          <w:fldChar w:fldCharType="end"/>
        </w:r>
      </w:hyperlink>
    </w:p>
    <w:p w14:paraId="0BED8705" w14:textId="3284D7E2" w:rsidR="00A42B78" w:rsidRDefault="00BB56AD">
      <w:pPr>
        <w:pStyle w:val="TOC2"/>
        <w:rPr>
          <w:rFonts w:eastAsiaTheme="minorEastAsia" w:cstheme="minorBidi"/>
          <w:noProof/>
          <w:sz w:val="22"/>
          <w:lang w:eastAsia="en-GB"/>
        </w:rPr>
      </w:pPr>
      <w:hyperlink w:anchor="_Toc122626051" w:history="1">
        <w:r w:rsidR="00A42B78" w:rsidRPr="005A6846">
          <w:rPr>
            <w:rStyle w:val="Hyperlink"/>
            <w:noProof/>
          </w:rPr>
          <w:t>1.3</w:t>
        </w:r>
        <w:r w:rsidR="00A42B78">
          <w:rPr>
            <w:rFonts w:eastAsiaTheme="minorEastAsia" w:cstheme="minorBidi"/>
            <w:noProof/>
            <w:sz w:val="22"/>
            <w:lang w:eastAsia="en-GB"/>
          </w:rPr>
          <w:tab/>
        </w:r>
        <w:r w:rsidR="00A42B78" w:rsidRPr="005A6846">
          <w:rPr>
            <w:rStyle w:val="Hyperlink"/>
            <w:noProof/>
          </w:rPr>
          <w:t>Principal Activities</w:t>
        </w:r>
        <w:r w:rsidR="00A42B78">
          <w:rPr>
            <w:noProof/>
            <w:webHidden/>
          </w:rPr>
          <w:tab/>
        </w:r>
        <w:r w:rsidR="00A42B78">
          <w:rPr>
            <w:noProof/>
            <w:webHidden/>
          </w:rPr>
          <w:fldChar w:fldCharType="begin"/>
        </w:r>
        <w:r w:rsidR="00A42B78">
          <w:rPr>
            <w:noProof/>
            <w:webHidden/>
          </w:rPr>
          <w:instrText xml:space="preserve"> PAGEREF _Toc122626051 \h </w:instrText>
        </w:r>
        <w:r w:rsidR="00A42B78">
          <w:rPr>
            <w:noProof/>
            <w:webHidden/>
          </w:rPr>
        </w:r>
        <w:r w:rsidR="00A42B78">
          <w:rPr>
            <w:noProof/>
            <w:webHidden/>
          </w:rPr>
          <w:fldChar w:fldCharType="separate"/>
        </w:r>
        <w:r w:rsidR="000E4B6F">
          <w:rPr>
            <w:noProof/>
            <w:webHidden/>
          </w:rPr>
          <w:t>4</w:t>
        </w:r>
        <w:r w:rsidR="00A42B78">
          <w:rPr>
            <w:noProof/>
            <w:webHidden/>
          </w:rPr>
          <w:fldChar w:fldCharType="end"/>
        </w:r>
      </w:hyperlink>
    </w:p>
    <w:p w14:paraId="32618B2E" w14:textId="10A0361F" w:rsidR="00A42B78" w:rsidRDefault="00BB56AD">
      <w:pPr>
        <w:pStyle w:val="TOC2"/>
        <w:rPr>
          <w:rFonts w:eastAsiaTheme="minorEastAsia" w:cstheme="minorBidi"/>
          <w:noProof/>
          <w:sz w:val="22"/>
          <w:lang w:eastAsia="en-GB"/>
        </w:rPr>
      </w:pPr>
      <w:hyperlink w:anchor="_Toc122626052" w:history="1">
        <w:r w:rsidR="00A42B78" w:rsidRPr="005A6846">
          <w:rPr>
            <w:rStyle w:val="Hyperlink"/>
            <w:noProof/>
          </w:rPr>
          <w:t>1.4</w:t>
        </w:r>
        <w:r w:rsidR="00A42B78">
          <w:rPr>
            <w:rFonts w:eastAsiaTheme="minorEastAsia" w:cstheme="minorBidi"/>
            <w:noProof/>
            <w:sz w:val="22"/>
            <w:lang w:eastAsia="en-GB"/>
          </w:rPr>
          <w:tab/>
        </w:r>
        <w:r w:rsidR="00A42B78" w:rsidRPr="005A6846">
          <w:rPr>
            <w:rStyle w:val="Hyperlink"/>
            <w:noProof/>
          </w:rPr>
          <w:t>Basis of Disclosure - Application</w:t>
        </w:r>
        <w:r w:rsidR="00A42B78">
          <w:rPr>
            <w:noProof/>
            <w:webHidden/>
          </w:rPr>
          <w:tab/>
        </w:r>
        <w:r w:rsidR="00A42B78">
          <w:rPr>
            <w:noProof/>
            <w:webHidden/>
          </w:rPr>
          <w:fldChar w:fldCharType="begin"/>
        </w:r>
        <w:r w:rsidR="00A42B78">
          <w:rPr>
            <w:noProof/>
            <w:webHidden/>
          </w:rPr>
          <w:instrText xml:space="preserve"> PAGEREF _Toc122626052 \h </w:instrText>
        </w:r>
        <w:r w:rsidR="00A42B78">
          <w:rPr>
            <w:noProof/>
            <w:webHidden/>
          </w:rPr>
        </w:r>
        <w:r w:rsidR="00A42B78">
          <w:rPr>
            <w:noProof/>
            <w:webHidden/>
          </w:rPr>
          <w:fldChar w:fldCharType="separate"/>
        </w:r>
        <w:r w:rsidR="000E4B6F">
          <w:rPr>
            <w:noProof/>
            <w:webHidden/>
          </w:rPr>
          <w:t>4</w:t>
        </w:r>
        <w:r w:rsidR="00A42B78">
          <w:rPr>
            <w:noProof/>
            <w:webHidden/>
          </w:rPr>
          <w:fldChar w:fldCharType="end"/>
        </w:r>
      </w:hyperlink>
    </w:p>
    <w:p w14:paraId="63253EAC" w14:textId="258A272D" w:rsidR="00A42B78" w:rsidRDefault="00BB56AD">
      <w:pPr>
        <w:pStyle w:val="TOC1"/>
        <w:rPr>
          <w:rFonts w:eastAsiaTheme="minorEastAsia"/>
          <w:b w:val="0"/>
          <w:noProof/>
          <w:lang w:eastAsia="en-GB"/>
        </w:rPr>
      </w:pPr>
      <w:hyperlink w:anchor="_Toc122626053" w:history="1">
        <w:r w:rsidR="00A42B78" w:rsidRPr="005A6846">
          <w:rPr>
            <w:rStyle w:val="Hyperlink"/>
            <w:noProof/>
          </w:rPr>
          <w:t>2</w:t>
        </w:r>
        <w:r w:rsidR="00A42B78">
          <w:rPr>
            <w:rFonts w:eastAsiaTheme="minorEastAsia"/>
            <w:b w:val="0"/>
            <w:noProof/>
            <w:lang w:eastAsia="en-GB"/>
          </w:rPr>
          <w:tab/>
        </w:r>
        <w:r w:rsidR="00A42B78" w:rsidRPr="005A6846">
          <w:rPr>
            <w:rStyle w:val="Hyperlink"/>
            <w:noProof/>
          </w:rPr>
          <w:t>Risk Management (Article 47 IFR)</w:t>
        </w:r>
        <w:r w:rsidR="00A42B78">
          <w:rPr>
            <w:noProof/>
            <w:webHidden/>
          </w:rPr>
          <w:tab/>
        </w:r>
        <w:r w:rsidR="00A42B78">
          <w:rPr>
            <w:noProof/>
            <w:webHidden/>
          </w:rPr>
          <w:fldChar w:fldCharType="begin"/>
        </w:r>
        <w:r w:rsidR="00A42B78">
          <w:rPr>
            <w:noProof/>
            <w:webHidden/>
          </w:rPr>
          <w:instrText xml:space="preserve"> PAGEREF _Toc122626053 \h </w:instrText>
        </w:r>
        <w:r w:rsidR="00A42B78">
          <w:rPr>
            <w:noProof/>
            <w:webHidden/>
          </w:rPr>
        </w:r>
        <w:r w:rsidR="00A42B78">
          <w:rPr>
            <w:noProof/>
            <w:webHidden/>
          </w:rPr>
          <w:fldChar w:fldCharType="separate"/>
        </w:r>
        <w:r w:rsidR="000E4B6F">
          <w:rPr>
            <w:noProof/>
            <w:webHidden/>
          </w:rPr>
          <w:t>5</w:t>
        </w:r>
        <w:r w:rsidR="00A42B78">
          <w:rPr>
            <w:noProof/>
            <w:webHidden/>
          </w:rPr>
          <w:fldChar w:fldCharType="end"/>
        </w:r>
      </w:hyperlink>
    </w:p>
    <w:p w14:paraId="26E239F5" w14:textId="67BE7FDF" w:rsidR="00A42B78" w:rsidRDefault="00BB56AD">
      <w:pPr>
        <w:pStyle w:val="TOC2"/>
        <w:rPr>
          <w:rFonts w:eastAsiaTheme="minorEastAsia" w:cstheme="minorBidi"/>
          <w:noProof/>
          <w:sz w:val="22"/>
          <w:lang w:eastAsia="en-GB"/>
        </w:rPr>
      </w:pPr>
      <w:hyperlink w:anchor="_Toc122626054" w:history="1">
        <w:r w:rsidR="00A42B78" w:rsidRPr="005A6846">
          <w:rPr>
            <w:rStyle w:val="Hyperlink"/>
            <w:noProof/>
          </w:rPr>
          <w:t>2.1</w:t>
        </w:r>
        <w:r w:rsidR="00A42B78">
          <w:rPr>
            <w:rFonts w:eastAsiaTheme="minorEastAsia" w:cstheme="minorBidi"/>
            <w:noProof/>
            <w:sz w:val="22"/>
            <w:lang w:eastAsia="en-GB"/>
          </w:rPr>
          <w:tab/>
        </w:r>
        <w:r w:rsidR="00A42B78" w:rsidRPr="005A6846">
          <w:rPr>
            <w:rStyle w:val="Hyperlink"/>
            <w:noProof/>
          </w:rPr>
          <w:t>Overview</w:t>
        </w:r>
        <w:r w:rsidR="00A42B78">
          <w:rPr>
            <w:noProof/>
            <w:webHidden/>
          </w:rPr>
          <w:tab/>
        </w:r>
        <w:r w:rsidR="00A42B78">
          <w:rPr>
            <w:noProof/>
            <w:webHidden/>
          </w:rPr>
          <w:fldChar w:fldCharType="begin"/>
        </w:r>
        <w:r w:rsidR="00A42B78">
          <w:rPr>
            <w:noProof/>
            <w:webHidden/>
          </w:rPr>
          <w:instrText xml:space="preserve"> PAGEREF _Toc122626054 \h </w:instrText>
        </w:r>
        <w:r w:rsidR="00A42B78">
          <w:rPr>
            <w:noProof/>
            <w:webHidden/>
          </w:rPr>
        </w:r>
        <w:r w:rsidR="00A42B78">
          <w:rPr>
            <w:noProof/>
            <w:webHidden/>
          </w:rPr>
          <w:fldChar w:fldCharType="separate"/>
        </w:r>
        <w:r w:rsidR="000E4B6F">
          <w:rPr>
            <w:noProof/>
            <w:webHidden/>
          </w:rPr>
          <w:t>5</w:t>
        </w:r>
        <w:r w:rsidR="00A42B78">
          <w:rPr>
            <w:noProof/>
            <w:webHidden/>
          </w:rPr>
          <w:fldChar w:fldCharType="end"/>
        </w:r>
      </w:hyperlink>
    </w:p>
    <w:p w14:paraId="4FD62DF1" w14:textId="34741055" w:rsidR="00A42B78" w:rsidRDefault="00BB56AD">
      <w:pPr>
        <w:pStyle w:val="TOC2"/>
        <w:rPr>
          <w:rFonts w:eastAsiaTheme="minorEastAsia" w:cstheme="minorBidi"/>
          <w:noProof/>
          <w:sz w:val="22"/>
          <w:lang w:eastAsia="en-GB"/>
        </w:rPr>
      </w:pPr>
      <w:hyperlink w:anchor="_Toc122626055" w:history="1">
        <w:r w:rsidR="00A42B78" w:rsidRPr="005A6846">
          <w:rPr>
            <w:rStyle w:val="Hyperlink"/>
            <w:noProof/>
          </w:rPr>
          <w:t>2.2</w:t>
        </w:r>
        <w:r w:rsidR="00A42B78">
          <w:rPr>
            <w:rFonts w:eastAsiaTheme="minorEastAsia" w:cstheme="minorBidi"/>
            <w:noProof/>
            <w:sz w:val="22"/>
            <w:lang w:eastAsia="en-GB"/>
          </w:rPr>
          <w:tab/>
        </w:r>
        <w:r w:rsidR="00A42B78" w:rsidRPr="005A6846">
          <w:rPr>
            <w:rStyle w:val="Hyperlink"/>
            <w:noProof/>
          </w:rPr>
          <w:t>Three Lines of Defence</w:t>
        </w:r>
        <w:r w:rsidR="00A42B78">
          <w:rPr>
            <w:noProof/>
            <w:webHidden/>
          </w:rPr>
          <w:tab/>
        </w:r>
        <w:r w:rsidR="00A42B78">
          <w:rPr>
            <w:noProof/>
            <w:webHidden/>
          </w:rPr>
          <w:fldChar w:fldCharType="begin"/>
        </w:r>
        <w:r w:rsidR="00A42B78">
          <w:rPr>
            <w:noProof/>
            <w:webHidden/>
          </w:rPr>
          <w:instrText xml:space="preserve"> PAGEREF _Toc122626055 \h </w:instrText>
        </w:r>
        <w:r w:rsidR="00A42B78">
          <w:rPr>
            <w:noProof/>
            <w:webHidden/>
          </w:rPr>
        </w:r>
        <w:r w:rsidR="00A42B78">
          <w:rPr>
            <w:noProof/>
            <w:webHidden/>
          </w:rPr>
          <w:fldChar w:fldCharType="separate"/>
        </w:r>
        <w:r w:rsidR="000E4B6F">
          <w:rPr>
            <w:noProof/>
            <w:webHidden/>
          </w:rPr>
          <w:t>5</w:t>
        </w:r>
        <w:r w:rsidR="00A42B78">
          <w:rPr>
            <w:noProof/>
            <w:webHidden/>
          </w:rPr>
          <w:fldChar w:fldCharType="end"/>
        </w:r>
      </w:hyperlink>
    </w:p>
    <w:p w14:paraId="66AD4A65" w14:textId="0B6C97C4" w:rsidR="00A42B78" w:rsidRDefault="00BB56AD">
      <w:pPr>
        <w:pStyle w:val="TOC2"/>
        <w:rPr>
          <w:rFonts w:eastAsiaTheme="minorEastAsia" w:cstheme="minorBidi"/>
          <w:noProof/>
          <w:sz w:val="22"/>
          <w:lang w:eastAsia="en-GB"/>
        </w:rPr>
      </w:pPr>
      <w:hyperlink w:anchor="_Toc122626056" w:history="1">
        <w:r w:rsidR="00A42B78" w:rsidRPr="005A6846">
          <w:rPr>
            <w:rStyle w:val="Hyperlink"/>
            <w:noProof/>
          </w:rPr>
          <w:t>2.3</w:t>
        </w:r>
        <w:r w:rsidR="00A42B78">
          <w:rPr>
            <w:rFonts w:eastAsiaTheme="minorEastAsia" w:cstheme="minorBidi"/>
            <w:noProof/>
            <w:sz w:val="22"/>
            <w:lang w:eastAsia="en-GB"/>
          </w:rPr>
          <w:tab/>
        </w:r>
        <w:r w:rsidR="00A42B78" w:rsidRPr="005A6846">
          <w:rPr>
            <w:rStyle w:val="Hyperlink"/>
            <w:noProof/>
          </w:rPr>
          <w:t>Material Risks</w:t>
        </w:r>
        <w:r w:rsidR="00A42B78">
          <w:rPr>
            <w:noProof/>
            <w:webHidden/>
          </w:rPr>
          <w:tab/>
        </w:r>
        <w:r w:rsidR="00A42B78">
          <w:rPr>
            <w:noProof/>
            <w:webHidden/>
          </w:rPr>
          <w:fldChar w:fldCharType="begin"/>
        </w:r>
        <w:r w:rsidR="00A42B78">
          <w:rPr>
            <w:noProof/>
            <w:webHidden/>
          </w:rPr>
          <w:instrText xml:space="preserve"> PAGEREF _Toc122626056 \h </w:instrText>
        </w:r>
        <w:r w:rsidR="00A42B78">
          <w:rPr>
            <w:noProof/>
            <w:webHidden/>
          </w:rPr>
        </w:r>
        <w:r w:rsidR="00A42B78">
          <w:rPr>
            <w:noProof/>
            <w:webHidden/>
          </w:rPr>
          <w:fldChar w:fldCharType="separate"/>
        </w:r>
        <w:r w:rsidR="000E4B6F">
          <w:rPr>
            <w:noProof/>
            <w:webHidden/>
          </w:rPr>
          <w:t>6</w:t>
        </w:r>
        <w:r w:rsidR="00A42B78">
          <w:rPr>
            <w:noProof/>
            <w:webHidden/>
          </w:rPr>
          <w:fldChar w:fldCharType="end"/>
        </w:r>
      </w:hyperlink>
    </w:p>
    <w:p w14:paraId="210BE859" w14:textId="046BC2CD" w:rsidR="00A42B78" w:rsidRDefault="00BB56AD">
      <w:pPr>
        <w:pStyle w:val="TOC2"/>
        <w:rPr>
          <w:rFonts w:eastAsiaTheme="minorEastAsia" w:cstheme="minorBidi"/>
          <w:noProof/>
          <w:sz w:val="22"/>
          <w:lang w:eastAsia="en-GB"/>
        </w:rPr>
      </w:pPr>
      <w:hyperlink w:anchor="_Toc122626057" w:history="1">
        <w:r w:rsidR="00A42B78" w:rsidRPr="005A6846">
          <w:rPr>
            <w:rStyle w:val="Hyperlink"/>
            <w:noProof/>
          </w:rPr>
          <w:t>2.4</w:t>
        </w:r>
        <w:r w:rsidR="00A42B78">
          <w:rPr>
            <w:rFonts w:eastAsiaTheme="minorEastAsia" w:cstheme="minorBidi"/>
            <w:noProof/>
            <w:sz w:val="22"/>
            <w:lang w:eastAsia="en-GB"/>
          </w:rPr>
          <w:tab/>
        </w:r>
        <w:r w:rsidR="00A42B78" w:rsidRPr="005A6846">
          <w:rPr>
            <w:rStyle w:val="Hyperlink"/>
            <w:noProof/>
          </w:rPr>
          <w:t>Climate Risk</w:t>
        </w:r>
        <w:r w:rsidR="00A42B78">
          <w:rPr>
            <w:noProof/>
            <w:webHidden/>
          </w:rPr>
          <w:tab/>
        </w:r>
        <w:r w:rsidR="00A42B78">
          <w:rPr>
            <w:noProof/>
            <w:webHidden/>
          </w:rPr>
          <w:fldChar w:fldCharType="begin"/>
        </w:r>
        <w:r w:rsidR="00A42B78">
          <w:rPr>
            <w:noProof/>
            <w:webHidden/>
          </w:rPr>
          <w:instrText xml:space="preserve"> PAGEREF _Toc122626057 \h </w:instrText>
        </w:r>
        <w:r w:rsidR="00A42B78">
          <w:rPr>
            <w:noProof/>
            <w:webHidden/>
          </w:rPr>
        </w:r>
        <w:r w:rsidR="00A42B78">
          <w:rPr>
            <w:noProof/>
            <w:webHidden/>
          </w:rPr>
          <w:fldChar w:fldCharType="separate"/>
        </w:r>
        <w:r w:rsidR="000E4B6F">
          <w:rPr>
            <w:noProof/>
            <w:webHidden/>
          </w:rPr>
          <w:t>14</w:t>
        </w:r>
        <w:r w:rsidR="00A42B78">
          <w:rPr>
            <w:noProof/>
            <w:webHidden/>
          </w:rPr>
          <w:fldChar w:fldCharType="end"/>
        </w:r>
      </w:hyperlink>
    </w:p>
    <w:p w14:paraId="60DD6822" w14:textId="3115E84B" w:rsidR="00A42B78" w:rsidRDefault="00BB56AD">
      <w:pPr>
        <w:pStyle w:val="TOC2"/>
        <w:rPr>
          <w:rFonts w:eastAsiaTheme="minorEastAsia" w:cstheme="minorBidi"/>
          <w:noProof/>
          <w:sz w:val="22"/>
          <w:lang w:eastAsia="en-GB"/>
        </w:rPr>
      </w:pPr>
      <w:hyperlink w:anchor="_Toc122626058" w:history="1">
        <w:r w:rsidR="00A42B78" w:rsidRPr="005A6846">
          <w:rPr>
            <w:rStyle w:val="Hyperlink"/>
            <w:noProof/>
          </w:rPr>
          <w:t>2.5</w:t>
        </w:r>
        <w:r w:rsidR="00A42B78">
          <w:rPr>
            <w:rFonts w:eastAsiaTheme="minorEastAsia" w:cstheme="minorBidi"/>
            <w:noProof/>
            <w:sz w:val="22"/>
            <w:lang w:eastAsia="en-GB"/>
          </w:rPr>
          <w:tab/>
        </w:r>
        <w:r w:rsidR="00A42B78" w:rsidRPr="005A6846">
          <w:rPr>
            <w:rStyle w:val="Hyperlink"/>
            <w:noProof/>
          </w:rPr>
          <w:t>Stress Testing</w:t>
        </w:r>
        <w:r w:rsidR="00A42B78">
          <w:rPr>
            <w:noProof/>
            <w:webHidden/>
          </w:rPr>
          <w:tab/>
        </w:r>
        <w:r w:rsidR="00A42B78">
          <w:rPr>
            <w:noProof/>
            <w:webHidden/>
          </w:rPr>
          <w:fldChar w:fldCharType="begin"/>
        </w:r>
        <w:r w:rsidR="00A42B78">
          <w:rPr>
            <w:noProof/>
            <w:webHidden/>
          </w:rPr>
          <w:instrText xml:space="preserve"> PAGEREF _Toc122626058 \h </w:instrText>
        </w:r>
        <w:r w:rsidR="00A42B78">
          <w:rPr>
            <w:noProof/>
            <w:webHidden/>
          </w:rPr>
        </w:r>
        <w:r w:rsidR="00A42B78">
          <w:rPr>
            <w:noProof/>
            <w:webHidden/>
          </w:rPr>
          <w:fldChar w:fldCharType="separate"/>
        </w:r>
        <w:r w:rsidR="000E4B6F">
          <w:rPr>
            <w:noProof/>
            <w:webHidden/>
          </w:rPr>
          <w:t>14</w:t>
        </w:r>
        <w:r w:rsidR="00A42B78">
          <w:rPr>
            <w:noProof/>
            <w:webHidden/>
          </w:rPr>
          <w:fldChar w:fldCharType="end"/>
        </w:r>
      </w:hyperlink>
    </w:p>
    <w:p w14:paraId="28F0DD55" w14:textId="5567D8A5" w:rsidR="00A42B78" w:rsidRDefault="00BB56AD">
      <w:pPr>
        <w:pStyle w:val="TOC1"/>
        <w:rPr>
          <w:rFonts w:eastAsiaTheme="minorEastAsia"/>
          <w:b w:val="0"/>
          <w:noProof/>
          <w:lang w:eastAsia="en-GB"/>
        </w:rPr>
      </w:pPr>
      <w:hyperlink w:anchor="_Toc122626059" w:history="1">
        <w:r w:rsidR="00A42B78" w:rsidRPr="005A6846">
          <w:rPr>
            <w:rStyle w:val="Hyperlink"/>
            <w:noProof/>
          </w:rPr>
          <w:t>3</w:t>
        </w:r>
        <w:r w:rsidR="00A42B78">
          <w:rPr>
            <w:rFonts w:eastAsiaTheme="minorEastAsia"/>
            <w:b w:val="0"/>
            <w:noProof/>
            <w:lang w:eastAsia="en-GB"/>
          </w:rPr>
          <w:tab/>
        </w:r>
        <w:r w:rsidR="00A42B78" w:rsidRPr="005A6846">
          <w:rPr>
            <w:rStyle w:val="Hyperlink"/>
            <w:noProof/>
          </w:rPr>
          <w:t>Governance Arrangements (Article 48 IFR)</w:t>
        </w:r>
        <w:r w:rsidR="00A42B78">
          <w:rPr>
            <w:noProof/>
            <w:webHidden/>
          </w:rPr>
          <w:tab/>
        </w:r>
        <w:r w:rsidR="00A42B78">
          <w:rPr>
            <w:noProof/>
            <w:webHidden/>
          </w:rPr>
          <w:fldChar w:fldCharType="begin"/>
        </w:r>
        <w:r w:rsidR="00A42B78">
          <w:rPr>
            <w:noProof/>
            <w:webHidden/>
          </w:rPr>
          <w:instrText xml:space="preserve"> PAGEREF _Toc122626059 \h </w:instrText>
        </w:r>
        <w:r w:rsidR="00A42B78">
          <w:rPr>
            <w:noProof/>
            <w:webHidden/>
          </w:rPr>
        </w:r>
        <w:r w:rsidR="00A42B78">
          <w:rPr>
            <w:noProof/>
            <w:webHidden/>
          </w:rPr>
          <w:fldChar w:fldCharType="separate"/>
        </w:r>
        <w:r w:rsidR="000E4B6F">
          <w:rPr>
            <w:noProof/>
            <w:webHidden/>
          </w:rPr>
          <w:t>16</w:t>
        </w:r>
        <w:r w:rsidR="00A42B78">
          <w:rPr>
            <w:noProof/>
            <w:webHidden/>
          </w:rPr>
          <w:fldChar w:fldCharType="end"/>
        </w:r>
      </w:hyperlink>
    </w:p>
    <w:p w14:paraId="3B67DED2" w14:textId="6E86B399" w:rsidR="00A42B78" w:rsidRDefault="00BB56AD">
      <w:pPr>
        <w:pStyle w:val="TOC2"/>
        <w:rPr>
          <w:rFonts w:eastAsiaTheme="minorEastAsia" w:cstheme="minorBidi"/>
          <w:noProof/>
          <w:sz w:val="22"/>
          <w:lang w:eastAsia="en-GB"/>
        </w:rPr>
      </w:pPr>
      <w:hyperlink w:anchor="_Toc122626060" w:history="1">
        <w:r w:rsidR="00A42B78" w:rsidRPr="005A6846">
          <w:rPr>
            <w:rStyle w:val="Hyperlink"/>
            <w:noProof/>
          </w:rPr>
          <w:t>3.1</w:t>
        </w:r>
        <w:r w:rsidR="00A42B78">
          <w:rPr>
            <w:rFonts w:eastAsiaTheme="minorEastAsia" w:cstheme="minorBidi"/>
            <w:noProof/>
            <w:sz w:val="22"/>
            <w:lang w:eastAsia="en-GB"/>
          </w:rPr>
          <w:tab/>
        </w:r>
        <w:r w:rsidR="00A42B78" w:rsidRPr="005A6846">
          <w:rPr>
            <w:rStyle w:val="Hyperlink"/>
            <w:noProof/>
          </w:rPr>
          <w:t>Oversight of Governance Arrangements by the Management Body</w:t>
        </w:r>
        <w:r w:rsidR="00A42B78">
          <w:rPr>
            <w:noProof/>
            <w:webHidden/>
          </w:rPr>
          <w:tab/>
        </w:r>
        <w:r w:rsidR="00A42B78">
          <w:rPr>
            <w:noProof/>
            <w:webHidden/>
          </w:rPr>
          <w:fldChar w:fldCharType="begin"/>
        </w:r>
        <w:r w:rsidR="00A42B78">
          <w:rPr>
            <w:noProof/>
            <w:webHidden/>
          </w:rPr>
          <w:instrText xml:space="preserve"> PAGEREF _Toc122626060 \h </w:instrText>
        </w:r>
        <w:r w:rsidR="00A42B78">
          <w:rPr>
            <w:noProof/>
            <w:webHidden/>
          </w:rPr>
        </w:r>
        <w:r w:rsidR="00A42B78">
          <w:rPr>
            <w:noProof/>
            <w:webHidden/>
          </w:rPr>
          <w:fldChar w:fldCharType="separate"/>
        </w:r>
        <w:r w:rsidR="000E4B6F">
          <w:rPr>
            <w:noProof/>
            <w:webHidden/>
          </w:rPr>
          <w:t>16</w:t>
        </w:r>
        <w:r w:rsidR="00A42B78">
          <w:rPr>
            <w:noProof/>
            <w:webHidden/>
          </w:rPr>
          <w:fldChar w:fldCharType="end"/>
        </w:r>
      </w:hyperlink>
    </w:p>
    <w:p w14:paraId="1ADBE912" w14:textId="12F958A6" w:rsidR="00A42B78" w:rsidRDefault="00BB56AD">
      <w:pPr>
        <w:pStyle w:val="TOC2"/>
        <w:rPr>
          <w:rFonts w:eastAsiaTheme="minorEastAsia" w:cstheme="minorBidi"/>
          <w:noProof/>
          <w:sz w:val="22"/>
          <w:lang w:eastAsia="en-GB"/>
        </w:rPr>
      </w:pPr>
      <w:hyperlink w:anchor="_Toc122626061" w:history="1">
        <w:r w:rsidR="00A42B78" w:rsidRPr="005A6846">
          <w:rPr>
            <w:rStyle w:val="Hyperlink"/>
            <w:noProof/>
          </w:rPr>
          <w:t>3.2</w:t>
        </w:r>
        <w:r w:rsidR="00A42B78">
          <w:rPr>
            <w:rFonts w:eastAsiaTheme="minorEastAsia" w:cstheme="minorBidi"/>
            <w:noProof/>
            <w:sz w:val="22"/>
            <w:lang w:eastAsia="en-GB"/>
          </w:rPr>
          <w:tab/>
        </w:r>
        <w:r w:rsidR="00A42B78" w:rsidRPr="005A6846">
          <w:rPr>
            <w:rStyle w:val="Hyperlink"/>
            <w:noProof/>
          </w:rPr>
          <w:t>Conflicts of Interest</w:t>
        </w:r>
        <w:r w:rsidR="00A42B78">
          <w:rPr>
            <w:noProof/>
            <w:webHidden/>
          </w:rPr>
          <w:tab/>
        </w:r>
        <w:r w:rsidR="00A42B78">
          <w:rPr>
            <w:noProof/>
            <w:webHidden/>
          </w:rPr>
          <w:fldChar w:fldCharType="begin"/>
        </w:r>
        <w:r w:rsidR="00A42B78">
          <w:rPr>
            <w:noProof/>
            <w:webHidden/>
          </w:rPr>
          <w:instrText xml:space="preserve"> PAGEREF _Toc122626061 \h </w:instrText>
        </w:r>
        <w:r w:rsidR="00A42B78">
          <w:rPr>
            <w:noProof/>
            <w:webHidden/>
          </w:rPr>
        </w:r>
        <w:r w:rsidR="00A42B78">
          <w:rPr>
            <w:noProof/>
            <w:webHidden/>
          </w:rPr>
          <w:fldChar w:fldCharType="separate"/>
        </w:r>
        <w:r w:rsidR="000E4B6F">
          <w:rPr>
            <w:noProof/>
            <w:webHidden/>
          </w:rPr>
          <w:t>17</w:t>
        </w:r>
        <w:r w:rsidR="00A42B78">
          <w:rPr>
            <w:noProof/>
            <w:webHidden/>
          </w:rPr>
          <w:fldChar w:fldCharType="end"/>
        </w:r>
      </w:hyperlink>
    </w:p>
    <w:p w14:paraId="018915A9" w14:textId="31A30F56" w:rsidR="00A42B78" w:rsidRDefault="00BB56AD">
      <w:pPr>
        <w:pStyle w:val="TOC2"/>
        <w:rPr>
          <w:rFonts w:eastAsiaTheme="minorEastAsia" w:cstheme="minorBidi"/>
          <w:noProof/>
          <w:sz w:val="22"/>
          <w:lang w:eastAsia="en-GB"/>
        </w:rPr>
      </w:pPr>
      <w:hyperlink w:anchor="_Toc122626062" w:history="1">
        <w:r w:rsidR="00A42B78" w:rsidRPr="005A6846">
          <w:rPr>
            <w:rStyle w:val="Hyperlink"/>
            <w:noProof/>
          </w:rPr>
          <w:t>3.3</w:t>
        </w:r>
        <w:r w:rsidR="00A42B78">
          <w:rPr>
            <w:rFonts w:eastAsiaTheme="minorEastAsia" w:cstheme="minorBidi"/>
            <w:noProof/>
            <w:sz w:val="22"/>
            <w:lang w:eastAsia="en-GB"/>
          </w:rPr>
          <w:tab/>
        </w:r>
        <w:r w:rsidR="00A42B78" w:rsidRPr="005A6846">
          <w:rPr>
            <w:rStyle w:val="Hyperlink"/>
            <w:noProof/>
          </w:rPr>
          <w:t>Approach to Diversity</w:t>
        </w:r>
        <w:r w:rsidR="00A42B78">
          <w:rPr>
            <w:noProof/>
            <w:webHidden/>
          </w:rPr>
          <w:tab/>
        </w:r>
        <w:r w:rsidR="00A42B78">
          <w:rPr>
            <w:noProof/>
            <w:webHidden/>
          </w:rPr>
          <w:fldChar w:fldCharType="begin"/>
        </w:r>
        <w:r w:rsidR="00A42B78">
          <w:rPr>
            <w:noProof/>
            <w:webHidden/>
          </w:rPr>
          <w:instrText xml:space="preserve"> PAGEREF _Toc122626062 \h </w:instrText>
        </w:r>
        <w:r w:rsidR="00A42B78">
          <w:rPr>
            <w:noProof/>
            <w:webHidden/>
          </w:rPr>
        </w:r>
        <w:r w:rsidR="00A42B78">
          <w:rPr>
            <w:noProof/>
            <w:webHidden/>
          </w:rPr>
          <w:fldChar w:fldCharType="separate"/>
        </w:r>
        <w:r w:rsidR="000E4B6F">
          <w:rPr>
            <w:noProof/>
            <w:webHidden/>
          </w:rPr>
          <w:t>17</w:t>
        </w:r>
        <w:r w:rsidR="00A42B78">
          <w:rPr>
            <w:noProof/>
            <w:webHidden/>
          </w:rPr>
          <w:fldChar w:fldCharType="end"/>
        </w:r>
      </w:hyperlink>
    </w:p>
    <w:p w14:paraId="031097C4" w14:textId="4E194644" w:rsidR="00A42B78" w:rsidRDefault="00BB56AD">
      <w:pPr>
        <w:pStyle w:val="TOC1"/>
        <w:rPr>
          <w:rFonts w:eastAsiaTheme="minorEastAsia"/>
          <w:b w:val="0"/>
          <w:noProof/>
          <w:lang w:eastAsia="en-GB"/>
        </w:rPr>
      </w:pPr>
      <w:hyperlink w:anchor="_Toc122626063" w:history="1">
        <w:r w:rsidR="00A42B78" w:rsidRPr="005A6846">
          <w:rPr>
            <w:rStyle w:val="Hyperlink"/>
            <w:noProof/>
          </w:rPr>
          <w:t>4</w:t>
        </w:r>
        <w:r w:rsidR="00A42B78">
          <w:rPr>
            <w:rFonts w:eastAsiaTheme="minorEastAsia"/>
            <w:b w:val="0"/>
            <w:noProof/>
            <w:lang w:eastAsia="en-GB"/>
          </w:rPr>
          <w:tab/>
        </w:r>
        <w:r w:rsidR="00A42B78" w:rsidRPr="005A6846">
          <w:rPr>
            <w:rStyle w:val="Hyperlink"/>
            <w:noProof/>
          </w:rPr>
          <w:t>Own Funds (Article 49 IFR)</w:t>
        </w:r>
        <w:r w:rsidR="00A42B78">
          <w:rPr>
            <w:noProof/>
            <w:webHidden/>
          </w:rPr>
          <w:tab/>
        </w:r>
        <w:r w:rsidR="00A42B78">
          <w:rPr>
            <w:noProof/>
            <w:webHidden/>
          </w:rPr>
          <w:fldChar w:fldCharType="begin"/>
        </w:r>
        <w:r w:rsidR="00A42B78">
          <w:rPr>
            <w:noProof/>
            <w:webHidden/>
          </w:rPr>
          <w:instrText xml:space="preserve"> PAGEREF _Toc122626063 \h </w:instrText>
        </w:r>
        <w:r w:rsidR="00A42B78">
          <w:rPr>
            <w:noProof/>
            <w:webHidden/>
          </w:rPr>
        </w:r>
        <w:r w:rsidR="00A42B78">
          <w:rPr>
            <w:noProof/>
            <w:webHidden/>
          </w:rPr>
          <w:fldChar w:fldCharType="separate"/>
        </w:r>
        <w:r w:rsidR="000E4B6F">
          <w:rPr>
            <w:noProof/>
            <w:webHidden/>
          </w:rPr>
          <w:t>19</w:t>
        </w:r>
        <w:r w:rsidR="00A42B78">
          <w:rPr>
            <w:noProof/>
            <w:webHidden/>
          </w:rPr>
          <w:fldChar w:fldCharType="end"/>
        </w:r>
      </w:hyperlink>
    </w:p>
    <w:p w14:paraId="2E9AE37E" w14:textId="1231C1CB" w:rsidR="00A42B78" w:rsidRDefault="00BB56AD">
      <w:pPr>
        <w:pStyle w:val="TOC2"/>
        <w:rPr>
          <w:rFonts w:eastAsiaTheme="minorEastAsia" w:cstheme="minorBidi"/>
          <w:noProof/>
          <w:sz w:val="22"/>
          <w:lang w:eastAsia="en-GB"/>
        </w:rPr>
      </w:pPr>
      <w:hyperlink w:anchor="_Toc122626064" w:history="1">
        <w:r w:rsidR="00A42B78" w:rsidRPr="005A6846">
          <w:rPr>
            <w:rStyle w:val="Hyperlink"/>
            <w:noProof/>
          </w:rPr>
          <w:t>4.1</w:t>
        </w:r>
        <w:r w:rsidR="00A42B78">
          <w:rPr>
            <w:rFonts w:eastAsiaTheme="minorEastAsia" w:cstheme="minorBidi"/>
            <w:noProof/>
            <w:sz w:val="22"/>
            <w:lang w:eastAsia="en-GB"/>
          </w:rPr>
          <w:tab/>
        </w:r>
        <w:r w:rsidR="00A42B78" w:rsidRPr="005A6846">
          <w:rPr>
            <w:rStyle w:val="Hyperlink"/>
            <w:noProof/>
          </w:rPr>
          <w:t>Composition of Regulatory Own Funds</w:t>
        </w:r>
        <w:r w:rsidR="00A42B78">
          <w:rPr>
            <w:noProof/>
            <w:webHidden/>
          </w:rPr>
          <w:tab/>
        </w:r>
        <w:r w:rsidR="00A42B78">
          <w:rPr>
            <w:noProof/>
            <w:webHidden/>
          </w:rPr>
          <w:fldChar w:fldCharType="begin"/>
        </w:r>
        <w:r w:rsidR="00A42B78">
          <w:rPr>
            <w:noProof/>
            <w:webHidden/>
          </w:rPr>
          <w:instrText xml:space="preserve"> PAGEREF _Toc122626064 \h </w:instrText>
        </w:r>
        <w:r w:rsidR="00A42B78">
          <w:rPr>
            <w:noProof/>
            <w:webHidden/>
          </w:rPr>
        </w:r>
        <w:r w:rsidR="00A42B78">
          <w:rPr>
            <w:noProof/>
            <w:webHidden/>
          </w:rPr>
          <w:fldChar w:fldCharType="separate"/>
        </w:r>
        <w:r w:rsidR="000E4B6F">
          <w:rPr>
            <w:noProof/>
            <w:webHidden/>
          </w:rPr>
          <w:t>19</w:t>
        </w:r>
        <w:r w:rsidR="00A42B78">
          <w:rPr>
            <w:noProof/>
            <w:webHidden/>
          </w:rPr>
          <w:fldChar w:fldCharType="end"/>
        </w:r>
      </w:hyperlink>
    </w:p>
    <w:p w14:paraId="07161AF9" w14:textId="63E168A3" w:rsidR="00A42B78" w:rsidRDefault="00BB56AD">
      <w:pPr>
        <w:pStyle w:val="TOC2"/>
        <w:rPr>
          <w:rFonts w:eastAsiaTheme="minorEastAsia" w:cstheme="minorBidi"/>
          <w:noProof/>
          <w:sz w:val="22"/>
          <w:lang w:eastAsia="en-GB"/>
        </w:rPr>
      </w:pPr>
      <w:hyperlink w:anchor="_Toc122626065" w:history="1">
        <w:r w:rsidR="00A42B78" w:rsidRPr="005A6846">
          <w:rPr>
            <w:rStyle w:val="Hyperlink"/>
            <w:noProof/>
          </w:rPr>
          <w:t>4.2</w:t>
        </w:r>
        <w:r w:rsidR="00A42B78">
          <w:rPr>
            <w:rFonts w:eastAsiaTheme="minorEastAsia" w:cstheme="minorBidi"/>
            <w:noProof/>
            <w:sz w:val="22"/>
            <w:lang w:eastAsia="en-GB"/>
          </w:rPr>
          <w:tab/>
        </w:r>
        <w:r w:rsidR="00A42B78" w:rsidRPr="005A6846">
          <w:rPr>
            <w:rStyle w:val="Hyperlink"/>
            <w:noProof/>
          </w:rPr>
          <w:t>Reconciliation of Own Funds</w:t>
        </w:r>
        <w:r w:rsidR="00A42B78">
          <w:rPr>
            <w:noProof/>
            <w:webHidden/>
          </w:rPr>
          <w:tab/>
        </w:r>
        <w:r w:rsidR="00A42B78">
          <w:rPr>
            <w:noProof/>
            <w:webHidden/>
          </w:rPr>
          <w:fldChar w:fldCharType="begin"/>
        </w:r>
        <w:r w:rsidR="00A42B78">
          <w:rPr>
            <w:noProof/>
            <w:webHidden/>
          </w:rPr>
          <w:instrText xml:space="preserve"> PAGEREF _Toc122626065 \h </w:instrText>
        </w:r>
        <w:r w:rsidR="00A42B78">
          <w:rPr>
            <w:noProof/>
            <w:webHidden/>
          </w:rPr>
        </w:r>
        <w:r w:rsidR="00A42B78">
          <w:rPr>
            <w:noProof/>
            <w:webHidden/>
          </w:rPr>
          <w:fldChar w:fldCharType="separate"/>
        </w:r>
        <w:r w:rsidR="000E4B6F">
          <w:rPr>
            <w:noProof/>
            <w:webHidden/>
          </w:rPr>
          <w:t>21</w:t>
        </w:r>
        <w:r w:rsidR="00A42B78">
          <w:rPr>
            <w:noProof/>
            <w:webHidden/>
          </w:rPr>
          <w:fldChar w:fldCharType="end"/>
        </w:r>
      </w:hyperlink>
    </w:p>
    <w:p w14:paraId="76158481" w14:textId="6F11504E" w:rsidR="00A42B78" w:rsidRDefault="00BB56AD">
      <w:pPr>
        <w:pStyle w:val="TOC2"/>
        <w:rPr>
          <w:rFonts w:eastAsiaTheme="minorEastAsia" w:cstheme="minorBidi"/>
          <w:noProof/>
          <w:sz w:val="22"/>
          <w:lang w:eastAsia="en-GB"/>
        </w:rPr>
      </w:pPr>
      <w:hyperlink w:anchor="_Toc122626066" w:history="1">
        <w:r w:rsidR="00A42B78" w:rsidRPr="005A6846">
          <w:rPr>
            <w:rStyle w:val="Hyperlink"/>
            <w:noProof/>
          </w:rPr>
          <w:t>4.3</w:t>
        </w:r>
        <w:r w:rsidR="00A42B78">
          <w:rPr>
            <w:rFonts w:eastAsiaTheme="minorEastAsia" w:cstheme="minorBidi"/>
            <w:noProof/>
            <w:sz w:val="22"/>
            <w:lang w:eastAsia="en-GB"/>
          </w:rPr>
          <w:tab/>
        </w:r>
        <w:r w:rsidR="00A42B78" w:rsidRPr="005A6846">
          <w:rPr>
            <w:rStyle w:val="Hyperlink"/>
            <w:noProof/>
          </w:rPr>
          <w:t>Main Features of Own Instruments Issued by DCMD</w:t>
        </w:r>
        <w:r w:rsidR="00A42B78">
          <w:rPr>
            <w:noProof/>
            <w:webHidden/>
          </w:rPr>
          <w:tab/>
        </w:r>
        <w:r w:rsidR="00A42B78">
          <w:rPr>
            <w:noProof/>
            <w:webHidden/>
          </w:rPr>
          <w:fldChar w:fldCharType="begin"/>
        </w:r>
        <w:r w:rsidR="00A42B78">
          <w:rPr>
            <w:noProof/>
            <w:webHidden/>
          </w:rPr>
          <w:instrText xml:space="preserve"> PAGEREF _Toc122626066 \h </w:instrText>
        </w:r>
        <w:r w:rsidR="00A42B78">
          <w:rPr>
            <w:noProof/>
            <w:webHidden/>
          </w:rPr>
        </w:r>
        <w:r w:rsidR="00A42B78">
          <w:rPr>
            <w:noProof/>
            <w:webHidden/>
          </w:rPr>
          <w:fldChar w:fldCharType="separate"/>
        </w:r>
        <w:r w:rsidR="000E4B6F">
          <w:rPr>
            <w:noProof/>
            <w:webHidden/>
          </w:rPr>
          <w:t>22</w:t>
        </w:r>
        <w:r w:rsidR="00A42B78">
          <w:rPr>
            <w:noProof/>
            <w:webHidden/>
          </w:rPr>
          <w:fldChar w:fldCharType="end"/>
        </w:r>
      </w:hyperlink>
    </w:p>
    <w:p w14:paraId="32893A58" w14:textId="48D30C09" w:rsidR="00A42B78" w:rsidRDefault="00BB56AD">
      <w:pPr>
        <w:pStyle w:val="TOC1"/>
        <w:rPr>
          <w:rFonts w:eastAsiaTheme="minorEastAsia"/>
          <w:b w:val="0"/>
          <w:noProof/>
          <w:lang w:eastAsia="en-GB"/>
        </w:rPr>
      </w:pPr>
      <w:hyperlink w:anchor="_Toc122626067" w:history="1">
        <w:r w:rsidR="00A42B78" w:rsidRPr="005A6846">
          <w:rPr>
            <w:rStyle w:val="Hyperlink"/>
            <w:noProof/>
          </w:rPr>
          <w:t>5</w:t>
        </w:r>
        <w:r w:rsidR="00A42B78">
          <w:rPr>
            <w:rFonts w:eastAsiaTheme="minorEastAsia"/>
            <w:b w:val="0"/>
            <w:noProof/>
            <w:lang w:eastAsia="en-GB"/>
          </w:rPr>
          <w:tab/>
        </w:r>
        <w:r w:rsidR="00A42B78" w:rsidRPr="005A6846">
          <w:rPr>
            <w:rStyle w:val="Hyperlink"/>
            <w:noProof/>
          </w:rPr>
          <w:t>Own Funds Requirements (Article 50 IFR)</w:t>
        </w:r>
        <w:r w:rsidR="00A42B78">
          <w:rPr>
            <w:noProof/>
            <w:webHidden/>
          </w:rPr>
          <w:tab/>
        </w:r>
        <w:r w:rsidR="00A42B78">
          <w:rPr>
            <w:noProof/>
            <w:webHidden/>
          </w:rPr>
          <w:fldChar w:fldCharType="begin"/>
        </w:r>
        <w:r w:rsidR="00A42B78">
          <w:rPr>
            <w:noProof/>
            <w:webHidden/>
          </w:rPr>
          <w:instrText xml:space="preserve"> PAGEREF _Toc122626067 \h </w:instrText>
        </w:r>
        <w:r w:rsidR="00A42B78">
          <w:rPr>
            <w:noProof/>
            <w:webHidden/>
          </w:rPr>
        </w:r>
        <w:r w:rsidR="00A42B78">
          <w:rPr>
            <w:noProof/>
            <w:webHidden/>
          </w:rPr>
          <w:fldChar w:fldCharType="separate"/>
        </w:r>
        <w:r w:rsidR="000E4B6F">
          <w:rPr>
            <w:noProof/>
            <w:webHidden/>
          </w:rPr>
          <w:t>24</w:t>
        </w:r>
        <w:r w:rsidR="00A42B78">
          <w:rPr>
            <w:noProof/>
            <w:webHidden/>
          </w:rPr>
          <w:fldChar w:fldCharType="end"/>
        </w:r>
      </w:hyperlink>
    </w:p>
    <w:p w14:paraId="55900C5F" w14:textId="7DE5C51F" w:rsidR="00A42B78" w:rsidRDefault="00BB56AD">
      <w:pPr>
        <w:pStyle w:val="TOC2"/>
        <w:rPr>
          <w:rFonts w:eastAsiaTheme="minorEastAsia" w:cstheme="minorBidi"/>
          <w:noProof/>
          <w:sz w:val="22"/>
          <w:lang w:eastAsia="en-GB"/>
        </w:rPr>
      </w:pPr>
      <w:hyperlink w:anchor="_Toc122626068" w:history="1">
        <w:r w:rsidR="00A42B78" w:rsidRPr="005A6846">
          <w:rPr>
            <w:rStyle w:val="Hyperlink"/>
            <w:noProof/>
          </w:rPr>
          <w:t>5.1</w:t>
        </w:r>
        <w:r w:rsidR="00A42B78">
          <w:rPr>
            <w:rFonts w:eastAsiaTheme="minorEastAsia" w:cstheme="minorBidi"/>
            <w:noProof/>
            <w:sz w:val="22"/>
            <w:lang w:eastAsia="en-GB"/>
          </w:rPr>
          <w:tab/>
        </w:r>
        <w:r w:rsidR="00A42B78" w:rsidRPr="005A6846">
          <w:rPr>
            <w:rStyle w:val="Hyperlink"/>
            <w:noProof/>
          </w:rPr>
          <w:t>Approach to Assessing the Adequacy of Own Funds</w:t>
        </w:r>
        <w:r w:rsidR="00A42B78">
          <w:rPr>
            <w:noProof/>
            <w:webHidden/>
          </w:rPr>
          <w:tab/>
        </w:r>
        <w:r w:rsidR="00A42B78">
          <w:rPr>
            <w:noProof/>
            <w:webHidden/>
          </w:rPr>
          <w:fldChar w:fldCharType="begin"/>
        </w:r>
        <w:r w:rsidR="00A42B78">
          <w:rPr>
            <w:noProof/>
            <w:webHidden/>
          </w:rPr>
          <w:instrText xml:space="preserve"> PAGEREF _Toc122626068 \h </w:instrText>
        </w:r>
        <w:r w:rsidR="00A42B78">
          <w:rPr>
            <w:noProof/>
            <w:webHidden/>
          </w:rPr>
        </w:r>
        <w:r w:rsidR="00A42B78">
          <w:rPr>
            <w:noProof/>
            <w:webHidden/>
          </w:rPr>
          <w:fldChar w:fldCharType="separate"/>
        </w:r>
        <w:r w:rsidR="000E4B6F">
          <w:rPr>
            <w:noProof/>
            <w:webHidden/>
          </w:rPr>
          <w:t>24</w:t>
        </w:r>
        <w:r w:rsidR="00A42B78">
          <w:rPr>
            <w:noProof/>
            <w:webHidden/>
          </w:rPr>
          <w:fldChar w:fldCharType="end"/>
        </w:r>
      </w:hyperlink>
    </w:p>
    <w:p w14:paraId="12378084" w14:textId="076DD314" w:rsidR="00A42B78" w:rsidRDefault="00BB56AD">
      <w:pPr>
        <w:pStyle w:val="TOC2"/>
        <w:rPr>
          <w:rFonts w:eastAsiaTheme="minorEastAsia" w:cstheme="minorBidi"/>
          <w:noProof/>
          <w:sz w:val="22"/>
          <w:lang w:eastAsia="en-GB"/>
        </w:rPr>
      </w:pPr>
      <w:hyperlink w:anchor="_Toc122626069" w:history="1">
        <w:r w:rsidR="00A42B78" w:rsidRPr="005A6846">
          <w:rPr>
            <w:rStyle w:val="Hyperlink"/>
            <w:noProof/>
          </w:rPr>
          <w:t>5.2</w:t>
        </w:r>
        <w:r w:rsidR="00A42B78">
          <w:rPr>
            <w:rFonts w:eastAsiaTheme="minorEastAsia" w:cstheme="minorBidi"/>
            <w:noProof/>
            <w:sz w:val="22"/>
            <w:lang w:eastAsia="en-GB"/>
          </w:rPr>
          <w:tab/>
        </w:r>
        <w:r w:rsidR="00A42B78" w:rsidRPr="005A6846">
          <w:rPr>
            <w:rStyle w:val="Hyperlink"/>
            <w:noProof/>
          </w:rPr>
          <w:t>K-Factor Requirement and Fixed Overheads Requirement</w:t>
        </w:r>
        <w:r w:rsidR="00A42B78">
          <w:rPr>
            <w:noProof/>
            <w:webHidden/>
          </w:rPr>
          <w:tab/>
        </w:r>
        <w:r w:rsidR="00A42B78">
          <w:rPr>
            <w:noProof/>
            <w:webHidden/>
          </w:rPr>
          <w:fldChar w:fldCharType="begin"/>
        </w:r>
        <w:r w:rsidR="00A42B78">
          <w:rPr>
            <w:noProof/>
            <w:webHidden/>
          </w:rPr>
          <w:instrText xml:space="preserve"> PAGEREF _Toc122626069 \h </w:instrText>
        </w:r>
        <w:r w:rsidR="00A42B78">
          <w:rPr>
            <w:noProof/>
            <w:webHidden/>
          </w:rPr>
        </w:r>
        <w:r w:rsidR="00A42B78">
          <w:rPr>
            <w:noProof/>
            <w:webHidden/>
          </w:rPr>
          <w:fldChar w:fldCharType="separate"/>
        </w:r>
        <w:r w:rsidR="000E4B6F">
          <w:rPr>
            <w:noProof/>
            <w:webHidden/>
          </w:rPr>
          <w:t>26</w:t>
        </w:r>
        <w:r w:rsidR="00A42B78">
          <w:rPr>
            <w:noProof/>
            <w:webHidden/>
          </w:rPr>
          <w:fldChar w:fldCharType="end"/>
        </w:r>
      </w:hyperlink>
    </w:p>
    <w:p w14:paraId="7649FFEC" w14:textId="1DB783C3" w:rsidR="00A42B78" w:rsidRDefault="00BB56AD">
      <w:pPr>
        <w:pStyle w:val="TOC1"/>
        <w:rPr>
          <w:rFonts w:eastAsiaTheme="minorEastAsia"/>
          <w:b w:val="0"/>
          <w:noProof/>
          <w:lang w:eastAsia="en-GB"/>
        </w:rPr>
      </w:pPr>
      <w:hyperlink w:anchor="_Toc122626070" w:history="1">
        <w:r w:rsidR="00A42B78" w:rsidRPr="005A6846">
          <w:rPr>
            <w:rStyle w:val="Hyperlink"/>
            <w:noProof/>
          </w:rPr>
          <w:t>6</w:t>
        </w:r>
        <w:r w:rsidR="00A42B78">
          <w:rPr>
            <w:rFonts w:eastAsiaTheme="minorEastAsia"/>
            <w:b w:val="0"/>
            <w:noProof/>
            <w:lang w:eastAsia="en-GB"/>
          </w:rPr>
          <w:tab/>
        </w:r>
        <w:r w:rsidR="00A42B78" w:rsidRPr="005A6846">
          <w:rPr>
            <w:rStyle w:val="Hyperlink"/>
            <w:noProof/>
          </w:rPr>
          <w:t>Remuneration (Article 51 IFR)</w:t>
        </w:r>
        <w:r w:rsidR="00A42B78">
          <w:rPr>
            <w:noProof/>
            <w:webHidden/>
          </w:rPr>
          <w:tab/>
        </w:r>
        <w:r w:rsidR="00A42B78">
          <w:rPr>
            <w:noProof/>
            <w:webHidden/>
          </w:rPr>
          <w:fldChar w:fldCharType="begin"/>
        </w:r>
        <w:r w:rsidR="00A42B78">
          <w:rPr>
            <w:noProof/>
            <w:webHidden/>
          </w:rPr>
          <w:instrText xml:space="preserve"> PAGEREF _Toc122626070 \h </w:instrText>
        </w:r>
        <w:r w:rsidR="00A42B78">
          <w:rPr>
            <w:noProof/>
            <w:webHidden/>
          </w:rPr>
        </w:r>
        <w:r w:rsidR="00A42B78">
          <w:rPr>
            <w:noProof/>
            <w:webHidden/>
          </w:rPr>
          <w:fldChar w:fldCharType="separate"/>
        </w:r>
        <w:r w:rsidR="000E4B6F">
          <w:rPr>
            <w:noProof/>
            <w:webHidden/>
          </w:rPr>
          <w:t>27</w:t>
        </w:r>
        <w:r w:rsidR="00A42B78">
          <w:rPr>
            <w:noProof/>
            <w:webHidden/>
          </w:rPr>
          <w:fldChar w:fldCharType="end"/>
        </w:r>
      </w:hyperlink>
    </w:p>
    <w:p w14:paraId="0FEBF4E0" w14:textId="44AC181C" w:rsidR="00A42B78" w:rsidRDefault="00BB56AD">
      <w:pPr>
        <w:pStyle w:val="TOC2"/>
        <w:rPr>
          <w:rFonts w:eastAsiaTheme="minorEastAsia" w:cstheme="minorBidi"/>
          <w:noProof/>
          <w:sz w:val="22"/>
          <w:lang w:eastAsia="en-GB"/>
        </w:rPr>
      </w:pPr>
      <w:hyperlink w:anchor="_Toc122626071" w:history="1">
        <w:r w:rsidR="00A42B78" w:rsidRPr="005A6846">
          <w:rPr>
            <w:rStyle w:val="Hyperlink"/>
            <w:noProof/>
          </w:rPr>
          <w:t>6.1</w:t>
        </w:r>
        <w:r w:rsidR="00A42B78">
          <w:rPr>
            <w:rFonts w:eastAsiaTheme="minorEastAsia" w:cstheme="minorBidi"/>
            <w:noProof/>
            <w:sz w:val="22"/>
            <w:lang w:eastAsia="en-GB"/>
          </w:rPr>
          <w:tab/>
        </w:r>
        <w:r w:rsidR="00A42B78" w:rsidRPr="005A6846">
          <w:rPr>
            <w:rStyle w:val="Hyperlink"/>
            <w:noProof/>
          </w:rPr>
          <w:t>Basis of Disclosure</w:t>
        </w:r>
        <w:r w:rsidR="00A42B78">
          <w:rPr>
            <w:noProof/>
            <w:webHidden/>
          </w:rPr>
          <w:tab/>
        </w:r>
        <w:r w:rsidR="00A42B78">
          <w:rPr>
            <w:noProof/>
            <w:webHidden/>
          </w:rPr>
          <w:fldChar w:fldCharType="begin"/>
        </w:r>
        <w:r w:rsidR="00A42B78">
          <w:rPr>
            <w:noProof/>
            <w:webHidden/>
          </w:rPr>
          <w:instrText xml:space="preserve"> PAGEREF _Toc122626071 \h </w:instrText>
        </w:r>
        <w:r w:rsidR="00A42B78">
          <w:rPr>
            <w:noProof/>
            <w:webHidden/>
          </w:rPr>
        </w:r>
        <w:r w:rsidR="00A42B78">
          <w:rPr>
            <w:noProof/>
            <w:webHidden/>
          </w:rPr>
          <w:fldChar w:fldCharType="separate"/>
        </w:r>
        <w:r w:rsidR="000E4B6F">
          <w:rPr>
            <w:noProof/>
            <w:webHidden/>
          </w:rPr>
          <w:t>27</w:t>
        </w:r>
        <w:r w:rsidR="00A42B78">
          <w:rPr>
            <w:noProof/>
            <w:webHidden/>
          </w:rPr>
          <w:fldChar w:fldCharType="end"/>
        </w:r>
      </w:hyperlink>
    </w:p>
    <w:p w14:paraId="6A1DFDD4" w14:textId="57BE05B1" w:rsidR="00A42B78" w:rsidRDefault="00BB56AD">
      <w:pPr>
        <w:pStyle w:val="TOC2"/>
        <w:rPr>
          <w:rFonts w:eastAsiaTheme="minorEastAsia" w:cstheme="minorBidi"/>
          <w:noProof/>
          <w:sz w:val="22"/>
          <w:lang w:eastAsia="en-GB"/>
        </w:rPr>
      </w:pPr>
      <w:hyperlink w:anchor="_Toc122626072" w:history="1">
        <w:r w:rsidR="00A42B78" w:rsidRPr="005A6846">
          <w:rPr>
            <w:rStyle w:val="Hyperlink"/>
            <w:noProof/>
          </w:rPr>
          <w:t>6.2</w:t>
        </w:r>
        <w:r w:rsidR="00A42B78">
          <w:rPr>
            <w:rFonts w:eastAsiaTheme="minorEastAsia" w:cstheme="minorBidi"/>
            <w:noProof/>
            <w:sz w:val="22"/>
            <w:lang w:eastAsia="en-GB"/>
          </w:rPr>
          <w:tab/>
        </w:r>
        <w:r w:rsidR="00A42B78" w:rsidRPr="005A6846">
          <w:rPr>
            <w:rStyle w:val="Hyperlink"/>
            <w:noProof/>
          </w:rPr>
          <w:t>The Reward Strategy’s Purpose</w:t>
        </w:r>
        <w:r w:rsidR="00A42B78">
          <w:rPr>
            <w:noProof/>
            <w:webHidden/>
          </w:rPr>
          <w:tab/>
        </w:r>
        <w:r w:rsidR="00A42B78">
          <w:rPr>
            <w:noProof/>
            <w:webHidden/>
          </w:rPr>
          <w:fldChar w:fldCharType="begin"/>
        </w:r>
        <w:r w:rsidR="00A42B78">
          <w:rPr>
            <w:noProof/>
            <w:webHidden/>
          </w:rPr>
          <w:instrText xml:space="preserve"> PAGEREF _Toc122626072 \h </w:instrText>
        </w:r>
        <w:r w:rsidR="00A42B78">
          <w:rPr>
            <w:noProof/>
            <w:webHidden/>
          </w:rPr>
        </w:r>
        <w:r w:rsidR="00A42B78">
          <w:rPr>
            <w:noProof/>
            <w:webHidden/>
          </w:rPr>
          <w:fldChar w:fldCharType="separate"/>
        </w:r>
        <w:r w:rsidR="000E4B6F">
          <w:rPr>
            <w:noProof/>
            <w:webHidden/>
          </w:rPr>
          <w:t>27</w:t>
        </w:r>
        <w:r w:rsidR="00A42B78">
          <w:rPr>
            <w:noProof/>
            <w:webHidden/>
          </w:rPr>
          <w:fldChar w:fldCharType="end"/>
        </w:r>
      </w:hyperlink>
    </w:p>
    <w:p w14:paraId="1B9FA0A9" w14:textId="3DB61362" w:rsidR="00A42B78" w:rsidRDefault="00BB56AD">
      <w:pPr>
        <w:pStyle w:val="TOC2"/>
        <w:rPr>
          <w:rFonts w:eastAsiaTheme="minorEastAsia" w:cstheme="minorBidi"/>
          <w:noProof/>
          <w:sz w:val="22"/>
          <w:lang w:eastAsia="en-GB"/>
        </w:rPr>
      </w:pPr>
      <w:hyperlink w:anchor="_Toc122626073" w:history="1">
        <w:r w:rsidR="00A42B78" w:rsidRPr="005A6846">
          <w:rPr>
            <w:rStyle w:val="Hyperlink"/>
            <w:noProof/>
          </w:rPr>
          <w:t>6.3</w:t>
        </w:r>
        <w:r w:rsidR="00A42B78">
          <w:rPr>
            <w:rFonts w:eastAsiaTheme="minorEastAsia" w:cstheme="minorBidi"/>
            <w:noProof/>
            <w:sz w:val="22"/>
            <w:lang w:eastAsia="en-GB"/>
          </w:rPr>
          <w:tab/>
        </w:r>
        <w:r w:rsidR="00A42B78" w:rsidRPr="005A6846">
          <w:rPr>
            <w:rStyle w:val="Hyperlink"/>
            <w:noProof/>
          </w:rPr>
          <w:t>Governance</w:t>
        </w:r>
        <w:r w:rsidR="00A42B78">
          <w:rPr>
            <w:noProof/>
            <w:webHidden/>
          </w:rPr>
          <w:tab/>
        </w:r>
        <w:r w:rsidR="00A42B78">
          <w:rPr>
            <w:noProof/>
            <w:webHidden/>
          </w:rPr>
          <w:fldChar w:fldCharType="begin"/>
        </w:r>
        <w:r w:rsidR="00A42B78">
          <w:rPr>
            <w:noProof/>
            <w:webHidden/>
          </w:rPr>
          <w:instrText xml:space="preserve"> PAGEREF _Toc122626073 \h </w:instrText>
        </w:r>
        <w:r w:rsidR="00A42B78">
          <w:rPr>
            <w:noProof/>
            <w:webHidden/>
          </w:rPr>
        </w:r>
        <w:r w:rsidR="00A42B78">
          <w:rPr>
            <w:noProof/>
            <w:webHidden/>
          </w:rPr>
          <w:fldChar w:fldCharType="separate"/>
        </w:r>
        <w:r w:rsidR="000E4B6F">
          <w:rPr>
            <w:noProof/>
            <w:webHidden/>
          </w:rPr>
          <w:t>28</w:t>
        </w:r>
        <w:r w:rsidR="00A42B78">
          <w:rPr>
            <w:noProof/>
            <w:webHidden/>
          </w:rPr>
          <w:fldChar w:fldCharType="end"/>
        </w:r>
      </w:hyperlink>
    </w:p>
    <w:p w14:paraId="55E3236C" w14:textId="165C7D24" w:rsidR="00A42B78" w:rsidRDefault="00BB56AD">
      <w:pPr>
        <w:pStyle w:val="TOC2"/>
        <w:rPr>
          <w:rFonts w:eastAsiaTheme="minorEastAsia" w:cstheme="minorBidi"/>
          <w:noProof/>
          <w:sz w:val="22"/>
          <w:lang w:eastAsia="en-GB"/>
        </w:rPr>
      </w:pPr>
      <w:hyperlink w:anchor="_Toc122626074" w:history="1">
        <w:r w:rsidR="00A42B78" w:rsidRPr="005A6846">
          <w:rPr>
            <w:rStyle w:val="Hyperlink"/>
            <w:noProof/>
          </w:rPr>
          <w:t>6.4</w:t>
        </w:r>
        <w:r w:rsidR="00A42B78">
          <w:rPr>
            <w:rFonts w:eastAsiaTheme="minorEastAsia" w:cstheme="minorBidi"/>
            <w:noProof/>
            <w:sz w:val="22"/>
            <w:lang w:eastAsia="en-GB"/>
          </w:rPr>
          <w:tab/>
        </w:r>
        <w:r w:rsidR="00A42B78" w:rsidRPr="005A6846">
          <w:rPr>
            <w:rStyle w:val="Hyperlink"/>
            <w:noProof/>
          </w:rPr>
          <w:t>Control Functions</w:t>
        </w:r>
        <w:r w:rsidR="00A42B78">
          <w:rPr>
            <w:noProof/>
            <w:webHidden/>
          </w:rPr>
          <w:tab/>
        </w:r>
        <w:r w:rsidR="00A42B78">
          <w:rPr>
            <w:noProof/>
            <w:webHidden/>
          </w:rPr>
          <w:fldChar w:fldCharType="begin"/>
        </w:r>
        <w:r w:rsidR="00A42B78">
          <w:rPr>
            <w:noProof/>
            <w:webHidden/>
          </w:rPr>
          <w:instrText xml:space="preserve"> PAGEREF _Toc122626074 \h </w:instrText>
        </w:r>
        <w:r w:rsidR="00A42B78">
          <w:rPr>
            <w:noProof/>
            <w:webHidden/>
          </w:rPr>
        </w:r>
        <w:r w:rsidR="00A42B78">
          <w:rPr>
            <w:noProof/>
            <w:webHidden/>
          </w:rPr>
          <w:fldChar w:fldCharType="separate"/>
        </w:r>
        <w:r w:rsidR="000E4B6F">
          <w:rPr>
            <w:noProof/>
            <w:webHidden/>
          </w:rPr>
          <w:t>28</w:t>
        </w:r>
        <w:r w:rsidR="00A42B78">
          <w:rPr>
            <w:noProof/>
            <w:webHidden/>
          </w:rPr>
          <w:fldChar w:fldCharType="end"/>
        </w:r>
      </w:hyperlink>
    </w:p>
    <w:p w14:paraId="05D2D0A3" w14:textId="3BE6A258" w:rsidR="00A42B78" w:rsidRDefault="00BB56AD">
      <w:pPr>
        <w:pStyle w:val="TOC2"/>
        <w:rPr>
          <w:rFonts w:eastAsiaTheme="minorEastAsia" w:cstheme="minorBidi"/>
          <w:noProof/>
          <w:sz w:val="22"/>
          <w:lang w:eastAsia="en-GB"/>
        </w:rPr>
      </w:pPr>
      <w:hyperlink w:anchor="_Toc122626075" w:history="1">
        <w:r w:rsidR="00A42B78" w:rsidRPr="005A6846">
          <w:rPr>
            <w:rStyle w:val="Hyperlink"/>
            <w:noProof/>
          </w:rPr>
          <w:t>6.5</w:t>
        </w:r>
        <w:r w:rsidR="00A42B78">
          <w:rPr>
            <w:rFonts w:eastAsiaTheme="minorEastAsia" w:cstheme="minorBidi"/>
            <w:noProof/>
            <w:sz w:val="22"/>
            <w:lang w:eastAsia="en-GB"/>
          </w:rPr>
          <w:tab/>
        </w:r>
        <w:r w:rsidR="00A42B78" w:rsidRPr="005A6846">
          <w:rPr>
            <w:rStyle w:val="Hyperlink"/>
            <w:noProof/>
          </w:rPr>
          <w:t>Material Risk Takers</w:t>
        </w:r>
        <w:r w:rsidR="00A42B78">
          <w:rPr>
            <w:noProof/>
            <w:webHidden/>
          </w:rPr>
          <w:tab/>
        </w:r>
        <w:r w:rsidR="00A42B78">
          <w:rPr>
            <w:noProof/>
            <w:webHidden/>
          </w:rPr>
          <w:fldChar w:fldCharType="begin"/>
        </w:r>
        <w:r w:rsidR="00A42B78">
          <w:rPr>
            <w:noProof/>
            <w:webHidden/>
          </w:rPr>
          <w:instrText xml:space="preserve"> PAGEREF _Toc122626075 \h </w:instrText>
        </w:r>
        <w:r w:rsidR="00A42B78">
          <w:rPr>
            <w:noProof/>
            <w:webHidden/>
          </w:rPr>
        </w:r>
        <w:r w:rsidR="00A42B78">
          <w:rPr>
            <w:noProof/>
            <w:webHidden/>
          </w:rPr>
          <w:fldChar w:fldCharType="separate"/>
        </w:r>
        <w:r w:rsidR="000E4B6F">
          <w:rPr>
            <w:noProof/>
            <w:webHidden/>
          </w:rPr>
          <w:t>29</w:t>
        </w:r>
        <w:r w:rsidR="00A42B78">
          <w:rPr>
            <w:noProof/>
            <w:webHidden/>
          </w:rPr>
          <w:fldChar w:fldCharType="end"/>
        </w:r>
      </w:hyperlink>
    </w:p>
    <w:p w14:paraId="039AADFF" w14:textId="7975F299" w:rsidR="00A42B78" w:rsidRDefault="00BB56AD">
      <w:pPr>
        <w:pStyle w:val="TOC2"/>
        <w:rPr>
          <w:rFonts w:eastAsiaTheme="minorEastAsia" w:cstheme="minorBidi"/>
          <w:noProof/>
          <w:sz w:val="22"/>
          <w:lang w:eastAsia="en-GB"/>
        </w:rPr>
      </w:pPr>
      <w:hyperlink w:anchor="_Toc122626076" w:history="1">
        <w:r w:rsidR="00A42B78" w:rsidRPr="005A6846">
          <w:rPr>
            <w:rStyle w:val="Hyperlink"/>
            <w:noProof/>
          </w:rPr>
          <w:t>6.6</w:t>
        </w:r>
        <w:r w:rsidR="00A42B78">
          <w:rPr>
            <w:rFonts w:eastAsiaTheme="minorEastAsia" w:cstheme="minorBidi"/>
            <w:noProof/>
            <w:sz w:val="22"/>
            <w:lang w:eastAsia="en-GB"/>
          </w:rPr>
          <w:tab/>
        </w:r>
        <w:r w:rsidR="00A42B78" w:rsidRPr="005A6846">
          <w:rPr>
            <w:rStyle w:val="Hyperlink"/>
            <w:noProof/>
          </w:rPr>
          <w:t>Reward Strategy in Practice</w:t>
        </w:r>
        <w:r w:rsidR="00A42B78">
          <w:rPr>
            <w:noProof/>
            <w:webHidden/>
          </w:rPr>
          <w:tab/>
        </w:r>
        <w:r w:rsidR="00A42B78">
          <w:rPr>
            <w:noProof/>
            <w:webHidden/>
          </w:rPr>
          <w:fldChar w:fldCharType="begin"/>
        </w:r>
        <w:r w:rsidR="00A42B78">
          <w:rPr>
            <w:noProof/>
            <w:webHidden/>
          </w:rPr>
          <w:instrText xml:space="preserve"> PAGEREF _Toc122626076 \h </w:instrText>
        </w:r>
        <w:r w:rsidR="00A42B78">
          <w:rPr>
            <w:noProof/>
            <w:webHidden/>
          </w:rPr>
        </w:r>
        <w:r w:rsidR="00A42B78">
          <w:rPr>
            <w:noProof/>
            <w:webHidden/>
          </w:rPr>
          <w:fldChar w:fldCharType="separate"/>
        </w:r>
        <w:r w:rsidR="000E4B6F">
          <w:rPr>
            <w:noProof/>
            <w:webHidden/>
          </w:rPr>
          <w:t>29</w:t>
        </w:r>
        <w:r w:rsidR="00A42B78">
          <w:rPr>
            <w:noProof/>
            <w:webHidden/>
          </w:rPr>
          <w:fldChar w:fldCharType="end"/>
        </w:r>
      </w:hyperlink>
    </w:p>
    <w:p w14:paraId="6011CCA0" w14:textId="48C56D22" w:rsidR="00A42B78" w:rsidRDefault="00BB56AD">
      <w:pPr>
        <w:pStyle w:val="TOC2"/>
        <w:rPr>
          <w:rFonts w:eastAsiaTheme="minorEastAsia" w:cstheme="minorBidi"/>
          <w:noProof/>
          <w:sz w:val="22"/>
          <w:lang w:eastAsia="en-GB"/>
        </w:rPr>
      </w:pPr>
      <w:hyperlink w:anchor="_Toc122626077" w:history="1">
        <w:r w:rsidR="00A42B78" w:rsidRPr="005A6846">
          <w:rPr>
            <w:rStyle w:val="Hyperlink"/>
            <w:noProof/>
          </w:rPr>
          <w:t>6.7</w:t>
        </w:r>
        <w:r w:rsidR="00A42B78">
          <w:rPr>
            <w:rFonts w:eastAsiaTheme="minorEastAsia" w:cstheme="minorBidi"/>
            <w:noProof/>
            <w:sz w:val="22"/>
            <w:lang w:eastAsia="en-GB"/>
          </w:rPr>
          <w:tab/>
        </w:r>
        <w:r w:rsidR="00A42B78" w:rsidRPr="005A6846">
          <w:rPr>
            <w:rStyle w:val="Hyperlink"/>
            <w:noProof/>
          </w:rPr>
          <w:t>Link between Pay and Performance</w:t>
        </w:r>
        <w:r w:rsidR="00A42B78">
          <w:rPr>
            <w:noProof/>
            <w:webHidden/>
          </w:rPr>
          <w:tab/>
        </w:r>
        <w:r w:rsidR="00A42B78">
          <w:rPr>
            <w:noProof/>
            <w:webHidden/>
          </w:rPr>
          <w:fldChar w:fldCharType="begin"/>
        </w:r>
        <w:r w:rsidR="00A42B78">
          <w:rPr>
            <w:noProof/>
            <w:webHidden/>
          </w:rPr>
          <w:instrText xml:space="preserve"> PAGEREF _Toc122626077 \h </w:instrText>
        </w:r>
        <w:r w:rsidR="00A42B78">
          <w:rPr>
            <w:noProof/>
            <w:webHidden/>
          </w:rPr>
        </w:r>
        <w:r w:rsidR="00A42B78">
          <w:rPr>
            <w:noProof/>
            <w:webHidden/>
          </w:rPr>
          <w:fldChar w:fldCharType="separate"/>
        </w:r>
        <w:r w:rsidR="000E4B6F">
          <w:rPr>
            <w:noProof/>
            <w:webHidden/>
          </w:rPr>
          <w:t>31</w:t>
        </w:r>
        <w:r w:rsidR="00A42B78">
          <w:rPr>
            <w:noProof/>
            <w:webHidden/>
          </w:rPr>
          <w:fldChar w:fldCharType="end"/>
        </w:r>
      </w:hyperlink>
    </w:p>
    <w:p w14:paraId="25E410C9" w14:textId="5157101A" w:rsidR="00A42B78" w:rsidRDefault="00BB56AD">
      <w:pPr>
        <w:pStyle w:val="TOC2"/>
        <w:rPr>
          <w:rFonts w:eastAsiaTheme="minorEastAsia" w:cstheme="minorBidi"/>
          <w:noProof/>
          <w:sz w:val="22"/>
          <w:lang w:eastAsia="en-GB"/>
        </w:rPr>
      </w:pPr>
      <w:hyperlink w:anchor="_Toc122626078" w:history="1">
        <w:r w:rsidR="00A42B78" w:rsidRPr="005A6846">
          <w:rPr>
            <w:rStyle w:val="Hyperlink"/>
            <w:noProof/>
          </w:rPr>
          <w:t>6.8</w:t>
        </w:r>
        <w:r w:rsidR="00A42B78">
          <w:rPr>
            <w:rFonts w:eastAsiaTheme="minorEastAsia" w:cstheme="minorBidi"/>
            <w:noProof/>
            <w:sz w:val="22"/>
            <w:lang w:eastAsia="en-GB"/>
          </w:rPr>
          <w:tab/>
        </w:r>
        <w:r w:rsidR="00A42B78" w:rsidRPr="005A6846">
          <w:rPr>
            <w:rStyle w:val="Hyperlink"/>
            <w:noProof/>
          </w:rPr>
          <w:t>Aggregate Remuneration Data</w:t>
        </w:r>
        <w:r w:rsidR="00A42B78">
          <w:rPr>
            <w:noProof/>
            <w:webHidden/>
          </w:rPr>
          <w:tab/>
        </w:r>
        <w:r w:rsidR="00A42B78">
          <w:rPr>
            <w:noProof/>
            <w:webHidden/>
          </w:rPr>
          <w:fldChar w:fldCharType="begin"/>
        </w:r>
        <w:r w:rsidR="00A42B78">
          <w:rPr>
            <w:noProof/>
            <w:webHidden/>
          </w:rPr>
          <w:instrText xml:space="preserve"> PAGEREF _Toc122626078 \h </w:instrText>
        </w:r>
        <w:r w:rsidR="00A42B78">
          <w:rPr>
            <w:noProof/>
            <w:webHidden/>
          </w:rPr>
        </w:r>
        <w:r w:rsidR="00A42B78">
          <w:rPr>
            <w:noProof/>
            <w:webHidden/>
          </w:rPr>
          <w:fldChar w:fldCharType="separate"/>
        </w:r>
        <w:r w:rsidR="000E4B6F">
          <w:rPr>
            <w:noProof/>
            <w:webHidden/>
          </w:rPr>
          <w:t>31</w:t>
        </w:r>
        <w:r w:rsidR="00A42B78">
          <w:rPr>
            <w:noProof/>
            <w:webHidden/>
          </w:rPr>
          <w:fldChar w:fldCharType="end"/>
        </w:r>
      </w:hyperlink>
    </w:p>
    <w:p w14:paraId="3964AFC2" w14:textId="0292BF99" w:rsidR="00A42B78" w:rsidRDefault="00BB56AD">
      <w:pPr>
        <w:pStyle w:val="TOC2"/>
        <w:rPr>
          <w:rFonts w:eastAsiaTheme="minorEastAsia" w:cstheme="minorBidi"/>
          <w:noProof/>
          <w:sz w:val="22"/>
          <w:lang w:eastAsia="en-GB"/>
        </w:rPr>
      </w:pPr>
      <w:hyperlink w:anchor="_Toc122626079" w:history="1">
        <w:r w:rsidR="00A42B78" w:rsidRPr="005A6846">
          <w:rPr>
            <w:rStyle w:val="Hyperlink"/>
            <w:noProof/>
          </w:rPr>
          <w:t>6.9</w:t>
        </w:r>
        <w:r w:rsidR="00A42B78">
          <w:rPr>
            <w:rFonts w:eastAsiaTheme="minorEastAsia" w:cstheme="minorBidi"/>
            <w:noProof/>
            <w:sz w:val="22"/>
            <w:lang w:eastAsia="en-GB"/>
          </w:rPr>
          <w:tab/>
        </w:r>
        <w:r w:rsidR="00A42B78" w:rsidRPr="005A6846">
          <w:rPr>
            <w:rStyle w:val="Hyperlink"/>
            <w:noProof/>
          </w:rPr>
          <w:t>Statement on Exemptions</w:t>
        </w:r>
        <w:r w:rsidR="00A42B78">
          <w:rPr>
            <w:noProof/>
            <w:webHidden/>
          </w:rPr>
          <w:tab/>
        </w:r>
        <w:r w:rsidR="00A42B78">
          <w:rPr>
            <w:noProof/>
            <w:webHidden/>
          </w:rPr>
          <w:fldChar w:fldCharType="begin"/>
        </w:r>
        <w:r w:rsidR="00A42B78">
          <w:rPr>
            <w:noProof/>
            <w:webHidden/>
          </w:rPr>
          <w:instrText xml:space="preserve"> PAGEREF _Toc122626079 \h </w:instrText>
        </w:r>
        <w:r w:rsidR="00A42B78">
          <w:rPr>
            <w:noProof/>
            <w:webHidden/>
          </w:rPr>
        </w:r>
        <w:r w:rsidR="00A42B78">
          <w:rPr>
            <w:noProof/>
            <w:webHidden/>
          </w:rPr>
          <w:fldChar w:fldCharType="separate"/>
        </w:r>
        <w:r w:rsidR="000E4B6F">
          <w:rPr>
            <w:noProof/>
            <w:webHidden/>
          </w:rPr>
          <w:t>32</w:t>
        </w:r>
        <w:r w:rsidR="00A42B78">
          <w:rPr>
            <w:noProof/>
            <w:webHidden/>
          </w:rPr>
          <w:fldChar w:fldCharType="end"/>
        </w:r>
      </w:hyperlink>
    </w:p>
    <w:p w14:paraId="66B77CEA" w14:textId="1E6961E5" w:rsidR="00A42B78" w:rsidRDefault="00BB56AD">
      <w:pPr>
        <w:pStyle w:val="TOC1"/>
        <w:rPr>
          <w:rFonts w:eastAsiaTheme="minorEastAsia"/>
          <w:b w:val="0"/>
          <w:noProof/>
          <w:lang w:eastAsia="en-GB"/>
        </w:rPr>
      </w:pPr>
      <w:hyperlink w:anchor="_Toc122626080" w:history="1">
        <w:r w:rsidR="00A42B78" w:rsidRPr="005A6846">
          <w:rPr>
            <w:rStyle w:val="Hyperlink"/>
            <w:noProof/>
          </w:rPr>
          <w:t>7</w:t>
        </w:r>
        <w:r w:rsidR="00A42B78">
          <w:rPr>
            <w:rFonts w:eastAsiaTheme="minorEastAsia"/>
            <w:b w:val="0"/>
            <w:noProof/>
            <w:lang w:eastAsia="en-GB"/>
          </w:rPr>
          <w:tab/>
        </w:r>
        <w:r w:rsidR="00A42B78" w:rsidRPr="005A6846">
          <w:rPr>
            <w:rStyle w:val="Hyperlink"/>
            <w:noProof/>
          </w:rPr>
          <w:t>Investment Policy (Article 52 IFR)</w:t>
        </w:r>
        <w:r w:rsidR="00A42B78">
          <w:rPr>
            <w:noProof/>
            <w:webHidden/>
          </w:rPr>
          <w:tab/>
        </w:r>
        <w:r w:rsidR="00A42B78">
          <w:rPr>
            <w:noProof/>
            <w:webHidden/>
          </w:rPr>
          <w:fldChar w:fldCharType="begin"/>
        </w:r>
        <w:r w:rsidR="00A42B78">
          <w:rPr>
            <w:noProof/>
            <w:webHidden/>
          </w:rPr>
          <w:instrText xml:space="preserve"> PAGEREF _Toc122626080 \h </w:instrText>
        </w:r>
        <w:r w:rsidR="00A42B78">
          <w:rPr>
            <w:noProof/>
            <w:webHidden/>
          </w:rPr>
        </w:r>
        <w:r w:rsidR="00A42B78">
          <w:rPr>
            <w:noProof/>
            <w:webHidden/>
          </w:rPr>
          <w:fldChar w:fldCharType="separate"/>
        </w:r>
        <w:r w:rsidR="000E4B6F">
          <w:rPr>
            <w:noProof/>
            <w:webHidden/>
          </w:rPr>
          <w:t>33</w:t>
        </w:r>
        <w:r w:rsidR="00A42B78">
          <w:rPr>
            <w:noProof/>
            <w:webHidden/>
          </w:rPr>
          <w:fldChar w:fldCharType="end"/>
        </w:r>
      </w:hyperlink>
    </w:p>
    <w:p w14:paraId="28401C3D" w14:textId="019D5543" w:rsidR="00A42B78" w:rsidRDefault="00BB56AD">
      <w:pPr>
        <w:pStyle w:val="TOC1"/>
        <w:rPr>
          <w:rFonts w:eastAsiaTheme="minorEastAsia"/>
          <w:b w:val="0"/>
          <w:noProof/>
          <w:lang w:eastAsia="en-GB"/>
        </w:rPr>
      </w:pPr>
      <w:hyperlink w:anchor="_Toc122626081" w:history="1">
        <w:r w:rsidR="00A42B78" w:rsidRPr="005A6846">
          <w:rPr>
            <w:rStyle w:val="Hyperlink"/>
            <w:noProof/>
          </w:rPr>
          <w:t>8</w:t>
        </w:r>
        <w:r w:rsidR="00A42B78">
          <w:rPr>
            <w:rFonts w:eastAsiaTheme="minorEastAsia"/>
            <w:b w:val="0"/>
            <w:noProof/>
            <w:lang w:eastAsia="en-GB"/>
          </w:rPr>
          <w:tab/>
        </w:r>
        <w:r w:rsidR="00A42B78" w:rsidRPr="005A6846">
          <w:rPr>
            <w:rStyle w:val="Hyperlink"/>
            <w:noProof/>
          </w:rPr>
          <w:t>Environmental, Social and Governance Risks (Article 53 IFR)</w:t>
        </w:r>
        <w:r w:rsidR="00A42B78">
          <w:rPr>
            <w:noProof/>
            <w:webHidden/>
          </w:rPr>
          <w:tab/>
        </w:r>
        <w:r w:rsidR="00A42B78">
          <w:rPr>
            <w:noProof/>
            <w:webHidden/>
          </w:rPr>
          <w:fldChar w:fldCharType="begin"/>
        </w:r>
        <w:r w:rsidR="00A42B78">
          <w:rPr>
            <w:noProof/>
            <w:webHidden/>
          </w:rPr>
          <w:instrText xml:space="preserve"> PAGEREF _Toc122626081 \h </w:instrText>
        </w:r>
        <w:r w:rsidR="00A42B78">
          <w:rPr>
            <w:noProof/>
            <w:webHidden/>
          </w:rPr>
        </w:r>
        <w:r w:rsidR="00A42B78">
          <w:rPr>
            <w:noProof/>
            <w:webHidden/>
          </w:rPr>
          <w:fldChar w:fldCharType="separate"/>
        </w:r>
        <w:r w:rsidR="000E4B6F">
          <w:rPr>
            <w:noProof/>
            <w:webHidden/>
          </w:rPr>
          <w:t>34</w:t>
        </w:r>
        <w:r w:rsidR="00A42B78">
          <w:rPr>
            <w:noProof/>
            <w:webHidden/>
          </w:rPr>
          <w:fldChar w:fldCharType="end"/>
        </w:r>
      </w:hyperlink>
    </w:p>
    <w:p w14:paraId="5BE17A22" w14:textId="43E9AB27" w:rsidR="002B3C0F" w:rsidRPr="00813C71" w:rsidRDefault="006A7EC2" w:rsidP="00E360A0">
      <w:pPr>
        <w:tabs>
          <w:tab w:val="left" w:pos="1725"/>
        </w:tabs>
        <w:spacing w:after="0" w:line="360" w:lineRule="auto"/>
        <w:jc w:val="both"/>
        <w:rPr>
          <w:rFonts w:ascii="Segoe UI" w:hAnsi="Segoe UI" w:cs="Segoe UI"/>
          <w:color w:val="0F243E" w:themeColor="text2" w:themeShade="80"/>
        </w:rPr>
      </w:pPr>
      <w:r w:rsidRPr="0074724B">
        <w:rPr>
          <w:rFonts w:ascii="Segoe UI" w:hAnsi="Segoe UI" w:cs="Segoe UI"/>
          <w:color w:val="014171"/>
        </w:rPr>
        <w:fldChar w:fldCharType="end"/>
      </w:r>
    </w:p>
    <w:p w14:paraId="4AF6DDD6" w14:textId="70BBFFC5" w:rsidR="00921A5C" w:rsidRPr="00813C71" w:rsidRDefault="00921A5C" w:rsidP="00E360A0">
      <w:pPr>
        <w:spacing w:after="0" w:line="360" w:lineRule="auto"/>
        <w:jc w:val="both"/>
        <w:rPr>
          <w:rFonts w:ascii="Segoe UI" w:hAnsi="Segoe UI" w:cs="Segoe UI"/>
          <w:color w:val="0F243E" w:themeColor="text2" w:themeShade="80"/>
        </w:rPr>
      </w:pPr>
      <w:r w:rsidRPr="00813C71">
        <w:rPr>
          <w:rFonts w:ascii="Segoe UI" w:hAnsi="Segoe UI" w:cs="Segoe UI"/>
          <w:color w:val="0F243E" w:themeColor="text2" w:themeShade="80"/>
        </w:rPr>
        <w:br w:type="page"/>
      </w:r>
    </w:p>
    <w:p w14:paraId="23B8AE78" w14:textId="4A17BB22" w:rsidR="00974482" w:rsidRPr="005A1108" w:rsidRDefault="00974482" w:rsidP="00E360A0">
      <w:pPr>
        <w:spacing w:after="0"/>
        <w:jc w:val="both"/>
        <w:rPr>
          <w:rFonts w:ascii="Georgia" w:hAnsi="Georgia" w:cs="Segoe UI"/>
          <w:b/>
          <w:color w:val="DBB132"/>
          <w:sz w:val="32"/>
          <w:szCs w:val="24"/>
        </w:rPr>
      </w:pPr>
      <w:r w:rsidRPr="005A1108">
        <w:rPr>
          <w:rFonts w:ascii="Georgia" w:hAnsi="Georgia" w:cs="Segoe UI"/>
          <w:b/>
          <w:color w:val="DBB132"/>
          <w:sz w:val="32"/>
          <w:szCs w:val="24"/>
        </w:rPr>
        <w:lastRenderedPageBreak/>
        <w:t xml:space="preserve">Glossary of </w:t>
      </w:r>
      <w:r w:rsidR="00C41BF3" w:rsidRPr="005A1108">
        <w:rPr>
          <w:rFonts w:ascii="Georgia" w:hAnsi="Georgia" w:cs="Segoe UI"/>
          <w:b/>
          <w:color w:val="DBB132"/>
          <w:sz w:val="32"/>
          <w:szCs w:val="24"/>
        </w:rPr>
        <w:t>T</w:t>
      </w:r>
      <w:r w:rsidRPr="005A1108">
        <w:rPr>
          <w:rFonts w:ascii="Georgia" w:hAnsi="Georgia" w:cs="Segoe UI"/>
          <w:b/>
          <w:color w:val="DBB132"/>
          <w:sz w:val="32"/>
          <w:szCs w:val="24"/>
        </w:rPr>
        <w:t>erms</w:t>
      </w:r>
      <w:r w:rsidR="002E669B" w:rsidRPr="005A1108">
        <w:rPr>
          <w:rFonts w:ascii="Georgia" w:hAnsi="Georgia" w:cs="Segoe UI"/>
          <w:b/>
          <w:color w:val="DBB132"/>
          <w:sz w:val="32"/>
          <w:szCs w:val="24"/>
        </w:rPr>
        <w:t xml:space="preserve"> and </w:t>
      </w:r>
      <w:r w:rsidR="00C41BF3" w:rsidRPr="005A1108">
        <w:rPr>
          <w:rFonts w:ascii="Georgia" w:hAnsi="Georgia" w:cs="Segoe UI"/>
          <w:b/>
          <w:color w:val="DBB132"/>
          <w:sz w:val="32"/>
          <w:szCs w:val="24"/>
        </w:rPr>
        <w:t>A</w:t>
      </w:r>
      <w:r w:rsidR="002E669B" w:rsidRPr="005A1108">
        <w:rPr>
          <w:rFonts w:ascii="Georgia" w:hAnsi="Georgia" w:cs="Segoe UI"/>
          <w:b/>
          <w:color w:val="DBB132"/>
          <w:sz w:val="32"/>
          <w:szCs w:val="24"/>
        </w:rPr>
        <w:t>bbreviations</w:t>
      </w:r>
      <w:bookmarkEnd w:id="0"/>
    </w:p>
    <w:p w14:paraId="7F09F793" w14:textId="1DA9CC4D" w:rsidR="002E669B" w:rsidRPr="00813C71" w:rsidRDefault="002E669B" w:rsidP="00E360A0">
      <w:pPr>
        <w:spacing w:after="0"/>
        <w:jc w:val="both"/>
        <w:rPr>
          <w:rFonts w:ascii="Segoe UI" w:hAnsi="Segoe UI" w:cs="Segoe UI"/>
          <w:color w:val="0F243E" w:themeColor="text2" w:themeShade="80"/>
          <w:sz w:val="16"/>
          <w:szCs w:val="16"/>
        </w:rPr>
      </w:pPr>
    </w:p>
    <w:p w14:paraId="3C6BB545" w14:textId="77777777" w:rsidR="00B4218A" w:rsidRPr="00813C71" w:rsidRDefault="00B4218A" w:rsidP="00F564F7">
      <w:pPr>
        <w:spacing w:after="0"/>
        <w:jc w:val="both"/>
        <w:rPr>
          <w:rFonts w:ascii="Segoe UI" w:eastAsia="Times New Roman" w:hAnsi="Segoe UI" w:cs="Segoe UI"/>
          <w:b/>
          <w:bCs/>
          <w:color w:val="0F243E" w:themeColor="text2" w:themeShade="80"/>
          <w:sz w:val="16"/>
          <w:szCs w:val="16"/>
          <w:lang w:eastAsia="ja-JP"/>
        </w:rPr>
        <w:sectPr w:rsidR="00B4218A" w:rsidRPr="00813C71" w:rsidSect="00791201">
          <w:headerReference w:type="default" r:id="rId8"/>
          <w:footerReference w:type="default" r:id="rId9"/>
          <w:headerReference w:type="first" r:id="rId10"/>
          <w:footerReference w:type="first" r:id="rId11"/>
          <w:pgSz w:w="11906" w:h="16838"/>
          <w:pgMar w:top="2270" w:right="1440" w:bottom="1560" w:left="1440" w:header="708" w:footer="421" w:gutter="0"/>
          <w:cols w:space="720"/>
          <w:titlePg/>
          <w:docGrid w:linePitch="360"/>
        </w:sectPr>
      </w:pPr>
    </w:p>
    <w:tbl>
      <w:tblPr>
        <w:tblW w:w="4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149"/>
      </w:tblGrid>
      <w:tr w:rsidR="00A22D32" w:rsidRPr="00377C35" w14:paraId="35FD8087" w14:textId="77777777" w:rsidTr="007A2631">
        <w:trPr>
          <w:trHeight w:val="397"/>
          <w:jc w:val="center"/>
        </w:trPr>
        <w:tc>
          <w:tcPr>
            <w:tcW w:w="954" w:type="dxa"/>
            <w:shd w:val="clear" w:color="auto" w:fill="auto"/>
            <w:noWrap/>
            <w:vAlign w:val="center"/>
          </w:tcPr>
          <w:p w14:paraId="49A8253A" w14:textId="25EB4A38" w:rsidR="00CE0A92" w:rsidRPr="0008166B" w:rsidRDefault="00CE0A92" w:rsidP="00E360A0">
            <w:pPr>
              <w:spacing w:after="0"/>
              <w:jc w:val="both"/>
              <w:rPr>
                <w:rFonts w:ascii="Segoe UI" w:eastAsia="Times New Roman" w:hAnsi="Segoe UI" w:cs="Segoe UI"/>
                <w:b/>
                <w:bCs/>
                <w:color w:val="014171"/>
                <w:sz w:val="16"/>
                <w:szCs w:val="18"/>
                <w:lang w:eastAsia="ja-JP"/>
              </w:rPr>
            </w:pPr>
            <w:r w:rsidRPr="0008166B">
              <w:rPr>
                <w:rFonts w:ascii="Segoe UI" w:eastAsia="Times New Roman" w:hAnsi="Segoe UI" w:cs="Segoe UI"/>
                <w:b/>
                <w:bCs/>
                <w:color w:val="014171"/>
                <w:sz w:val="16"/>
                <w:szCs w:val="18"/>
                <w:lang w:eastAsia="ja-JP"/>
              </w:rPr>
              <w:t>BaFin</w:t>
            </w:r>
          </w:p>
        </w:tc>
        <w:tc>
          <w:tcPr>
            <w:tcW w:w="3149" w:type="dxa"/>
            <w:shd w:val="clear" w:color="auto" w:fill="auto"/>
            <w:vAlign w:val="center"/>
          </w:tcPr>
          <w:p w14:paraId="52A8EF9F" w14:textId="373B1F0F" w:rsidR="00CE0A92" w:rsidRPr="0008166B" w:rsidRDefault="00CE0A92" w:rsidP="00E360A0">
            <w:pPr>
              <w:spacing w:after="0"/>
              <w:jc w:val="both"/>
              <w:rPr>
                <w:rFonts w:ascii="Segoe UI" w:eastAsia="Times New Roman" w:hAnsi="Segoe UI" w:cs="Segoe UI"/>
                <w:color w:val="014171"/>
                <w:sz w:val="16"/>
                <w:szCs w:val="18"/>
                <w:lang w:eastAsia="ja-JP"/>
              </w:rPr>
            </w:pPr>
            <w:r w:rsidRPr="0008166B">
              <w:rPr>
                <w:rFonts w:ascii="Segoe UI" w:eastAsia="Times New Roman" w:hAnsi="Segoe UI" w:cs="Segoe UI"/>
                <w:color w:val="014171"/>
                <w:sz w:val="16"/>
                <w:szCs w:val="18"/>
                <w:lang w:eastAsia="ja-JP"/>
              </w:rPr>
              <w:t xml:space="preserve">The </w:t>
            </w:r>
            <w:r w:rsidR="007D427F" w:rsidRPr="00377C35">
              <w:rPr>
                <w:rFonts w:ascii="Segoe UI" w:eastAsia="Times New Roman" w:hAnsi="Segoe UI" w:cs="Segoe UI"/>
                <w:color w:val="014171"/>
                <w:sz w:val="16"/>
                <w:szCs w:val="18"/>
                <w:lang w:eastAsia="ja-JP"/>
              </w:rPr>
              <w:t xml:space="preserve">German </w:t>
            </w:r>
            <w:r w:rsidRPr="0008166B">
              <w:rPr>
                <w:rFonts w:ascii="Segoe UI" w:eastAsia="Times New Roman" w:hAnsi="Segoe UI" w:cs="Segoe UI"/>
                <w:color w:val="014171"/>
                <w:sz w:val="16"/>
                <w:szCs w:val="18"/>
                <w:lang w:eastAsia="ja-JP"/>
              </w:rPr>
              <w:t>Federal Financial Supervisory Authority</w:t>
            </w:r>
          </w:p>
        </w:tc>
      </w:tr>
      <w:tr w:rsidR="00A86C8C" w:rsidRPr="00377C35" w14:paraId="725C62B3" w14:textId="77777777" w:rsidTr="007A2631">
        <w:trPr>
          <w:trHeight w:val="397"/>
          <w:jc w:val="center"/>
        </w:trPr>
        <w:tc>
          <w:tcPr>
            <w:tcW w:w="954" w:type="dxa"/>
            <w:shd w:val="clear" w:color="auto" w:fill="auto"/>
            <w:noWrap/>
            <w:vAlign w:val="center"/>
          </w:tcPr>
          <w:p w14:paraId="0D2302C7" w14:textId="56702DA4" w:rsidR="00A86C8C" w:rsidRPr="0008166B" w:rsidRDefault="00A86C8C" w:rsidP="00E360A0">
            <w:pPr>
              <w:spacing w:after="0"/>
              <w:jc w:val="both"/>
              <w:rPr>
                <w:rFonts w:ascii="Segoe UI" w:eastAsia="Times New Roman" w:hAnsi="Segoe UI" w:cs="Segoe UI"/>
                <w:b/>
                <w:bCs/>
                <w:color w:val="014171"/>
                <w:sz w:val="16"/>
                <w:szCs w:val="18"/>
                <w:lang w:eastAsia="ja-JP"/>
              </w:rPr>
            </w:pPr>
            <w:r w:rsidRPr="0008166B">
              <w:rPr>
                <w:rFonts w:ascii="Segoe UI" w:eastAsia="Times New Roman" w:hAnsi="Segoe UI" w:cs="Segoe UI"/>
                <w:b/>
                <w:bCs/>
                <w:color w:val="014171"/>
                <w:sz w:val="16"/>
                <w:szCs w:val="18"/>
                <w:lang w:eastAsia="ja-JP"/>
              </w:rPr>
              <w:t>BVV</w:t>
            </w:r>
          </w:p>
        </w:tc>
        <w:tc>
          <w:tcPr>
            <w:tcW w:w="3149" w:type="dxa"/>
            <w:shd w:val="clear" w:color="auto" w:fill="auto"/>
            <w:vAlign w:val="center"/>
          </w:tcPr>
          <w:p w14:paraId="132E4D69" w14:textId="14969E48" w:rsidR="00A86C8C" w:rsidRPr="0008166B" w:rsidRDefault="00A86C8C"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BVV Versicherungsverein des Bankgewerbes</w:t>
            </w:r>
          </w:p>
        </w:tc>
      </w:tr>
      <w:tr w:rsidR="00162EA6" w:rsidRPr="00377C35" w14:paraId="6A16CF07" w14:textId="77777777" w:rsidTr="000E4B6F">
        <w:trPr>
          <w:trHeight w:val="397"/>
          <w:jc w:val="center"/>
        </w:trPr>
        <w:tc>
          <w:tcPr>
            <w:tcW w:w="954" w:type="dxa"/>
            <w:shd w:val="clear" w:color="auto" w:fill="auto"/>
            <w:noWrap/>
            <w:vAlign w:val="center"/>
          </w:tcPr>
          <w:p w14:paraId="5797E4F7" w14:textId="77777777" w:rsidR="00162EA6" w:rsidRPr="0008166B" w:rsidRDefault="00162EA6" w:rsidP="000E4B6F">
            <w:pPr>
              <w:spacing w:after="0"/>
              <w:jc w:val="both"/>
              <w:rPr>
                <w:rFonts w:ascii="Segoe UI" w:eastAsia="Times New Roman" w:hAnsi="Segoe UI" w:cs="Segoe UI"/>
                <w:b/>
                <w:bCs/>
                <w:color w:val="014171"/>
                <w:sz w:val="16"/>
                <w:szCs w:val="18"/>
                <w:lang w:eastAsia="ja-JP"/>
              </w:rPr>
            </w:pPr>
            <w:r w:rsidRPr="0008166B">
              <w:rPr>
                <w:rFonts w:ascii="Segoe UI" w:eastAsia="Times New Roman" w:hAnsi="Segoe UI" w:cs="Segoe UI"/>
                <w:b/>
                <w:bCs/>
                <w:color w:val="014171"/>
                <w:sz w:val="16"/>
                <w:szCs w:val="18"/>
                <w:lang w:eastAsia="ja-JP"/>
              </w:rPr>
              <w:t>CEO</w:t>
            </w:r>
          </w:p>
        </w:tc>
        <w:tc>
          <w:tcPr>
            <w:tcW w:w="3149" w:type="dxa"/>
            <w:shd w:val="clear" w:color="auto" w:fill="auto"/>
            <w:noWrap/>
            <w:vAlign w:val="center"/>
          </w:tcPr>
          <w:p w14:paraId="7937BB3B" w14:textId="77777777" w:rsidR="00162EA6" w:rsidRPr="0008166B" w:rsidRDefault="00162EA6" w:rsidP="000E4B6F">
            <w:pPr>
              <w:spacing w:after="0"/>
              <w:jc w:val="both"/>
              <w:rPr>
                <w:rFonts w:ascii="Segoe UI" w:eastAsia="Times New Roman" w:hAnsi="Segoe UI" w:cs="Segoe UI"/>
                <w:color w:val="014171"/>
                <w:sz w:val="16"/>
                <w:szCs w:val="18"/>
                <w:lang w:eastAsia="ja-JP"/>
              </w:rPr>
            </w:pPr>
            <w:r w:rsidRPr="0008166B">
              <w:rPr>
                <w:rFonts w:ascii="Segoe UI" w:eastAsia="Times New Roman" w:hAnsi="Segoe UI" w:cs="Segoe UI"/>
                <w:color w:val="014171"/>
                <w:sz w:val="16"/>
                <w:szCs w:val="18"/>
                <w:lang w:eastAsia="ja-JP"/>
              </w:rPr>
              <w:t>Chief Executive Officer</w:t>
            </w:r>
          </w:p>
        </w:tc>
      </w:tr>
      <w:tr w:rsidR="00A22D32" w:rsidRPr="00377C35" w14:paraId="68E76D5B" w14:textId="77777777" w:rsidTr="007A2631">
        <w:trPr>
          <w:trHeight w:val="397"/>
          <w:jc w:val="center"/>
        </w:trPr>
        <w:tc>
          <w:tcPr>
            <w:tcW w:w="954" w:type="dxa"/>
            <w:shd w:val="clear" w:color="auto" w:fill="auto"/>
            <w:noWrap/>
            <w:vAlign w:val="center"/>
          </w:tcPr>
          <w:p w14:paraId="5F12A666" w14:textId="77777777" w:rsidR="003C2DD7" w:rsidRPr="0008166B" w:rsidRDefault="003C2DD7" w:rsidP="00E360A0">
            <w:pPr>
              <w:spacing w:after="0"/>
              <w:jc w:val="both"/>
              <w:rPr>
                <w:rFonts w:ascii="Segoe UI" w:eastAsia="Times New Roman" w:hAnsi="Segoe UI" w:cs="Segoe UI"/>
                <w:b/>
                <w:bCs/>
                <w:color w:val="014171"/>
                <w:sz w:val="16"/>
                <w:szCs w:val="18"/>
                <w:lang w:eastAsia="ja-JP"/>
              </w:rPr>
            </w:pPr>
            <w:r w:rsidRPr="0008166B">
              <w:rPr>
                <w:rFonts w:ascii="Segoe UI" w:eastAsia="Times New Roman" w:hAnsi="Segoe UI" w:cs="Segoe UI"/>
                <w:b/>
                <w:bCs/>
                <w:color w:val="014171"/>
                <w:sz w:val="16"/>
                <w:szCs w:val="18"/>
                <w:lang w:eastAsia="ja-JP"/>
              </w:rPr>
              <w:t>CET1</w:t>
            </w:r>
          </w:p>
        </w:tc>
        <w:tc>
          <w:tcPr>
            <w:tcW w:w="3149" w:type="dxa"/>
            <w:shd w:val="clear" w:color="auto" w:fill="auto"/>
            <w:noWrap/>
            <w:vAlign w:val="center"/>
          </w:tcPr>
          <w:p w14:paraId="6986869F" w14:textId="77777777" w:rsidR="003C2DD7" w:rsidRPr="0008166B" w:rsidRDefault="003C2DD7" w:rsidP="00E360A0">
            <w:pPr>
              <w:spacing w:after="0"/>
              <w:jc w:val="both"/>
              <w:rPr>
                <w:rFonts w:ascii="Segoe UI" w:eastAsia="Times New Roman" w:hAnsi="Segoe UI" w:cs="Segoe UI"/>
                <w:color w:val="014171"/>
                <w:sz w:val="16"/>
                <w:szCs w:val="18"/>
                <w:lang w:eastAsia="ja-JP"/>
              </w:rPr>
            </w:pPr>
            <w:r w:rsidRPr="0008166B">
              <w:rPr>
                <w:rFonts w:ascii="Segoe UI" w:eastAsia="Times New Roman" w:hAnsi="Segoe UI" w:cs="Segoe UI"/>
                <w:color w:val="014171"/>
                <w:sz w:val="16"/>
                <w:szCs w:val="18"/>
                <w:lang w:eastAsia="ja-JP"/>
              </w:rPr>
              <w:t xml:space="preserve">Common Equity Tier 1 </w:t>
            </w:r>
          </w:p>
        </w:tc>
      </w:tr>
      <w:tr w:rsidR="00A22D32" w:rsidRPr="00377C35" w14:paraId="0A9F9780" w14:textId="77777777" w:rsidTr="007A2631">
        <w:trPr>
          <w:trHeight w:val="397"/>
          <w:jc w:val="center"/>
        </w:trPr>
        <w:tc>
          <w:tcPr>
            <w:tcW w:w="954" w:type="dxa"/>
            <w:shd w:val="clear" w:color="auto" w:fill="auto"/>
            <w:noWrap/>
            <w:vAlign w:val="center"/>
          </w:tcPr>
          <w:p w14:paraId="76E9D14E" w14:textId="041B8A5B" w:rsidR="0066294E" w:rsidRPr="0008166B" w:rsidRDefault="0066294E" w:rsidP="00E360A0">
            <w:pPr>
              <w:spacing w:after="0"/>
              <w:jc w:val="both"/>
              <w:rPr>
                <w:rFonts w:ascii="Segoe UI" w:eastAsia="Times New Roman" w:hAnsi="Segoe UI" w:cs="Segoe UI"/>
                <w:b/>
                <w:bCs/>
                <w:color w:val="014171"/>
                <w:sz w:val="16"/>
                <w:szCs w:val="18"/>
                <w:lang w:eastAsia="ja-JP"/>
              </w:rPr>
            </w:pPr>
            <w:r w:rsidRPr="0008166B">
              <w:rPr>
                <w:rFonts w:ascii="Segoe UI" w:eastAsia="Times New Roman" w:hAnsi="Segoe UI" w:cs="Segoe UI"/>
                <w:b/>
                <w:bCs/>
                <w:color w:val="014171"/>
                <w:sz w:val="16"/>
                <w:szCs w:val="18"/>
                <w:lang w:eastAsia="ja-JP"/>
              </w:rPr>
              <w:t>CFO</w:t>
            </w:r>
          </w:p>
        </w:tc>
        <w:tc>
          <w:tcPr>
            <w:tcW w:w="3149" w:type="dxa"/>
            <w:shd w:val="clear" w:color="auto" w:fill="auto"/>
            <w:noWrap/>
            <w:vAlign w:val="center"/>
          </w:tcPr>
          <w:p w14:paraId="030FA7A8" w14:textId="4BAB6448" w:rsidR="0066294E" w:rsidRPr="0008166B" w:rsidRDefault="0066294E" w:rsidP="00E360A0">
            <w:pPr>
              <w:spacing w:after="0"/>
              <w:jc w:val="both"/>
              <w:rPr>
                <w:rFonts w:ascii="Segoe UI" w:eastAsia="Times New Roman" w:hAnsi="Segoe UI" w:cs="Segoe UI"/>
                <w:color w:val="014171"/>
                <w:sz w:val="16"/>
                <w:szCs w:val="18"/>
                <w:lang w:eastAsia="ja-JP"/>
              </w:rPr>
            </w:pPr>
            <w:r w:rsidRPr="0008166B">
              <w:rPr>
                <w:rFonts w:ascii="Segoe UI" w:eastAsia="Times New Roman" w:hAnsi="Segoe UI" w:cs="Segoe UI"/>
                <w:color w:val="014171"/>
                <w:sz w:val="16"/>
                <w:szCs w:val="18"/>
                <w:lang w:eastAsia="ja-JP"/>
              </w:rPr>
              <w:t>Chief Financial Officer</w:t>
            </w:r>
          </w:p>
        </w:tc>
      </w:tr>
      <w:tr w:rsidR="00A22D32" w:rsidRPr="00377C35" w14:paraId="06904D24" w14:textId="77777777" w:rsidTr="007A2631">
        <w:trPr>
          <w:trHeight w:val="397"/>
          <w:jc w:val="center"/>
        </w:trPr>
        <w:tc>
          <w:tcPr>
            <w:tcW w:w="954" w:type="dxa"/>
            <w:shd w:val="clear" w:color="auto" w:fill="auto"/>
            <w:noWrap/>
            <w:vAlign w:val="center"/>
          </w:tcPr>
          <w:p w14:paraId="60C8BAFF" w14:textId="0387B9FC" w:rsidR="0066294E" w:rsidRPr="00447BD8" w:rsidRDefault="0066294E" w:rsidP="00E360A0">
            <w:pPr>
              <w:spacing w:after="0"/>
              <w:jc w:val="both"/>
              <w:rPr>
                <w:rFonts w:ascii="Segoe UI" w:eastAsia="Times New Roman" w:hAnsi="Segoe UI" w:cs="Segoe UI"/>
                <w:b/>
                <w:bCs/>
                <w:color w:val="014171"/>
                <w:sz w:val="16"/>
                <w:szCs w:val="18"/>
                <w:lang w:eastAsia="ja-JP"/>
              </w:rPr>
            </w:pPr>
            <w:r w:rsidRPr="00447BD8">
              <w:rPr>
                <w:rFonts w:ascii="Segoe UI" w:eastAsia="Times New Roman" w:hAnsi="Segoe UI" w:cs="Segoe UI"/>
                <w:b/>
                <w:bCs/>
                <w:color w:val="014171"/>
                <w:sz w:val="16"/>
                <w:szCs w:val="18"/>
                <w:lang w:eastAsia="ja-JP"/>
              </w:rPr>
              <w:t>CRO</w:t>
            </w:r>
          </w:p>
        </w:tc>
        <w:tc>
          <w:tcPr>
            <w:tcW w:w="3149" w:type="dxa"/>
            <w:shd w:val="clear" w:color="auto" w:fill="auto"/>
            <w:noWrap/>
            <w:vAlign w:val="center"/>
          </w:tcPr>
          <w:p w14:paraId="0FBAA673" w14:textId="5DD2C43D" w:rsidR="0066294E" w:rsidRPr="00447BD8" w:rsidRDefault="0066294E" w:rsidP="00E360A0">
            <w:pPr>
              <w:spacing w:after="0"/>
              <w:jc w:val="both"/>
              <w:rPr>
                <w:rFonts w:ascii="Segoe UI" w:eastAsia="Times New Roman" w:hAnsi="Segoe UI" w:cs="Segoe UI"/>
                <w:color w:val="014171"/>
                <w:sz w:val="16"/>
                <w:szCs w:val="18"/>
                <w:lang w:eastAsia="ja-JP"/>
              </w:rPr>
            </w:pPr>
            <w:r w:rsidRPr="00447BD8">
              <w:rPr>
                <w:rFonts w:ascii="Segoe UI" w:eastAsia="Times New Roman" w:hAnsi="Segoe UI" w:cs="Segoe UI"/>
                <w:color w:val="014171"/>
                <w:sz w:val="16"/>
                <w:szCs w:val="18"/>
                <w:lang w:eastAsia="ja-JP"/>
              </w:rPr>
              <w:t xml:space="preserve">Chief </w:t>
            </w:r>
            <w:r w:rsidR="00942D4E" w:rsidRPr="00447BD8">
              <w:rPr>
                <w:rFonts w:ascii="Segoe UI" w:eastAsia="Times New Roman" w:hAnsi="Segoe UI" w:cs="Segoe UI"/>
                <w:color w:val="014171"/>
                <w:sz w:val="16"/>
                <w:szCs w:val="18"/>
                <w:lang w:eastAsia="ja-JP"/>
              </w:rPr>
              <w:t>Risk</w:t>
            </w:r>
            <w:r w:rsidRPr="00447BD8">
              <w:rPr>
                <w:rFonts w:ascii="Segoe UI" w:eastAsia="Times New Roman" w:hAnsi="Segoe UI" w:cs="Segoe UI"/>
                <w:color w:val="014171"/>
                <w:sz w:val="16"/>
                <w:szCs w:val="18"/>
                <w:lang w:eastAsia="ja-JP"/>
              </w:rPr>
              <w:t xml:space="preserve"> Officer</w:t>
            </w:r>
          </w:p>
        </w:tc>
      </w:tr>
      <w:tr w:rsidR="00A22D32" w:rsidRPr="00377C35" w14:paraId="0E23E738" w14:textId="77777777" w:rsidTr="007A2631">
        <w:trPr>
          <w:trHeight w:val="397"/>
          <w:jc w:val="center"/>
        </w:trPr>
        <w:tc>
          <w:tcPr>
            <w:tcW w:w="954" w:type="dxa"/>
            <w:shd w:val="clear" w:color="auto" w:fill="auto"/>
            <w:noWrap/>
            <w:vAlign w:val="center"/>
          </w:tcPr>
          <w:p w14:paraId="041E7C6F" w14:textId="09EF6B39" w:rsidR="0066294E" w:rsidRPr="00447BD8" w:rsidRDefault="0066294E" w:rsidP="00E360A0">
            <w:pPr>
              <w:spacing w:after="0"/>
              <w:jc w:val="both"/>
              <w:rPr>
                <w:rFonts w:ascii="Segoe UI" w:eastAsia="Times New Roman" w:hAnsi="Segoe UI" w:cs="Segoe UI"/>
                <w:b/>
                <w:bCs/>
                <w:color w:val="014171"/>
                <w:sz w:val="16"/>
                <w:szCs w:val="18"/>
                <w:lang w:eastAsia="ja-JP"/>
              </w:rPr>
            </w:pPr>
            <w:r w:rsidRPr="00447BD8">
              <w:rPr>
                <w:rFonts w:ascii="Segoe UI" w:eastAsia="Times New Roman" w:hAnsi="Segoe UI" w:cs="Segoe UI"/>
                <w:b/>
                <w:bCs/>
                <w:color w:val="014171"/>
                <w:sz w:val="16"/>
                <w:szCs w:val="18"/>
                <w:lang w:eastAsia="ja-JP"/>
              </w:rPr>
              <w:t>CRR</w:t>
            </w:r>
          </w:p>
        </w:tc>
        <w:tc>
          <w:tcPr>
            <w:tcW w:w="3149" w:type="dxa"/>
            <w:shd w:val="clear" w:color="auto" w:fill="auto"/>
            <w:vAlign w:val="center"/>
          </w:tcPr>
          <w:p w14:paraId="20984F38" w14:textId="40F12580" w:rsidR="0066294E" w:rsidRPr="00447BD8" w:rsidRDefault="0066294E" w:rsidP="00E360A0">
            <w:pPr>
              <w:spacing w:after="0"/>
              <w:jc w:val="both"/>
              <w:rPr>
                <w:rFonts w:ascii="Segoe UI" w:eastAsia="Times New Roman" w:hAnsi="Segoe UI" w:cs="Segoe UI"/>
                <w:color w:val="014171"/>
                <w:sz w:val="16"/>
                <w:szCs w:val="18"/>
                <w:lang w:eastAsia="ja-JP"/>
              </w:rPr>
            </w:pPr>
            <w:r w:rsidRPr="00447BD8">
              <w:rPr>
                <w:rFonts w:ascii="Segoe UI" w:eastAsia="Times New Roman" w:hAnsi="Segoe UI" w:cs="Segoe UI"/>
                <w:color w:val="014171"/>
                <w:sz w:val="16"/>
                <w:szCs w:val="18"/>
                <w:lang w:eastAsia="ja-JP"/>
              </w:rPr>
              <w:t>Capital Requirements Regulation</w:t>
            </w:r>
          </w:p>
        </w:tc>
      </w:tr>
      <w:tr w:rsidR="00A22D32" w:rsidRPr="00377C35" w14:paraId="582EFA90" w14:textId="77777777" w:rsidTr="007A2631">
        <w:trPr>
          <w:trHeight w:val="397"/>
          <w:jc w:val="center"/>
        </w:trPr>
        <w:tc>
          <w:tcPr>
            <w:tcW w:w="954" w:type="dxa"/>
            <w:shd w:val="clear" w:color="auto" w:fill="auto"/>
            <w:noWrap/>
            <w:vAlign w:val="center"/>
          </w:tcPr>
          <w:p w14:paraId="3E746D8E" w14:textId="4397D596" w:rsidR="00942D4E" w:rsidRPr="00447BD8" w:rsidRDefault="00942D4E" w:rsidP="00E360A0">
            <w:pPr>
              <w:spacing w:after="0"/>
              <w:jc w:val="both"/>
              <w:rPr>
                <w:rFonts w:ascii="Segoe UI" w:eastAsia="Times New Roman" w:hAnsi="Segoe UI" w:cs="Segoe UI"/>
                <w:b/>
                <w:bCs/>
                <w:color w:val="014171"/>
                <w:sz w:val="16"/>
                <w:szCs w:val="18"/>
                <w:lang w:eastAsia="ja-JP"/>
              </w:rPr>
            </w:pPr>
            <w:r w:rsidRPr="00447BD8">
              <w:rPr>
                <w:rFonts w:ascii="Segoe UI" w:eastAsia="Times New Roman" w:hAnsi="Segoe UI" w:cs="Segoe UI"/>
                <w:b/>
                <w:bCs/>
                <w:color w:val="014171"/>
                <w:sz w:val="16"/>
                <w:szCs w:val="18"/>
                <w:lang w:eastAsia="ja-JP"/>
              </w:rPr>
              <w:t>D&amp;I</w:t>
            </w:r>
          </w:p>
        </w:tc>
        <w:tc>
          <w:tcPr>
            <w:tcW w:w="3149" w:type="dxa"/>
            <w:shd w:val="clear" w:color="auto" w:fill="auto"/>
            <w:vAlign w:val="center"/>
          </w:tcPr>
          <w:p w14:paraId="139BB9AE" w14:textId="5D193434" w:rsidR="00942D4E" w:rsidRPr="00447BD8" w:rsidRDefault="00942D4E" w:rsidP="00E360A0">
            <w:pPr>
              <w:spacing w:after="0"/>
              <w:jc w:val="both"/>
              <w:rPr>
                <w:rFonts w:ascii="Segoe UI" w:eastAsia="Times New Roman" w:hAnsi="Segoe UI" w:cs="Segoe UI"/>
                <w:color w:val="014171"/>
                <w:sz w:val="16"/>
                <w:szCs w:val="18"/>
                <w:lang w:eastAsia="ja-JP"/>
              </w:rPr>
            </w:pPr>
            <w:r w:rsidRPr="00447BD8">
              <w:rPr>
                <w:rFonts w:ascii="Segoe UI" w:eastAsia="Times New Roman" w:hAnsi="Segoe UI" w:cs="Segoe UI"/>
                <w:color w:val="014171"/>
                <w:sz w:val="16"/>
                <w:szCs w:val="18"/>
                <w:lang w:eastAsia="ja-JP"/>
              </w:rPr>
              <w:t xml:space="preserve">Diversity and </w:t>
            </w:r>
            <w:r w:rsidRPr="002B09F9">
              <w:rPr>
                <w:rFonts w:ascii="Segoe UI" w:eastAsia="Times New Roman" w:hAnsi="Segoe UI" w:cs="Segoe UI"/>
                <w:color w:val="014171"/>
                <w:sz w:val="16"/>
                <w:szCs w:val="18"/>
                <w:lang w:eastAsia="ja-JP"/>
              </w:rPr>
              <w:t>Inclusion</w:t>
            </w:r>
            <w:r w:rsidRPr="00447BD8">
              <w:rPr>
                <w:rFonts w:ascii="Segoe UI" w:eastAsia="Times New Roman" w:hAnsi="Segoe UI" w:cs="Segoe UI"/>
                <w:color w:val="014171"/>
                <w:sz w:val="16"/>
                <w:szCs w:val="18"/>
                <w:lang w:eastAsia="ja-JP"/>
              </w:rPr>
              <w:t xml:space="preserve"> </w:t>
            </w:r>
          </w:p>
        </w:tc>
      </w:tr>
      <w:tr w:rsidR="00162EA6" w:rsidRPr="00377C35" w14:paraId="6D007166" w14:textId="77777777" w:rsidTr="00162EA6">
        <w:trPr>
          <w:trHeight w:val="397"/>
          <w:jc w:val="center"/>
        </w:trPr>
        <w:tc>
          <w:tcPr>
            <w:tcW w:w="954" w:type="dxa"/>
            <w:shd w:val="clear" w:color="auto" w:fill="auto"/>
            <w:noWrap/>
            <w:vAlign w:val="center"/>
          </w:tcPr>
          <w:p w14:paraId="59771AB2" w14:textId="77777777" w:rsidR="00162EA6" w:rsidRPr="00447BD8" w:rsidRDefault="00162EA6" w:rsidP="00162EA6">
            <w:pPr>
              <w:spacing w:after="0"/>
              <w:rPr>
                <w:rFonts w:ascii="Segoe UI" w:eastAsia="Times New Roman" w:hAnsi="Segoe UI" w:cs="Segoe UI"/>
                <w:b/>
                <w:bCs/>
                <w:color w:val="014171"/>
                <w:sz w:val="16"/>
                <w:szCs w:val="18"/>
              </w:rPr>
            </w:pPr>
            <w:r w:rsidRPr="00447BD8">
              <w:rPr>
                <w:rFonts w:ascii="Segoe UI" w:eastAsia="Times New Roman" w:hAnsi="Segoe UI" w:cs="Segoe UI"/>
                <w:b/>
                <w:bCs/>
                <w:color w:val="014171"/>
                <w:sz w:val="16"/>
                <w:szCs w:val="18"/>
              </w:rPr>
              <w:t>DCM</w:t>
            </w:r>
          </w:p>
        </w:tc>
        <w:tc>
          <w:tcPr>
            <w:tcW w:w="3149" w:type="dxa"/>
            <w:shd w:val="clear" w:color="auto" w:fill="auto"/>
            <w:vAlign w:val="center"/>
          </w:tcPr>
          <w:p w14:paraId="494812A7" w14:textId="77777777" w:rsidR="00162EA6" w:rsidRPr="00447BD8" w:rsidRDefault="00162EA6" w:rsidP="000E4B6F">
            <w:pPr>
              <w:spacing w:after="0"/>
              <w:jc w:val="both"/>
              <w:rPr>
                <w:rFonts w:ascii="Segoe UI" w:eastAsia="Times New Roman" w:hAnsi="Segoe UI" w:cs="Segoe UI"/>
                <w:color w:val="014171"/>
                <w:sz w:val="16"/>
                <w:szCs w:val="18"/>
              </w:rPr>
            </w:pPr>
            <w:r w:rsidRPr="00447BD8">
              <w:rPr>
                <w:rFonts w:ascii="Segoe UI" w:eastAsia="Times New Roman" w:hAnsi="Segoe UI" w:cs="Segoe UI"/>
                <w:color w:val="014171"/>
                <w:sz w:val="16"/>
                <w:szCs w:val="18"/>
              </w:rPr>
              <w:t>Debt Capital Markets</w:t>
            </w:r>
          </w:p>
        </w:tc>
      </w:tr>
      <w:tr w:rsidR="00A22D32" w:rsidRPr="00BB56AD" w14:paraId="2D7A0E74" w14:textId="77777777" w:rsidTr="007A2631">
        <w:trPr>
          <w:trHeight w:val="397"/>
          <w:jc w:val="center"/>
        </w:trPr>
        <w:tc>
          <w:tcPr>
            <w:tcW w:w="954" w:type="dxa"/>
            <w:shd w:val="clear" w:color="auto" w:fill="auto"/>
            <w:noWrap/>
            <w:vAlign w:val="center"/>
          </w:tcPr>
          <w:p w14:paraId="51FE9E04" w14:textId="77777777" w:rsidR="0066294E" w:rsidRPr="00447BD8" w:rsidRDefault="0066294E" w:rsidP="00E360A0">
            <w:pPr>
              <w:spacing w:after="0"/>
              <w:jc w:val="both"/>
              <w:rPr>
                <w:rFonts w:ascii="Segoe UI" w:eastAsia="Times New Roman" w:hAnsi="Segoe UI" w:cs="Segoe UI"/>
                <w:b/>
                <w:bCs/>
                <w:color w:val="014171"/>
                <w:sz w:val="16"/>
                <w:szCs w:val="18"/>
                <w:lang w:eastAsia="ja-JP"/>
              </w:rPr>
            </w:pPr>
            <w:r w:rsidRPr="00447BD8">
              <w:rPr>
                <w:rFonts w:ascii="Segoe UI" w:eastAsia="Times New Roman" w:hAnsi="Segoe UI" w:cs="Segoe UI"/>
                <w:b/>
                <w:bCs/>
                <w:color w:val="014171"/>
                <w:sz w:val="16"/>
                <w:szCs w:val="18"/>
                <w:lang w:eastAsia="ja-JP"/>
              </w:rPr>
              <w:t>DCMD</w:t>
            </w:r>
          </w:p>
        </w:tc>
        <w:tc>
          <w:tcPr>
            <w:tcW w:w="3149" w:type="dxa"/>
            <w:shd w:val="clear" w:color="auto" w:fill="auto"/>
            <w:vAlign w:val="center"/>
          </w:tcPr>
          <w:p w14:paraId="3000E5BB" w14:textId="77777777" w:rsidR="0066294E" w:rsidRPr="00447BD8" w:rsidRDefault="0066294E" w:rsidP="00E360A0">
            <w:pPr>
              <w:spacing w:after="0"/>
              <w:jc w:val="both"/>
              <w:rPr>
                <w:rFonts w:ascii="Segoe UI" w:eastAsia="Times New Roman" w:hAnsi="Segoe UI" w:cs="Segoe UI"/>
                <w:color w:val="014171"/>
                <w:sz w:val="16"/>
                <w:szCs w:val="18"/>
                <w:lang w:val="de-DE" w:eastAsia="ja-JP"/>
              </w:rPr>
            </w:pPr>
            <w:r w:rsidRPr="00447BD8">
              <w:rPr>
                <w:rFonts w:ascii="Segoe UI" w:eastAsia="Times New Roman" w:hAnsi="Segoe UI" w:cs="Segoe UI"/>
                <w:color w:val="014171"/>
                <w:sz w:val="16"/>
                <w:szCs w:val="18"/>
                <w:lang w:val="de-DE" w:eastAsia="ja-JP"/>
              </w:rPr>
              <w:t>Daiwa Capital Markets Deutschland GmbH</w:t>
            </w:r>
          </w:p>
        </w:tc>
      </w:tr>
      <w:tr w:rsidR="00A22D32" w:rsidRPr="00377C35" w14:paraId="61BA46CB" w14:textId="77777777" w:rsidTr="007A2631">
        <w:trPr>
          <w:trHeight w:val="397"/>
          <w:jc w:val="center"/>
        </w:trPr>
        <w:tc>
          <w:tcPr>
            <w:tcW w:w="954" w:type="dxa"/>
            <w:shd w:val="clear" w:color="auto" w:fill="auto"/>
            <w:noWrap/>
            <w:vAlign w:val="center"/>
          </w:tcPr>
          <w:p w14:paraId="1C0195E9" w14:textId="77777777" w:rsidR="0066294E" w:rsidRPr="00447BD8" w:rsidRDefault="0066294E" w:rsidP="00E360A0">
            <w:pPr>
              <w:spacing w:after="0"/>
              <w:jc w:val="both"/>
              <w:rPr>
                <w:rFonts w:ascii="Segoe UI" w:eastAsia="Times New Roman" w:hAnsi="Segoe UI" w:cs="Segoe UI"/>
                <w:b/>
                <w:bCs/>
                <w:color w:val="014171"/>
                <w:sz w:val="16"/>
                <w:szCs w:val="18"/>
                <w:lang w:eastAsia="ja-JP"/>
              </w:rPr>
            </w:pPr>
            <w:r w:rsidRPr="00447BD8">
              <w:rPr>
                <w:rFonts w:ascii="Segoe UI" w:eastAsia="Times New Roman" w:hAnsi="Segoe UI" w:cs="Segoe UI"/>
                <w:b/>
                <w:bCs/>
                <w:color w:val="014171"/>
                <w:sz w:val="16"/>
                <w:szCs w:val="18"/>
                <w:lang w:eastAsia="ja-JP"/>
              </w:rPr>
              <w:t>DCME</w:t>
            </w:r>
          </w:p>
        </w:tc>
        <w:tc>
          <w:tcPr>
            <w:tcW w:w="3149" w:type="dxa"/>
            <w:shd w:val="clear" w:color="auto" w:fill="auto"/>
            <w:noWrap/>
            <w:vAlign w:val="center"/>
          </w:tcPr>
          <w:p w14:paraId="03E0CA37" w14:textId="77777777" w:rsidR="0066294E" w:rsidRPr="00447BD8" w:rsidRDefault="0066294E" w:rsidP="00E360A0">
            <w:pPr>
              <w:spacing w:after="0"/>
              <w:jc w:val="both"/>
              <w:rPr>
                <w:rFonts w:ascii="Segoe UI" w:eastAsia="Times New Roman" w:hAnsi="Segoe UI" w:cs="Segoe UI"/>
                <w:color w:val="014171"/>
                <w:sz w:val="16"/>
                <w:szCs w:val="18"/>
                <w:lang w:eastAsia="ja-JP"/>
              </w:rPr>
            </w:pPr>
            <w:r w:rsidRPr="00447BD8">
              <w:rPr>
                <w:rFonts w:ascii="Segoe UI" w:eastAsia="Times New Roman" w:hAnsi="Segoe UI" w:cs="Segoe UI"/>
                <w:color w:val="014171"/>
                <w:sz w:val="16"/>
                <w:szCs w:val="18"/>
                <w:lang w:eastAsia="ja-JP"/>
              </w:rPr>
              <w:t>Daiwa Capital Markets Europe Limited</w:t>
            </w:r>
          </w:p>
        </w:tc>
      </w:tr>
      <w:tr w:rsidR="005F73A1" w:rsidRPr="00377C35" w14:paraId="100E7CB9" w14:textId="77777777" w:rsidTr="007A2631">
        <w:trPr>
          <w:trHeight w:val="397"/>
          <w:jc w:val="center"/>
        </w:trPr>
        <w:tc>
          <w:tcPr>
            <w:tcW w:w="954" w:type="dxa"/>
            <w:shd w:val="clear" w:color="auto" w:fill="auto"/>
            <w:noWrap/>
            <w:vAlign w:val="center"/>
          </w:tcPr>
          <w:p w14:paraId="02A6025E" w14:textId="3E204D87" w:rsidR="005F73A1" w:rsidRPr="00447BD8" w:rsidRDefault="005F73A1" w:rsidP="00E360A0">
            <w:pPr>
              <w:spacing w:after="0"/>
              <w:jc w:val="both"/>
              <w:rPr>
                <w:rFonts w:ascii="Segoe UI" w:eastAsia="Times New Roman" w:hAnsi="Segoe UI" w:cs="Segoe UI"/>
                <w:b/>
                <w:bCs/>
                <w:color w:val="014171"/>
                <w:sz w:val="16"/>
                <w:szCs w:val="18"/>
                <w:lang w:eastAsia="ja-JP"/>
              </w:rPr>
            </w:pPr>
            <w:r>
              <w:rPr>
                <w:rFonts w:ascii="Segoe UI" w:eastAsia="Times New Roman" w:hAnsi="Segoe UI" w:cs="Segoe UI"/>
                <w:b/>
                <w:bCs/>
                <w:color w:val="014171"/>
                <w:sz w:val="16"/>
                <w:szCs w:val="18"/>
                <w:lang w:eastAsia="ja-JP"/>
              </w:rPr>
              <w:t>DCME Group</w:t>
            </w:r>
          </w:p>
        </w:tc>
        <w:tc>
          <w:tcPr>
            <w:tcW w:w="3149" w:type="dxa"/>
            <w:shd w:val="clear" w:color="auto" w:fill="auto"/>
            <w:noWrap/>
            <w:vAlign w:val="center"/>
          </w:tcPr>
          <w:p w14:paraId="35B58726" w14:textId="13D29B11" w:rsidR="005F73A1" w:rsidRPr="00447BD8" w:rsidRDefault="005F73A1" w:rsidP="00E360A0">
            <w:pPr>
              <w:spacing w:after="0"/>
              <w:jc w:val="both"/>
              <w:rPr>
                <w:rFonts w:ascii="Segoe UI" w:eastAsia="Times New Roman" w:hAnsi="Segoe UI" w:cs="Segoe UI"/>
                <w:color w:val="014171"/>
                <w:sz w:val="16"/>
                <w:szCs w:val="18"/>
                <w:lang w:eastAsia="ja-JP"/>
              </w:rPr>
            </w:pPr>
            <w:r>
              <w:rPr>
                <w:rFonts w:ascii="Segoe UI" w:eastAsia="Times New Roman" w:hAnsi="Segoe UI" w:cs="Segoe UI"/>
                <w:color w:val="014171"/>
                <w:sz w:val="16"/>
                <w:szCs w:val="18"/>
                <w:lang w:eastAsia="ja-JP"/>
              </w:rPr>
              <w:t>DCME plus subsidiaries / branches</w:t>
            </w:r>
          </w:p>
        </w:tc>
      </w:tr>
      <w:tr w:rsidR="00A22D32" w:rsidRPr="00377C35" w14:paraId="71EA6491" w14:textId="77777777" w:rsidTr="007A2631">
        <w:trPr>
          <w:trHeight w:val="397"/>
          <w:jc w:val="center"/>
        </w:trPr>
        <w:tc>
          <w:tcPr>
            <w:tcW w:w="954" w:type="dxa"/>
            <w:shd w:val="clear" w:color="auto" w:fill="auto"/>
            <w:noWrap/>
            <w:vAlign w:val="center"/>
          </w:tcPr>
          <w:p w14:paraId="21F856DC" w14:textId="77777777" w:rsidR="0031662A" w:rsidRPr="00447BD8" w:rsidRDefault="0031662A" w:rsidP="00E360A0">
            <w:pPr>
              <w:spacing w:after="0"/>
              <w:jc w:val="both"/>
              <w:rPr>
                <w:rFonts w:ascii="Segoe UI" w:eastAsia="Times New Roman" w:hAnsi="Segoe UI" w:cs="Segoe UI"/>
                <w:b/>
                <w:bCs/>
                <w:color w:val="014171"/>
                <w:sz w:val="16"/>
                <w:szCs w:val="18"/>
              </w:rPr>
            </w:pPr>
            <w:r w:rsidRPr="00447BD8">
              <w:rPr>
                <w:rFonts w:ascii="Segoe UI" w:eastAsia="Times New Roman" w:hAnsi="Segoe UI" w:cs="Segoe UI"/>
                <w:b/>
                <w:bCs/>
                <w:color w:val="014171"/>
                <w:sz w:val="16"/>
                <w:szCs w:val="18"/>
              </w:rPr>
              <w:t>DSGI</w:t>
            </w:r>
          </w:p>
        </w:tc>
        <w:tc>
          <w:tcPr>
            <w:tcW w:w="3149" w:type="dxa"/>
            <w:shd w:val="clear" w:color="auto" w:fill="auto"/>
            <w:noWrap/>
            <w:vAlign w:val="center"/>
          </w:tcPr>
          <w:p w14:paraId="4F28F922" w14:textId="77777777" w:rsidR="0031662A" w:rsidRPr="00447BD8" w:rsidRDefault="0031662A" w:rsidP="00E360A0">
            <w:pPr>
              <w:spacing w:after="0"/>
              <w:jc w:val="both"/>
              <w:rPr>
                <w:rFonts w:ascii="Segoe UI" w:eastAsia="Times New Roman" w:hAnsi="Segoe UI" w:cs="Segoe UI"/>
                <w:color w:val="014171"/>
                <w:sz w:val="16"/>
                <w:szCs w:val="18"/>
              </w:rPr>
            </w:pPr>
            <w:r w:rsidRPr="00447BD8">
              <w:rPr>
                <w:rFonts w:ascii="Segoe UI" w:eastAsia="Times New Roman" w:hAnsi="Segoe UI" w:cs="Segoe UI"/>
                <w:color w:val="014171"/>
                <w:sz w:val="16"/>
                <w:szCs w:val="18"/>
              </w:rPr>
              <w:t>Daiwa Securities Group Inc.</w:t>
            </w:r>
          </w:p>
        </w:tc>
      </w:tr>
      <w:tr w:rsidR="00B81A57" w:rsidRPr="00377C35" w14:paraId="48E05FDA" w14:textId="77777777" w:rsidTr="007A2631">
        <w:trPr>
          <w:trHeight w:val="397"/>
          <w:jc w:val="center"/>
        </w:trPr>
        <w:tc>
          <w:tcPr>
            <w:tcW w:w="954" w:type="dxa"/>
            <w:shd w:val="clear" w:color="auto" w:fill="auto"/>
            <w:noWrap/>
            <w:vAlign w:val="center"/>
          </w:tcPr>
          <w:p w14:paraId="5014AC58" w14:textId="176EF398" w:rsidR="00B81A57" w:rsidRPr="00447BD8" w:rsidRDefault="00B81A57" w:rsidP="00E360A0">
            <w:pPr>
              <w:spacing w:after="0"/>
              <w:jc w:val="both"/>
              <w:rPr>
                <w:rFonts w:ascii="Segoe UI" w:eastAsia="Times New Roman" w:hAnsi="Segoe UI" w:cs="Segoe UI"/>
                <w:b/>
                <w:bCs/>
                <w:color w:val="014171"/>
                <w:sz w:val="16"/>
                <w:szCs w:val="18"/>
              </w:rPr>
            </w:pPr>
            <w:r>
              <w:rPr>
                <w:rFonts w:ascii="Segoe UI" w:eastAsia="Times New Roman" w:hAnsi="Segoe UI" w:cs="Segoe UI"/>
                <w:b/>
                <w:bCs/>
                <w:color w:val="014171"/>
                <w:sz w:val="16"/>
                <w:szCs w:val="18"/>
              </w:rPr>
              <w:t>EBA</w:t>
            </w:r>
          </w:p>
        </w:tc>
        <w:tc>
          <w:tcPr>
            <w:tcW w:w="3149" w:type="dxa"/>
            <w:shd w:val="clear" w:color="auto" w:fill="auto"/>
            <w:noWrap/>
            <w:vAlign w:val="center"/>
          </w:tcPr>
          <w:p w14:paraId="44248A74" w14:textId="04FB1695" w:rsidR="00B81A57" w:rsidRPr="00447BD8" w:rsidRDefault="00B81A57" w:rsidP="00E360A0">
            <w:pPr>
              <w:spacing w:after="0"/>
              <w:jc w:val="both"/>
              <w:rPr>
                <w:rFonts w:ascii="Segoe UI" w:eastAsia="Times New Roman" w:hAnsi="Segoe UI" w:cs="Segoe UI"/>
                <w:color w:val="014171"/>
                <w:sz w:val="16"/>
                <w:szCs w:val="18"/>
              </w:rPr>
            </w:pPr>
            <w:r>
              <w:rPr>
                <w:rFonts w:ascii="Segoe UI" w:eastAsia="Times New Roman" w:hAnsi="Segoe UI" w:cs="Segoe UI"/>
                <w:color w:val="014171"/>
                <w:sz w:val="16"/>
                <w:szCs w:val="18"/>
              </w:rPr>
              <w:t>European Banking Authority</w:t>
            </w:r>
          </w:p>
        </w:tc>
      </w:tr>
      <w:tr w:rsidR="00FE76DF" w:rsidRPr="00377C35" w14:paraId="13F1C924" w14:textId="77777777" w:rsidTr="007A2631">
        <w:trPr>
          <w:trHeight w:val="397"/>
          <w:jc w:val="center"/>
        </w:trPr>
        <w:tc>
          <w:tcPr>
            <w:tcW w:w="954" w:type="dxa"/>
            <w:shd w:val="clear" w:color="auto" w:fill="auto"/>
            <w:noWrap/>
            <w:vAlign w:val="center"/>
          </w:tcPr>
          <w:p w14:paraId="34742AB0" w14:textId="6AD21BD0" w:rsidR="00FE76DF" w:rsidRPr="00447BD8" w:rsidRDefault="00FE76DF" w:rsidP="00E360A0">
            <w:pPr>
              <w:spacing w:after="0"/>
              <w:jc w:val="both"/>
              <w:rPr>
                <w:rFonts w:ascii="Segoe UI" w:eastAsia="Times New Roman" w:hAnsi="Segoe UI" w:cs="Segoe UI"/>
                <w:b/>
                <w:bCs/>
                <w:color w:val="014171"/>
                <w:sz w:val="16"/>
                <w:szCs w:val="18"/>
              </w:rPr>
            </w:pPr>
            <w:r>
              <w:rPr>
                <w:rFonts w:ascii="Segoe UI" w:eastAsia="Times New Roman" w:hAnsi="Segoe UI" w:cs="Segoe UI"/>
                <w:b/>
                <w:bCs/>
                <w:color w:val="014171"/>
                <w:sz w:val="16"/>
                <w:szCs w:val="18"/>
              </w:rPr>
              <w:t>ESG</w:t>
            </w:r>
          </w:p>
        </w:tc>
        <w:tc>
          <w:tcPr>
            <w:tcW w:w="3149" w:type="dxa"/>
            <w:shd w:val="clear" w:color="auto" w:fill="auto"/>
            <w:noWrap/>
            <w:vAlign w:val="center"/>
          </w:tcPr>
          <w:p w14:paraId="67968178" w14:textId="1F6BD616" w:rsidR="00FE76DF" w:rsidRPr="00447BD8" w:rsidRDefault="00FE76DF" w:rsidP="0074724B">
            <w:pPr>
              <w:spacing w:after="0"/>
              <w:jc w:val="both"/>
              <w:rPr>
                <w:rFonts w:ascii="Segoe UI" w:eastAsia="Times New Roman" w:hAnsi="Segoe UI" w:cs="Segoe UI"/>
                <w:color w:val="014171"/>
                <w:sz w:val="16"/>
                <w:szCs w:val="18"/>
              </w:rPr>
            </w:pPr>
            <w:r w:rsidRPr="00FE76DF">
              <w:rPr>
                <w:rFonts w:ascii="Segoe UI" w:eastAsia="Times New Roman" w:hAnsi="Segoe UI" w:cs="Segoe UI"/>
                <w:color w:val="014171"/>
                <w:sz w:val="16"/>
                <w:szCs w:val="18"/>
              </w:rPr>
              <w:t xml:space="preserve">Environmental, </w:t>
            </w:r>
            <w:r>
              <w:rPr>
                <w:rFonts w:ascii="Segoe UI" w:eastAsia="Times New Roman" w:hAnsi="Segoe UI" w:cs="Segoe UI"/>
                <w:color w:val="014171"/>
                <w:sz w:val="16"/>
                <w:szCs w:val="18"/>
              </w:rPr>
              <w:t>S</w:t>
            </w:r>
            <w:r w:rsidRPr="00FE76DF">
              <w:rPr>
                <w:rFonts w:ascii="Segoe UI" w:eastAsia="Times New Roman" w:hAnsi="Segoe UI" w:cs="Segoe UI"/>
                <w:color w:val="014171"/>
                <w:sz w:val="16"/>
                <w:szCs w:val="18"/>
              </w:rPr>
              <w:t xml:space="preserve">ocial and </w:t>
            </w:r>
            <w:r>
              <w:rPr>
                <w:rFonts w:ascii="Segoe UI" w:eastAsia="Times New Roman" w:hAnsi="Segoe UI" w:cs="Segoe UI"/>
                <w:color w:val="014171"/>
                <w:sz w:val="16"/>
                <w:szCs w:val="18"/>
              </w:rPr>
              <w:t>G</w:t>
            </w:r>
            <w:r w:rsidRPr="00FE76DF">
              <w:rPr>
                <w:rFonts w:ascii="Segoe UI" w:eastAsia="Times New Roman" w:hAnsi="Segoe UI" w:cs="Segoe UI"/>
                <w:color w:val="014171"/>
                <w:sz w:val="16"/>
                <w:szCs w:val="18"/>
              </w:rPr>
              <w:t>overnance</w:t>
            </w:r>
          </w:p>
        </w:tc>
      </w:tr>
      <w:tr w:rsidR="00A22D32" w:rsidRPr="00377C35" w14:paraId="1ACE7DFF" w14:textId="77777777" w:rsidTr="007A2631">
        <w:trPr>
          <w:trHeight w:val="397"/>
          <w:jc w:val="center"/>
        </w:trPr>
        <w:tc>
          <w:tcPr>
            <w:tcW w:w="954" w:type="dxa"/>
            <w:shd w:val="clear" w:color="auto" w:fill="auto"/>
            <w:noWrap/>
            <w:vAlign w:val="center"/>
          </w:tcPr>
          <w:p w14:paraId="0D203CAE" w14:textId="0D6AFE8C" w:rsidR="0031662A" w:rsidRPr="00447BD8" w:rsidRDefault="00F564F7" w:rsidP="00E360A0">
            <w:pPr>
              <w:spacing w:after="0"/>
              <w:jc w:val="both"/>
              <w:rPr>
                <w:rFonts w:ascii="Segoe UI" w:eastAsia="Times New Roman" w:hAnsi="Segoe UI" w:cs="Segoe UI"/>
                <w:b/>
                <w:bCs/>
                <w:color w:val="014171"/>
                <w:sz w:val="16"/>
                <w:szCs w:val="18"/>
                <w:lang w:eastAsia="ja-JP"/>
              </w:rPr>
            </w:pPr>
            <w:r w:rsidRPr="00447BD8">
              <w:rPr>
                <w:rFonts w:ascii="Segoe UI" w:eastAsia="Times New Roman" w:hAnsi="Segoe UI" w:cs="Segoe UI"/>
                <w:b/>
                <w:bCs/>
                <w:color w:val="014171"/>
                <w:sz w:val="16"/>
                <w:szCs w:val="18"/>
                <w:lang w:eastAsia="ja-JP"/>
              </w:rPr>
              <w:t>EWI</w:t>
            </w:r>
          </w:p>
        </w:tc>
        <w:tc>
          <w:tcPr>
            <w:tcW w:w="3149" w:type="dxa"/>
            <w:shd w:val="clear" w:color="auto" w:fill="auto"/>
            <w:vAlign w:val="center"/>
          </w:tcPr>
          <w:p w14:paraId="28C4A3D9" w14:textId="213619AB" w:rsidR="0031662A" w:rsidRPr="00447BD8" w:rsidRDefault="00F564F7" w:rsidP="00E360A0">
            <w:pPr>
              <w:spacing w:after="0"/>
              <w:jc w:val="both"/>
              <w:rPr>
                <w:rFonts w:ascii="Segoe UI" w:eastAsia="Times New Roman" w:hAnsi="Segoe UI" w:cs="Segoe UI"/>
                <w:color w:val="014171"/>
                <w:sz w:val="16"/>
                <w:szCs w:val="18"/>
                <w:lang w:eastAsia="ja-JP"/>
              </w:rPr>
            </w:pPr>
            <w:r w:rsidRPr="00447BD8">
              <w:rPr>
                <w:rFonts w:ascii="Segoe UI" w:eastAsia="Times New Roman" w:hAnsi="Segoe UI" w:cs="Segoe UI"/>
                <w:color w:val="014171"/>
                <w:sz w:val="16"/>
                <w:szCs w:val="18"/>
                <w:lang w:eastAsia="ja-JP"/>
              </w:rPr>
              <w:t>Early Warning Indicator</w:t>
            </w:r>
          </w:p>
        </w:tc>
      </w:tr>
      <w:tr w:rsidR="00A22D32" w:rsidRPr="00377C35" w14:paraId="6993C806" w14:textId="77777777" w:rsidTr="007A2631">
        <w:trPr>
          <w:trHeight w:val="397"/>
          <w:jc w:val="center"/>
        </w:trPr>
        <w:tc>
          <w:tcPr>
            <w:tcW w:w="954" w:type="dxa"/>
            <w:shd w:val="clear" w:color="auto" w:fill="auto"/>
            <w:noWrap/>
            <w:vAlign w:val="center"/>
          </w:tcPr>
          <w:p w14:paraId="298BA65A" w14:textId="35682D07" w:rsidR="00F564F7" w:rsidRPr="00447BD8" w:rsidRDefault="00F564F7" w:rsidP="00F564F7">
            <w:pPr>
              <w:spacing w:after="0"/>
              <w:jc w:val="both"/>
              <w:rPr>
                <w:rFonts w:ascii="Segoe UI" w:eastAsia="Times New Roman" w:hAnsi="Segoe UI" w:cs="Segoe UI"/>
                <w:b/>
                <w:bCs/>
                <w:color w:val="014171"/>
                <w:sz w:val="16"/>
                <w:szCs w:val="18"/>
                <w:lang w:eastAsia="ja-JP"/>
              </w:rPr>
            </w:pPr>
            <w:r w:rsidRPr="00447BD8">
              <w:rPr>
                <w:rFonts w:ascii="Segoe UI" w:eastAsia="Times New Roman" w:hAnsi="Segoe UI" w:cs="Segoe UI"/>
                <w:b/>
                <w:bCs/>
                <w:color w:val="014171"/>
                <w:sz w:val="16"/>
                <w:szCs w:val="18"/>
                <w:lang w:eastAsia="ja-JP"/>
              </w:rPr>
              <w:t>ExCo</w:t>
            </w:r>
          </w:p>
        </w:tc>
        <w:tc>
          <w:tcPr>
            <w:tcW w:w="3149" w:type="dxa"/>
            <w:shd w:val="clear" w:color="auto" w:fill="auto"/>
            <w:vAlign w:val="center"/>
          </w:tcPr>
          <w:p w14:paraId="6D798297" w14:textId="33D7FF65" w:rsidR="00F564F7" w:rsidRPr="00447BD8" w:rsidRDefault="00A668CC" w:rsidP="00F564F7">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Executive Management Committee</w:t>
            </w:r>
          </w:p>
        </w:tc>
      </w:tr>
      <w:tr w:rsidR="00A22D32" w:rsidRPr="00377C35" w14:paraId="2103E396" w14:textId="77777777" w:rsidTr="007A2631">
        <w:trPr>
          <w:trHeight w:val="397"/>
          <w:jc w:val="center"/>
        </w:trPr>
        <w:tc>
          <w:tcPr>
            <w:tcW w:w="954" w:type="dxa"/>
            <w:shd w:val="clear" w:color="auto" w:fill="auto"/>
            <w:noWrap/>
            <w:vAlign w:val="center"/>
          </w:tcPr>
          <w:p w14:paraId="0E59EC30" w14:textId="77777777" w:rsidR="0031662A" w:rsidRPr="00D630D6" w:rsidRDefault="0031662A" w:rsidP="00E360A0">
            <w:pPr>
              <w:spacing w:after="0"/>
              <w:jc w:val="both"/>
              <w:rPr>
                <w:rFonts w:ascii="Segoe UI" w:eastAsia="Times New Roman" w:hAnsi="Segoe UI" w:cs="Segoe UI"/>
                <w:b/>
                <w:bCs/>
                <w:color w:val="014171"/>
                <w:sz w:val="16"/>
                <w:szCs w:val="18"/>
                <w:lang w:eastAsia="ja-JP"/>
              </w:rPr>
            </w:pPr>
            <w:r w:rsidRPr="00D630D6">
              <w:rPr>
                <w:rFonts w:ascii="Segoe UI" w:eastAsia="Times New Roman" w:hAnsi="Segoe UI" w:cs="Segoe UI"/>
                <w:b/>
                <w:bCs/>
                <w:color w:val="014171"/>
                <w:sz w:val="16"/>
                <w:szCs w:val="18"/>
                <w:lang w:eastAsia="ja-JP"/>
              </w:rPr>
              <w:t>FOR</w:t>
            </w:r>
          </w:p>
        </w:tc>
        <w:tc>
          <w:tcPr>
            <w:tcW w:w="3149" w:type="dxa"/>
            <w:shd w:val="clear" w:color="auto" w:fill="auto"/>
            <w:vAlign w:val="center"/>
          </w:tcPr>
          <w:p w14:paraId="2AC6A064" w14:textId="77777777" w:rsidR="0031662A" w:rsidRPr="00D630D6" w:rsidRDefault="0031662A" w:rsidP="00E360A0">
            <w:pPr>
              <w:spacing w:after="0"/>
              <w:jc w:val="both"/>
              <w:rPr>
                <w:rFonts w:ascii="Segoe UI" w:eastAsia="Times New Roman" w:hAnsi="Segoe UI" w:cs="Segoe UI"/>
                <w:color w:val="014171"/>
                <w:sz w:val="16"/>
                <w:szCs w:val="18"/>
                <w:lang w:eastAsia="ja-JP"/>
              </w:rPr>
            </w:pPr>
            <w:r w:rsidRPr="00D630D6">
              <w:rPr>
                <w:rFonts w:ascii="Segoe UI" w:eastAsia="Times New Roman" w:hAnsi="Segoe UI" w:cs="Segoe UI"/>
                <w:color w:val="014171"/>
                <w:sz w:val="16"/>
                <w:szCs w:val="18"/>
                <w:lang w:eastAsia="ja-JP"/>
              </w:rPr>
              <w:t>Fixed Overhead Requirements</w:t>
            </w:r>
          </w:p>
        </w:tc>
      </w:tr>
      <w:tr w:rsidR="00A22D32" w:rsidRPr="00377C35" w14:paraId="0ED01981" w14:textId="77777777" w:rsidTr="007A2631">
        <w:trPr>
          <w:trHeight w:val="397"/>
          <w:jc w:val="center"/>
        </w:trPr>
        <w:tc>
          <w:tcPr>
            <w:tcW w:w="954" w:type="dxa"/>
            <w:shd w:val="clear" w:color="auto" w:fill="auto"/>
            <w:noWrap/>
            <w:vAlign w:val="center"/>
          </w:tcPr>
          <w:p w14:paraId="2881760E" w14:textId="09D38D7A" w:rsidR="00C45062" w:rsidRPr="00D630D6" w:rsidRDefault="00C45062" w:rsidP="00E360A0">
            <w:pPr>
              <w:spacing w:after="0"/>
              <w:jc w:val="both"/>
              <w:rPr>
                <w:rFonts w:ascii="Segoe UI" w:eastAsia="Times New Roman" w:hAnsi="Segoe UI" w:cs="Segoe UI"/>
                <w:b/>
                <w:bCs/>
                <w:color w:val="014171"/>
                <w:sz w:val="16"/>
                <w:szCs w:val="18"/>
                <w:lang w:eastAsia="ja-JP"/>
              </w:rPr>
            </w:pPr>
            <w:r w:rsidRPr="00D630D6">
              <w:rPr>
                <w:rFonts w:ascii="Segoe UI" w:eastAsia="Times New Roman" w:hAnsi="Segoe UI" w:cs="Segoe UI"/>
                <w:b/>
                <w:bCs/>
                <w:color w:val="014171"/>
                <w:sz w:val="16"/>
                <w:szCs w:val="18"/>
                <w:lang w:eastAsia="ja-JP"/>
              </w:rPr>
              <w:t>ICAAP</w:t>
            </w:r>
          </w:p>
        </w:tc>
        <w:tc>
          <w:tcPr>
            <w:tcW w:w="3149" w:type="dxa"/>
            <w:shd w:val="clear" w:color="auto" w:fill="auto"/>
            <w:noWrap/>
            <w:vAlign w:val="center"/>
          </w:tcPr>
          <w:p w14:paraId="099AB2F5" w14:textId="132BC554" w:rsidR="00C45062" w:rsidRPr="00D630D6" w:rsidRDefault="00C45062" w:rsidP="00E360A0">
            <w:pPr>
              <w:spacing w:after="0"/>
              <w:jc w:val="both"/>
              <w:rPr>
                <w:rFonts w:ascii="Segoe UI" w:eastAsia="Times New Roman" w:hAnsi="Segoe UI" w:cs="Segoe UI"/>
                <w:color w:val="014171"/>
                <w:sz w:val="16"/>
                <w:szCs w:val="18"/>
                <w:lang w:eastAsia="ja-JP"/>
              </w:rPr>
            </w:pPr>
            <w:r w:rsidRPr="00D630D6">
              <w:rPr>
                <w:rFonts w:ascii="Segoe UI" w:eastAsia="Times New Roman" w:hAnsi="Segoe UI" w:cs="Segoe UI"/>
                <w:color w:val="014171"/>
                <w:sz w:val="16"/>
                <w:szCs w:val="18"/>
                <w:lang w:eastAsia="ja-JP"/>
              </w:rPr>
              <w:t>Internal Capital Adequacy Assessment Process</w:t>
            </w:r>
          </w:p>
        </w:tc>
      </w:tr>
      <w:tr w:rsidR="001201B9" w:rsidRPr="00377C35" w14:paraId="567B9846" w14:textId="77777777" w:rsidTr="007A2631">
        <w:trPr>
          <w:trHeight w:val="397"/>
          <w:jc w:val="center"/>
        </w:trPr>
        <w:tc>
          <w:tcPr>
            <w:tcW w:w="954" w:type="dxa"/>
            <w:shd w:val="clear" w:color="auto" w:fill="auto"/>
            <w:noWrap/>
            <w:vAlign w:val="center"/>
          </w:tcPr>
          <w:p w14:paraId="4D191F7C" w14:textId="786087C4" w:rsidR="001201B9" w:rsidRPr="00377C35" w:rsidRDefault="001201B9" w:rsidP="00E360A0">
            <w:pPr>
              <w:spacing w:after="0"/>
              <w:jc w:val="both"/>
              <w:rPr>
                <w:rFonts w:ascii="Segoe UI" w:eastAsia="Times New Roman" w:hAnsi="Segoe UI" w:cs="Segoe UI"/>
                <w:b/>
                <w:bCs/>
                <w:color w:val="014171"/>
                <w:sz w:val="16"/>
                <w:szCs w:val="18"/>
              </w:rPr>
            </w:pPr>
            <w:r w:rsidRPr="00377C35">
              <w:rPr>
                <w:rFonts w:ascii="Segoe UI" w:eastAsia="Times New Roman" w:hAnsi="Segoe UI" w:cs="Segoe UI"/>
                <w:b/>
                <w:bCs/>
                <w:color w:val="014171"/>
                <w:sz w:val="16"/>
                <w:szCs w:val="18"/>
              </w:rPr>
              <w:t>ICR</w:t>
            </w:r>
          </w:p>
        </w:tc>
        <w:tc>
          <w:tcPr>
            <w:tcW w:w="3149" w:type="dxa"/>
            <w:shd w:val="clear" w:color="auto" w:fill="auto"/>
            <w:noWrap/>
            <w:vAlign w:val="center"/>
          </w:tcPr>
          <w:p w14:paraId="57D9B82E" w14:textId="14622267" w:rsidR="001201B9" w:rsidRPr="00377C35" w:rsidRDefault="001201B9" w:rsidP="00E360A0">
            <w:pPr>
              <w:spacing w:after="0"/>
              <w:jc w:val="both"/>
              <w:rPr>
                <w:rFonts w:ascii="Segoe UI" w:eastAsia="Times New Roman" w:hAnsi="Segoe UI" w:cs="Segoe UI"/>
                <w:color w:val="014171"/>
                <w:sz w:val="16"/>
                <w:szCs w:val="18"/>
              </w:rPr>
            </w:pPr>
            <w:r w:rsidRPr="00377C35">
              <w:rPr>
                <w:rFonts w:ascii="Segoe UI" w:eastAsia="Times New Roman" w:hAnsi="Segoe UI" w:cs="Segoe UI"/>
                <w:color w:val="014171"/>
                <w:sz w:val="16"/>
                <w:szCs w:val="18"/>
              </w:rPr>
              <w:t>Internal Credit Rating</w:t>
            </w:r>
          </w:p>
        </w:tc>
      </w:tr>
      <w:tr w:rsidR="00584B1D" w:rsidRPr="00377C35" w14:paraId="200B6EF2" w14:textId="77777777" w:rsidTr="007A2631">
        <w:trPr>
          <w:trHeight w:val="397"/>
          <w:jc w:val="center"/>
        </w:trPr>
        <w:tc>
          <w:tcPr>
            <w:tcW w:w="954" w:type="dxa"/>
            <w:shd w:val="clear" w:color="auto" w:fill="auto"/>
            <w:noWrap/>
            <w:vAlign w:val="center"/>
          </w:tcPr>
          <w:p w14:paraId="4A3BE5F2" w14:textId="6AB8C4BC" w:rsidR="00584B1D" w:rsidRPr="00377C35" w:rsidRDefault="00584B1D" w:rsidP="00E360A0">
            <w:pPr>
              <w:spacing w:after="0"/>
              <w:jc w:val="both"/>
              <w:rPr>
                <w:rFonts w:ascii="Segoe UI" w:eastAsia="Times New Roman" w:hAnsi="Segoe UI" w:cs="Segoe UI"/>
                <w:b/>
                <w:bCs/>
                <w:color w:val="014171"/>
                <w:sz w:val="16"/>
                <w:szCs w:val="18"/>
              </w:rPr>
            </w:pPr>
            <w:r w:rsidRPr="00377C35">
              <w:rPr>
                <w:rFonts w:ascii="Segoe UI" w:eastAsia="Times New Roman" w:hAnsi="Segoe UI" w:cs="Segoe UI"/>
                <w:b/>
                <w:bCs/>
                <w:color w:val="014171"/>
                <w:sz w:val="16"/>
                <w:szCs w:val="18"/>
              </w:rPr>
              <w:t>IFD</w:t>
            </w:r>
          </w:p>
        </w:tc>
        <w:tc>
          <w:tcPr>
            <w:tcW w:w="3149" w:type="dxa"/>
            <w:shd w:val="clear" w:color="auto" w:fill="auto"/>
            <w:noWrap/>
            <w:vAlign w:val="center"/>
          </w:tcPr>
          <w:p w14:paraId="76F13F04" w14:textId="42898722" w:rsidR="00584B1D" w:rsidRPr="00377C35" w:rsidRDefault="00584B1D" w:rsidP="00E360A0">
            <w:pPr>
              <w:spacing w:after="0"/>
              <w:jc w:val="both"/>
              <w:rPr>
                <w:rFonts w:ascii="Segoe UI" w:eastAsia="Times New Roman" w:hAnsi="Segoe UI" w:cs="Segoe UI"/>
                <w:color w:val="014171"/>
                <w:sz w:val="16"/>
                <w:szCs w:val="18"/>
              </w:rPr>
            </w:pPr>
            <w:r w:rsidRPr="00377C35">
              <w:rPr>
                <w:rFonts w:ascii="Segoe UI" w:eastAsia="Times New Roman" w:hAnsi="Segoe UI" w:cs="Segoe UI"/>
                <w:color w:val="014171"/>
                <w:sz w:val="16"/>
                <w:szCs w:val="18"/>
              </w:rPr>
              <w:t>Investment Firm Directive</w:t>
            </w:r>
          </w:p>
        </w:tc>
      </w:tr>
      <w:tr w:rsidR="00A22D32" w:rsidRPr="00377C35" w14:paraId="0E53F959" w14:textId="77777777" w:rsidTr="007A2631">
        <w:trPr>
          <w:trHeight w:val="397"/>
          <w:jc w:val="center"/>
        </w:trPr>
        <w:tc>
          <w:tcPr>
            <w:tcW w:w="954" w:type="dxa"/>
            <w:shd w:val="clear" w:color="auto" w:fill="auto"/>
            <w:noWrap/>
            <w:vAlign w:val="center"/>
          </w:tcPr>
          <w:p w14:paraId="1A042A28" w14:textId="28CB9740" w:rsidR="0031662A" w:rsidRPr="00001843" w:rsidRDefault="00D95F9E"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IF</w:t>
            </w:r>
            <w:r w:rsidR="0031662A" w:rsidRPr="00001843">
              <w:rPr>
                <w:rFonts w:ascii="Segoe UI" w:eastAsia="Times New Roman" w:hAnsi="Segoe UI" w:cs="Segoe UI"/>
                <w:b/>
                <w:bCs/>
                <w:color w:val="014171"/>
                <w:sz w:val="16"/>
                <w:szCs w:val="18"/>
                <w:lang w:eastAsia="ja-JP"/>
              </w:rPr>
              <w:t>R</w:t>
            </w:r>
          </w:p>
        </w:tc>
        <w:tc>
          <w:tcPr>
            <w:tcW w:w="3149" w:type="dxa"/>
            <w:shd w:val="clear" w:color="auto" w:fill="auto"/>
            <w:noWrap/>
            <w:vAlign w:val="center"/>
          </w:tcPr>
          <w:p w14:paraId="2CD1F941" w14:textId="7547BA77" w:rsidR="0031662A" w:rsidRPr="00001843" w:rsidRDefault="00D95F9E" w:rsidP="00377C35">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lang w:eastAsia="ja-JP"/>
              </w:rPr>
              <w:t>Investment Firm</w:t>
            </w:r>
            <w:r w:rsidR="00A95258" w:rsidRPr="00001843">
              <w:rPr>
                <w:rFonts w:ascii="Segoe UI" w:eastAsia="Times New Roman" w:hAnsi="Segoe UI" w:cs="Segoe UI"/>
                <w:color w:val="014171"/>
                <w:sz w:val="16"/>
                <w:szCs w:val="18"/>
                <w:lang w:eastAsia="ja-JP"/>
              </w:rPr>
              <w:t xml:space="preserve"> Regulation</w:t>
            </w:r>
          </w:p>
        </w:tc>
      </w:tr>
      <w:tr w:rsidR="008E1A6F" w:rsidRPr="00377C35" w14:paraId="6287DF72" w14:textId="77777777" w:rsidTr="007A2631">
        <w:trPr>
          <w:trHeight w:val="397"/>
          <w:jc w:val="center"/>
        </w:trPr>
        <w:tc>
          <w:tcPr>
            <w:tcW w:w="954" w:type="dxa"/>
            <w:shd w:val="clear" w:color="auto" w:fill="auto"/>
            <w:noWrap/>
            <w:vAlign w:val="center"/>
          </w:tcPr>
          <w:p w14:paraId="2817361D" w14:textId="28578FBD" w:rsidR="008E1A6F" w:rsidRPr="00001843" w:rsidRDefault="008E1A6F"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IVV</w:t>
            </w:r>
          </w:p>
        </w:tc>
        <w:tc>
          <w:tcPr>
            <w:tcW w:w="3149" w:type="dxa"/>
            <w:shd w:val="clear" w:color="auto" w:fill="auto"/>
            <w:noWrap/>
            <w:vAlign w:val="center"/>
          </w:tcPr>
          <w:p w14:paraId="1D83C0CB" w14:textId="02377BD0" w:rsidR="008E1A6F" w:rsidRPr="00001843" w:rsidRDefault="008E1A6F" w:rsidP="00584B1D">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Remuneration Regulation for Institutions</w:t>
            </w:r>
          </w:p>
        </w:tc>
      </w:tr>
      <w:tr w:rsidR="00A22D32" w:rsidRPr="00377C35" w14:paraId="2EA5B7D4" w14:textId="77777777" w:rsidTr="007A2631">
        <w:trPr>
          <w:trHeight w:val="397"/>
          <w:jc w:val="center"/>
        </w:trPr>
        <w:tc>
          <w:tcPr>
            <w:tcW w:w="954" w:type="dxa"/>
            <w:shd w:val="clear" w:color="auto" w:fill="auto"/>
            <w:noWrap/>
            <w:vAlign w:val="center"/>
          </w:tcPr>
          <w:p w14:paraId="556997A3"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K-ASA</w:t>
            </w:r>
          </w:p>
        </w:tc>
        <w:tc>
          <w:tcPr>
            <w:tcW w:w="3149" w:type="dxa"/>
            <w:shd w:val="clear" w:color="auto" w:fill="auto"/>
            <w:noWrap/>
            <w:vAlign w:val="center"/>
          </w:tcPr>
          <w:p w14:paraId="4EEB298C" w14:textId="77777777" w:rsidR="0031662A" w:rsidRPr="00001843" w:rsidRDefault="0031662A" w:rsidP="00E360A0">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rPr>
              <w:t>K Factor required based on</w:t>
            </w:r>
            <w:r w:rsidRPr="00001843">
              <w:rPr>
                <w:rFonts w:ascii="Segoe UI" w:eastAsia="Times New Roman" w:hAnsi="Segoe UI" w:cs="Segoe UI"/>
                <w:color w:val="014171"/>
                <w:sz w:val="16"/>
                <w:szCs w:val="18"/>
                <w:lang w:eastAsia="ja-JP"/>
              </w:rPr>
              <w:t xml:space="preserve"> assets safeguarded and administered</w:t>
            </w:r>
          </w:p>
        </w:tc>
      </w:tr>
      <w:tr w:rsidR="00A22D32" w:rsidRPr="00377C35" w14:paraId="5892DF07" w14:textId="77777777" w:rsidTr="007A2631">
        <w:trPr>
          <w:trHeight w:val="397"/>
          <w:jc w:val="center"/>
        </w:trPr>
        <w:tc>
          <w:tcPr>
            <w:tcW w:w="954" w:type="dxa"/>
            <w:shd w:val="clear" w:color="auto" w:fill="auto"/>
            <w:noWrap/>
            <w:vAlign w:val="center"/>
          </w:tcPr>
          <w:p w14:paraId="2689FCEF"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K-AUM</w:t>
            </w:r>
          </w:p>
        </w:tc>
        <w:tc>
          <w:tcPr>
            <w:tcW w:w="3149" w:type="dxa"/>
            <w:shd w:val="clear" w:color="auto" w:fill="auto"/>
            <w:noWrap/>
            <w:vAlign w:val="center"/>
          </w:tcPr>
          <w:p w14:paraId="16B92A27" w14:textId="77777777"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rPr>
              <w:t>K Factor required based on assets under management</w:t>
            </w:r>
          </w:p>
        </w:tc>
      </w:tr>
      <w:tr w:rsidR="00A22D32" w:rsidRPr="00377C35" w14:paraId="79DBD6DD" w14:textId="77777777" w:rsidTr="007A2631">
        <w:trPr>
          <w:trHeight w:val="397"/>
          <w:jc w:val="center"/>
        </w:trPr>
        <w:tc>
          <w:tcPr>
            <w:tcW w:w="954" w:type="dxa"/>
            <w:shd w:val="clear" w:color="auto" w:fill="auto"/>
            <w:noWrap/>
            <w:vAlign w:val="center"/>
          </w:tcPr>
          <w:p w14:paraId="1582E69D"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K-CMG</w:t>
            </w:r>
          </w:p>
        </w:tc>
        <w:tc>
          <w:tcPr>
            <w:tcW w:w="3149" w:type="dxa"/>
            <w:shd w:val="clear" w:color="auto" w:fill="auto"/>
            <w:noWrap/>
            <w:vAlign w:val="center"/>
          </w:tcPr>
          <w:p w14:paraId="59D5CB0F" w14:textId="77777777"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lang w:eastAsia="ja-JP"/>
              </w:rPr>
              <w:t>K Factor required based on Clearing Margin Given</w:t>
            </w:r>
          </w:p>
        </w:tc>
      </w:tr>
      <w:tr w:rsidR="00A22D32" w:rsidRPr="00377C35" w14:paraId="76C93110" w14:textId="77777777" w:rsidTr="007A2631">
        <w:trPr>
          <w:trHeight w:val="397"/>
          <w:jc w:val="center"/>
        </w:trPr>
        <w:tc>
          <w:tcPr>
            <w:tcW w:w="954" w:type="dxa"/>
            <w:shd w:val="clear" w:color="auto" w:fill="auto"/>
            <w:noWrap/>
            <w:vAlign w:val="center"/>
          </w:tcPr>
          <w:p w14:paraId="01CEC304"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K-CMH</w:t>
            </w:r>
          </w:p>
        </w:tc>
        <w:tc>
          <w:tcPr>
            <w:tcW w:w="3149" w:type="dxa"/>
            <w:shd w:val="clear" w:color="auto" w:fill="auto"/>
            <w:noWrap/>
            <w:vAlign w:val="center"/>
          </w:tcPr>
          <w:p w14:paraId="741C2520" w14:textId="77777777" w:rsidR="0031662A" w:rsidRPr="00001843" w:rsidRDefault="0031662A" w:rsidP="00E360A0">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rPr>
              <w:t>K Factor required based on Client Money Held</w:t>
            </w:r>
          </w:p>
        </w:tc>
      </w:tr>
      <w:tr w:rsidR="00A22D32" w:rsidRPr="00377C35" w14:paraId="194A221B" w14:textId="77777777" w:rsidTr="007A2631">
        <w:trPr>
          <w:trHeight w:val="397"/>
          <w:jc w:val="center"/>
        </w:trPr>
        <w:tc>
          <w:tcPr>
            <w:tcW w:w="954" w:type="dxa"/>
            <w:shd w:val="clear" w:color="auto" w:fill="auto"/>
            <w:noWrap/>
            <w:vAlign w:val="center"/>
          </w:tcPr>
          <w:p w14:paraId="1F6C2E12"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K-CON</w:t>
            </w:r>
          </w:p>
        </w:tc>
        <w:tc>
          <w:tcPr>
            <w:tcW w:w="3149" w:type="dxa"/>
            <w:shd w:val="clear" w:color="auto" w:fill="auto"/>
            <w:noWrap/>
            <w:vAlign w:val="center"/>
          </w:tcPr>
          <w:p w14:paraId="14303ABD" w14:textId="77777777"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rPr>
              <w:t>K Factor required based on Concentration Risk</w:t>
            </w:r>
          </w:p>
        </w:tc>
      </w:tr>
      <w:tr w:rsidR="00A22D32" w:rsidRPr="00377C35" w14:paraId="76F9B740" w14:textId="77777777" w:rsidTr="007A2631">
        <w:trPr>
          <w:trHeight w:val="397"/>
          <w:jc w:val="center"/>
        </w:trPr>
        <w:tc>
          <w:tcPr>
            <w:tcW w:w="954" w:type="dxa"/>
            <w:shd w:val="clear" w:color="auto" w:fill="auto"/>
            <w:noWrap/>
            <w:vAlign w:val="center"/>
          </w:tcPr>
          <w:p w14:paraId="4C0B1730"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K-DTF</w:t>
            </w:r>
          </w:p>
        </w:tc>
        <w:tc>
          <w:tcPr>
            <w:tcW w:w="3149" w:type="dxa"/>
            <w:shd w:val="clear" w:color="auto" w:fill="auto"/>
            <w:noWrap/>
            <w:vAlign w:val="center"/>
          </w:tcPr>
          <w:p w14:paraId="60855AD0" w14:textId="77777777"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rPr>
              <w:t>K Factor required based on Daily Trading Flow</w:t>
            </w:r>
          </w:p>
        </w:tc>
      </w:tr>
      <w:tr w:rsidR="00162EA6" w:rsidRPr="00377C35" w14:paraId="3ED6A592" w14:textId="77777777" w:rsidTr="000E4B6F">
        <w:trPr>
          <w:trHeight w:val="397"/>
          <w:jc w:val="center"/>
        </w:trPr>
        <w:tc>
          <w:tcPr>
            <w:tcW w:w="954" w:type="dxa"/>
            <w:shd w:val="clear" w:color="auto" w:fill="auto"/>
            <w:noWrap/>
            <w:vAlign w:val="center"/>
          </w:tcPr>
          <w:p w14:paraId="7AE3C1EA" w14:textId="77777777" w:rsidR="00162EA6" w:rsidRPr="00001843" w:rsidRDefault="00162EA6" w:rsidP="000E4B6F">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KFR</w:t>
            </w:r>
          </w:p>
        </w:tc>
        <w:tc>
          <w:tcPr>
            <w:tcW w:w="3149" w:type="dxa"/>
            <w:shd w:val="clear" w:color="auto" w:fill="auto"/>
            <w:noWrap/>
            <w:vAlign w:val="center"/>
          </w:tcPr>
          <w:p w14:paraId="0E932A9E" w14:textId="77777777" w:rsidR="00162EA6" w:rsidRPr="00001843" w:rsidRDefault="00162EA6" w:rsidP="000E4B6F">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lang w:eastAsia="ja-JP"/>
              </w:rPr>
              <w:t>K Factor Re</w:t>
            </w:r>
            <w:r w:rsidRPr="00377C35">
              <w:rPr>
                <w:rFonts w:ascii="Segoe UI" w:eastAsia="Times New Roman" w:hAnsi="Segoe UI" w:cs="Segoe UI"/>
                <w:color w:val="014171"/>
                <w:sz w:val="16"/>
                <w:szCs w:val="18"/>
                <w:lang w:eastAsia="ja-JP"/>
              </w:rPr>
              <w:t>quirement</w:t>
            </w:r>
          </w:p>
        </w:tc>
      </w:tr>
      <w:tr w:rsidR="00A22D32" w:rsidRPr="00377C35" w14:paraId="37A2A835" w14:textId="77777777" w:rsidTr="007A2631">
        <w:trPr>
          <w:trHeight w:val="397"/>
          <w:jc w:val="center"/>
        </w:trPr>
        <w:tc>
          <w:tcPr>
            <w:tcW w:w="954" w:type="dxa"/>
            <w:shd w:val="clear" w:color="auto" w:fill="auto"/>
            <w:noWrap/>
            <w:vAlign w:val="center"/>
          </w:tcPr>
          <w:p w14:paraId="64F7FC59"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K-NPR</w:t>
            </w:r>
          </w:p>
        </w:tc>
        <w:tc>
          <w:tcPr>
            <w:tcW w:w="3149" w:type="dxa"/>
            <w:shd w:val="clear" w:color="auto" w:fill="auto"/>
            <w:noWrap/>
            <w:vAlign w:val="center"/>
          </w:tcPr>
          <w:p w14:paraId="1898C3F7" w14:textId="77777777"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rPr>
              <w:t>K Factor required based on Net Position Risk</w:t>
            </w:r>
          </w:p>
        </w:tc>
      </w:tr>
      <w:tr w:rsidR="00C61EE4" w:rsidRPr="00377C35" w14:paraId="71E4D4A6" w14:textId="77777777" w:rsidTr="007A2631">
        <w:trPr>
          <w:trHeight w:val="397"/>
          <w:jc w:val="center"/>
        </w:trPr>
        <w:tc>
          <w:tcPr>
            <w:tcW w:w="954" w:type="dxa"/>
            <w:shd w:val="clear" w:color="auto" w:fill="auto"/>
            <w:noWrap/>
            <w:vAlign w:val="center"/>
          </w:tcPr>
          <w:p w14:paraId="5D85EAD2" w14:textId="5C67BEDF" w:rsidR="00C61EE4" w:rsidRPr="00377C35" w:rsidRDefault="00C61EE4" w:rsidP="00E360A0">
            <w:pPr>
              <w:spacing w:after="0"/>
              <w:jc w:val="both"/>
              <w:rPr>
                <w:rFonts w:ascii="Segoe UI" w:eastAsia="Times New Roman" w:hAnsi="Segoe UI" w:cs="Segoe UI"/>
                <w:b/>
                <w:bCs/>
                <w:color w:val="014171"/>
                <w:sz w:val="16"/>
                <w:szCs w:val="18"/>
                <w:lang w:eastAsia="ja-JP"/>
              </w:rPr>
            </w:pPr>
            <w:r w:rsidRPr="00AF02BF">
              <w:rPr>
                <w:rFonts w:ascii="Segoe UI" w:eastAsia="Times New Roman" w:hAnsi="Segoe UI" w:cs="Segoe UI"/>
                <w:b/>
                <w:bCs/>
                <w:color w:val="014171"/>
                <w:sz w:val="16"/>
                <w:szCs w:val="18"/>
                <w:lang w:eastAsia="ja-JP"/>
              </w:rPr>
              <w:t>KPI</w:t>
            </w:r>
          </w:p>
        </w:tc>
        <w:tc>
          <w:tcPr>
            <w:tcW w:w="3149" w:type="dxa"/>
            <w:shd w:val="clear" w:color="auto" w:fill="auto"/>
            <w:noWrap/>
            <w:vAlign w:val="center"/>
          </w:tcPr>
          <w:p w14:paraId="758E5F24" w14:textId="22BA62DF" w:rsidR="00C61EE4" w:rsidRPr="00377C35" w:rsidRDefault="00C61EE4" w:rsidP="00E360A0">
            <w:pPr>
              <w:spacing w:after="0"/>
              <w:jc w:val="both"/>
              <w:rPr>
                <w:rFonts w:ascii="Segoe UI" w:eastAsia="Times New Roman" w:hAnsi="Segoe UI" w:cs="Segoe UI"/>
                <w:color w:val="014171"/>
                <w:sz w:val="16"/>
                <w:szCs w:val="18"/>
              </w:rPr>
            </w:pPr>
            <w:r w:rsidRPr="00377C35">
              <w:rPr>
                <w:rFonts w:ascii="Segoe UI" w:eastAsia="Times New Roman" w:hAnsi="Segoe UI" w:cs="Segoe UI"/>
                <w:color w:val="014171"/>
                <w:sz w:val="16"/>
                <w:szCs w:val="18"/>
              </w:rPr>
              <w:t>Key Performance Indicator</w:t>
            </w:r>
          </w:p>
        </w:tc>
      </w:tr>
      <w:tr w:rsidR="00A22D32" w:rsidRPr="00377C35" w14:paraId="15932100" w14:textId="77777777" w:rsidTr="007A2631">
        <w:trPr>
          <w:trHeight w:val="397"/>
          <w:jc w:val="center"/>
        </w:trPr>
        <w:tc>
          <w:tcPr>
            <w:tcW w:w="954" w:type="dxa"/>
            <w:shd w:val="clear" w:color="auto" w:fill="auto"/>
            <w:noWrap/>
            <w:vAlign w:val="center"/>
          </w:tcPr>
          <w:p w14:paraId="761BCC0C"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K-TCD</w:t>
            </w:r>
          </w:p>
        </w:tc>
        <w:tc>
          <w:tcPr>
            <w:tcW w:w="3149" w:type="dxa"/>
            <w:shd w:val="clear" w:color="auto" w:fill="auto"/>
            <w:noWrap/>
            <w:vAlign w:val="center"/>
          </w:tcPr>
          <w:p w14:paraId="236FDD8D" w14:textId="77777777"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lang w:eastAsia="ja-JP"/>
              </w:rPr>
              <w:t>K Factor required based on Trading Counterparty Default</w:t>
            </w:r>
          </w:p>
        </w:tc>
      </w:tr>
      <w:tr w:rsidR="00514E14" w:rsidRPr="00377C35" w14:paraId="0788ED25" w14:textId="77777777" w:rsidTr="007A2631">
        <w:trPr>
          <w:trHeight w:val="397"/>
          <w:jc w:val="center"/>
        </w:trPr>
        <w:tc>
          <w:tcPr>
            <w:tcW w:w="954" w:type="dxa"/>
            <w:shd w:val="clear" w:color="auto" w:fill="auto"/>
            <w:noWrap/>
            <w:vAlign w:val="center"/>
          </w:tcPr>
          <w:p w14:paraId="02CB8DB4" w14:textId="069DA8B1" w:rsidR="00514E14" w:rsidRPr="00377C35" w:rsidRDefault="00514E14" w:rsidP="00E360A0">
            <w:pPr>
              <w:spacing w:after="0"/>
              <w:jc w:val="both"/>
              <w:rPr>
                <w:rFonts w:ascii="Segoe UI" w:eastAsia="Times New Roman" w:hAnsi="Segoe UI" w:cs="Segoe UI"/>
                <w:b/>
                <w:bCs/>
                <w:color w:val="014171"/>
                <w:sz w:val="16"/>
                <w:szCs w:val="18"/>
                <w:lang w:eastAsia="ja-JP"/>
              </w:rPr>
            </w:pPr>
            <w:r w:rsidRPr="00377C35">
              <w:rPr>
                <w:rFonts w:ascii="Segoe UI" w:eastAsia="Times New Roman" w:hAnsi="Segoe UI" w:cs="Segoe UI"/>
                <w:b/>
                <w:bCs/>
                <w:color w:val="014171"/>
                <w:sz w:val="16"/>
                <w:szCs w:val="18"/>
                <w:lang w:eastAsia="ja-JP"/>
              </w:rPr>
              <w:t>KWG</w:t>
            </w:r>
          </w:p>
        </w:tc>
        <w:tc>
          <w:tcPr>
            <w:tcW w:w="3149" w:type="dxa"/>
            <w:shd w:val="clear" w:color="auto" w:fill="auto"/>
            <w:noWrap/>
            <w:vAlign w:val="center"/>
          </w:tcPr>
          <w:p w14:paraId="5607E27E" w14:textId="608589EF" w:rsidR="00514E14" w:rsidRPr="00377C35" w:rsidRDefault="00514E14"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German Banking Act</w:t>
            </w:r>
          </w:p>
        </w:tc>
      </w:tr>
      <w:tr w:rsidR="008749A6" w:rsidRPr="00377C35" w14:paraId="4315AE14" w14:textId="77777777" w:rsidTr="007A2631">
        <w:trPr>
          <w:trHeight w:val="397"/>
          <w:jc w:val="center"/>
        </w:trPr>
        <w:tc>
          <w:tcPr>
            <w:tcW w:w="954" w:type="dxa"/>
            <w:shd w:val="clear" w:color="auto" w:fill="auto"/>
            <w:noWrap/>
            <w:vAlign w:val="center"/>
          </w:tcPr>
          <w:p w14:paraId="6F660E33" w14:textId="7B6FC684" w:rsidR="008749A6" w:rsidRPr="00377C35" w:rsidRDefault="008749A6" w:rsidP="00E360A0">
            <w:pPr>
              <w:spacing w:after="0"/>
              <w:jc w:val="both"/>
              <w:rPr>
                <w:rFonts w:ascii="Segoe UI" w:eastAsia="Times New Roman" w:hAnsi="Segoe UI" w:cs="Segoe UI"/>
                <w:b/>
                <w:bCs/>
                <w:color w:val="014171"/>
                <w:sz w:val="16"/>
                <w:szCs w:val="18"/>
                <w:lang w:eastAsia="ja-JP"/>
              </w:rPr>
            </w:pPr>
            <w:r w:rsidRPr="00377C35">
              <w:rPr>
                <w:rFonts w:ascii="Segoe UI" w:eastAsia="Times New Roman" w:hAnsi="Segoe UI" w:cs="Segoe UI"/>
                <w:b/>
                <w:bCs/>
                <w:color w:val="014171"/>
                <w:sz w:val="16"/>
                <w:szCs w:val="18"/>
                <w:lang w:eastAsia="ja-JP"/>
              </w:rPr>
              <w:t>LAB</w:t>
            </w:r>
          </w:p>
        </w:tc>
        <w:tc>
          <w:tcPr>
            <w:tcW w:w="3149" w:type="dxa"/>
            <w:shd w:val="clear" w:color="auto" w:fill="auto"/>
            <w:noWrap/>
            <w:vAlign w:val="center"/>
          </w:tcPr>
          <w:p w14:paraId="393BB82F" w14:textId="2728307E" w:rsidR="008749A6" w:rsidRPr="00377C35" w:rsidRDefault="008749A6"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Liquid Asset Buffer</w:t>
            </w:r>
          </w:p>
        </w:tc>
      </w:tr>
      <w:tr w:rsidR="000F119A" w:rsidRPr="00377C35" w14:paraId="2FB77C9D" w14:textId="77777777" w:rsidTr="007A2631">
        <w:trPr>
          <w:trHeight w:val="397"/>
          <w:jc w:val="center"/>
        </w:trPr>
        <w:tc>
          <w:tcPr>
            <w:tcW w:w="954" w:type="dxa"/>
            <w:shd w:val="clear" w:color="auto" w:fill="auto"/>
            <w:noWrap/>
            <w:vAlign w:val="center"/>
          </w:tcPr>
          <w:p w14:paraId="143E8BE3" w14:textId="575DA247" w:rsidR="000F119A" w:rsidRPr="00001843" w:rsidRDefault="000F119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LoD</w:t>
            </w:r>
          </w:p>
        </w:tc>
        <w:tc>
          <w:tcPr>
            <w:tcW w:w="3149" w:type="dxa"/>
            <w:shd w:val="clear" w:color="auto" w:fill="auto"/>
            <w:noWrap/>
            <w:vAlign w:val="center"/>
          </w:tcPr>
          <w:p w14:paraId="3E892E06" w14:textId="1C6874A7" w:rsidR="000F119A" w:rsidRPr="00001843" w:rsidRDefault="000F119A" w:rsidP="00E360A0">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lang w:eastAsia="ja-JP"/>
              </w:rPr>
              <w:t>Line of Defence</w:t>
            </w:r>
          </w:p>
        </w:tc>
      </w:tr>
      <w:tr w:rsidR="0024004B" w:rsidRPr="00377C35" w14:paraId="15704E02" w14:textId="77777777" w:rsidTr="007A2631">
        <w:trPr>
          <w:trHeight w:val="397"/>
          <w:jc w:val="center"/>
        </w:trPr>
        <w:tc>
          <w:tcPr>
            <w:tcW w:w="954" w:type="dxa"/>
            <w:shd w:val="clear" w:color="auto" w:fill="auto"/>
            <w:noWrap/>
            <w:vAlign w:val="center"/>
          </w:tcPr>
          <w:p w14:paraId="3D3A7A42" w14:textId="30C0C9CD" w:rsidR="0024004B" w:rsidRPr="00377C35" w:rsidRDefault="0024004B" w:rsidP="00E360A0">
            <w:pPr>
              <w:spacing w:after="0"/>
              <w:jc w:val="both"/>
              <w:rPr>
                <w:rFonts w:ascii="Segoe UI" w:eastAsia="Times New Roman" w:hAnsi="Segoe UI" w:cs="Segoe UI"/>
                <w:b/>
                <w:bCs/>
                <w:color w:val="014171"/>
                <w:sz w:val="16"/>
                <w:szCs w:val="18"/>
                <w:lang w:eastAsia="ja-JP"/>
              </w:rPr>
            </w:pPr>
            <w:r w:rsidRPr="00377C35">
              <w:rPr>
                <w:rFonts w:ascii="Segoe UI" w:eastAsia="Times New Roman" w:hAnsi="Segoe UI" w:cs="Segoe UI"/>
                <w:b/>
                <w:bCs/>
                <w:color w:val="014171"/>
                <w:sz w:val="16"/>
                <w:szCs w:val="18"/>
                <w:lang w:eastAsia="ja-JP"/>
              </w:rPr>
              <w:t>MaRisk</w:t>
            </w:r>
          </w:p>
        </w:tc>
        <w:tc>
          <w:tcPr>
            <w:tcW w:w="3149" w:type="dxa"/>
            <w:shd w:val="clear" w:color="auto" w:fill="auto"/>
            <w:noWrap/>
            <w:vAlign w:val="center"/>
          </w:tcPr>
          <w:p w14:paraId="07710242" w14:textId="45C4F0D8" w:rsidR="0024004B" w:rsidRPr="00377C35" w:rsidRDefault="0024004B"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Minimum Requirements for Risk Management</w:t>
            </w:r>
          </w:p>
        </w:tc>
      </w:tr>
      <w:tr w:rsidR="00C61EE4" w:rsidRPr="00377C35" w14:paraId="4E4D38A8" w14:textId="77777777" w:rsidTr="007A2631">
        <w:trPr>
          <w:trHeight w:val="397"/>
          <w:jc w:val="center"/>
        </w:trPr>
        <w:tc>
          <w:tcPr>
            <w:tcW w:w="954" w:type="dxa"/>
            <w:shd w:val="clear" w:color="auto" w:fill="auto"/>
            <w:noWrap/>
            <w:vAlign w:val="center"/>
          </w:tcPr>
          <w:p w14:paraId="216DD937" w14:textId="4E96C817" w:rsidR="00C61EE4" w:rsidRPr="00001843" w:rsidRDefault="00C61EE4"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MD</w:t>
            </w:r>
          </w:p>
        </w:tc>
        <w:tc>
          <w:tcPr>
            <w:tcW w:w="3149" w:type="dxa"/>
            <w:shd w:val="clear" w:color="auto" w:fill="auto"/>
            <w:noWrap/>
            <w:vAlign w:val="center"/>
          </w:tcPr>
          <w:p w14:paraId="0E32CF73" w14:textId="4C83EB7D" w:rsidR="00C61EE4" w:rsidRPr="00001843" w:rsidRDefault="00C61EE4"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Managing Director</w:t>
            </w:r>
          </w:p>
        </w:tc>
      </w:tr>
      <w:tr w:rsidR="00A22D32" w:rsidRPr="00377C35" w14:paraId="20E77105" w14:textId="77777777" w:rsidTr="007A2631">
        <w:trPr>
          <w:trHeight w:val="397"/>
          <w:jc w:val="center"/>
        </w:trPr>
        <w:tc>
          <w:tcPr>
            <w:tcW w:w="954" w:type="dxa"/>
            <w:shd w:val="clear" w:color="auto" w:fill="auto"/>
            <w:noWrap/>
            <w:vAlign w:val="center"/>
          </w:tcPr>
          <w:p w14:paraId="4865A802" w14:textId="27A5403A" w:rsidR="0031662A" w:rsidRPr="00001843" w:rsidRDefault="0031662A" w:rsidP="00E360A0">
            <w:pPr>
              <w:spacing w:after="0"/>
              <w:jc w:val="both"/>
              <w:rPr>
                <w:rFonts w:ascii="Segoe UI" w:eastAsia="Times New Roman" w:hAnsi="Segoe UI" w:cs="Segoe UI"/>
                <w:b/>
                <w:bCs/>
                <w:color w:val="014171"/>
                <w:sz w:val="16"/>
                <w:szCs w:val="18"/>
              </w:rPr>
            </w:pPr>
            <w:r w:rsidRPr="00001843">
              <w:rPr>
                <w:rFonts w:ascii="Segoe UI" w:eastAsia="Times New Roman" w:hAnsi="Segoe UI" w:cs="Segoe UI"/>
                <w:b/>
                <w:bCs/>
                <w:color w:val="014171"/>
                <w:sz w:val="16"/>
                <w:szCs w:val="18"/>
              </w:rPr>
              <w:t>MiFID</w:t>
            </w:r>
            <w:r w:rsidR="007D427F" w:rsidRPr="00001843">
              <w:rPr>
                <w:rFonts w:ascii="Segoe UI" w:eastAsia="Times New Roman" w:hAnsi="Segoe UI" w:cs="Segoe UI"/>
                <w:b/>
                <w:bCs/>
                <w:color w:val="014171"/>
                <w:sz w:val="16"/>
                <w:szCs w:val="18"/>
              </w:rPr>
              <w:t xml:space="preserve"> II</w:t>
            </w:r>
          </w:p>
        </w:tc>
        <w:tc>
          <w:tcPr>
            <w:tcW w:w="3149" w:type="dxa"/>
            <w:shd w:val="clear" w:color="auto" w:fill="auto"/>
            <w:noWrap/>
            <w:vAlign w:val="center"/>
          </w:tcPr>
          <w:p w14:paraId="7EEB389A" w14:textId="77777777"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rPr>
              <w:t>Markets in Financial Instruments Directive</w:t>
            </w:r>
          </w:p>
        </w:tc>
      </w:tr>
      <w:tr w:rsidR="00A22D32" w:rsidRPr="00377C35" w14:paraId="45AEEED8" w14:textId="77777777" w:rsidTr="007A2631">
        <w:trPr>
          <w:trHeight w:val="397"/>
          <w:jc w:val="center"/>
        </w:trPr>
        <w:tc>
          <w:tcPr>
            <w:tcW w:w="954" w:type="dxa"/>
            <w:shd w:val="clear" w:color="auto" w:fill="auto"/>
            <w:noWrap/>
            <w:vAlign w:val="center"/>
          </w:tcPr>
          <w:p w14:paraId="3A476880" w14:textId="05FC7DDE"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MRT</w:t>
            </w:r>
          </w:p>
        </w:tc>
        <w:tc>
          <w:tcPr>
            <w:tcW w:w="3149" w:type="dxa"/>
            <w:shd w:val="clear" w:color="auto" w:fill="auto"/>
            <w:noWrap/>
            <w:vAlign w:val="center"/>
          </w:tcPr>
          <w:p w14:paraId="6080BBBB" w14:textId="648D43E5" w:rsidR="0031662A" w:rsidRPr="00001843" w:rsidRDefault="0031662A" w:rsidP="00E360A0">
            <w:pPr>
              <w:spacing w:after="0"/>
              <w:jc w:val="both"/>
              <w:rPr>
                <w:rFonts w:ascii="Segoe UI" w:eastAsia="Times New Roman" w:hAnsi="Segoe UI" w:cs="Segoe UI"/>
                <w:color w:val="014171"/>
                <w:sz w:val="16"/>
                <w:szCs w:val="18"/>
              </w:rPr>
            </w:pPr>
            <w:r w:rsidRPr="00001843">
              <w:rPr>
                <w:rFonts w:ascii="Segoe UI" w:eastAsia="Times New Roman" w:hAnsi="Segoe UI" w:cs="Segoe UI"/>
                <w:color w:val="014171"/>
                <w:sz w:val="16"/>
                <w:szCs w:val="18"/>
              </w:rPr>
              <w:t>Material Risk Taker</w:t>
            </w:r>
          </w:p>
        </w:tc>
      </w:tr>
      <w:tr w:rsidR="00810DB3" w:rsidRPr="00377C35" w14:paraId="094471A1" w14:textId="77777777" w:rsidTr="007A2631">
        <w:trPr>
          <w:trHeight w:val="397"/>
          <w:jc w:val="center"/>
        </w:trPr>
        <w:tc>
          <w:tcPr>
            <w:tcW w:w="954" w:type="dxa"/>
            <w:shd w:val="clear" w:color="auto" w:fill="auto"/>
            <w:noWrap/>
            <w:vAlign w:val="center"/>
          </w:tcPr>
          <w:p w14:paraId="0A5276D1" w14:textId="2918E349" w:rsidR="00810DB3" w:rsidRPr="00001843" w:rsidRDefault="00810DB3" w:rsidP="00E360A0">
            <w:pPr>
              <w:spacing w:after="0"/>
              <w:jc w:val="both"/>
              <w:rPr>
                <w:rFonts w:ascii="Segoe UI" w:eastAsia="Times New Roman" w:hAnsi="Segoe UI" w:cs="Segoe UI"/>
                <w:b/>
                <w:bCs/>
                <w:color w:val="014171"/>
                <w:sz w:val="16"/>
                <w:szCs w:val="18"/>
                <w:lang w:eastAsia="ja-JP"/>
              </w:rPr>
            </w:pPr>
            <w:r>
              <w:rPr>
                <w:rFonts w:ascii="Segoe UI" w:eastAsia="Times New Roman" w:hAnsi="Segoe UI" w:cs="Segoe UI"/>
                <w:b/>
                <w:bCs/>
                <w:color w:val="014171"/>
                <w:sz w:val="16"/>
                <w:szCs w:val="18"/>
                <w:lang w:eastAsia="ja-JP"/>
              </w:rPr>
              <w:t>MTM</w:t>
            </w:r>
          </w:p>
        </w:tc>
        <w:tc>
          <w:tcPr>
            <w:tcW w:w="3149" w:type="dxa"/>
            <w:shd w:val="clear" w:color="auto" w:fill="auto"/>
            <w:noWrap/>
            <w:vAlign w:val="center"/>
          </w:tcPr>
          <w:p w14:paraId="18A4E727" w14:textId="7A97D550" w:rsidR="00810DB3" w:rsidRPr="00001843" w:rsidRDefault="00810DB3" w:rsidP="00E360A0">
            <w:pPr>
              <w:spacing w:after="0"/>
              <w:jc w:val="both"/>
              <w:rPr>
                <w:rFonts w:ascii="Segoe UI" w:eastAsia="Times New Roman" w:hAnsi="Segoe UI" w:cs="Segoe UI"/>
                <w:color w:val="014171"/>
                <w:sz w:val="16"/>
                <w:szCs w:val="18"/>
              </w:rPr>
            </w:pPr>
            <w:r>
              <w:rPr>
                <w:rFonts w:ascii="Segoe UI" w:eastAsia="Times New Roman" w:hAnsi="Segoe UI" w:cs="Segoe UI"/>
                <w:color w:val="014171"/>
                <w:sz w:val="16"/>
                <w:szCs w:val="18"/>
              </w:rPr>
              <w:t>Mark-to-Market</w:t>
            </w:r>
          </w:p>
        </w:tc>
      </w:tr>
      <w:tr w:rsidR="00810DB3" w:rsidRPr="00377C35" w14:paraId="668A9983" w14:textId="77777777" w:rsidTr="007A2631">
        <w:trPr>
          <w:trHeight w:val="397"/>
          <w:jc w:val="center"/>
        </w:trPr>
        <w:tc>
          <w:tcPr>
            <w:tcW w:w="954" w:type="dxa"/>
            <w:shd w:val="clear" w:color="auto" w:fill="auto"/>
            <w:noWrap/>
            <w:vAlign w:val="center"/>
          </w:tcPr>
          <w:p w14:paraId="66A206D9" w14:textId="4E4EA737" w:rsidR="00810DB3" w:rsidRDefault="00810DB3" w:rsidP="00E360A0">
            <w:pPr>
              <w:spacing w:after="0"/>
              <w:jc w:val="both"/>
              <w:rPr>
                <w:rFonts w:ascii="Segoe UI" w:eastAsia="Times New Roman" w:hAnsi="Segoe UI" w:cs="Segoe UI"/>
                <w:b/>
                <w:bCs/>
                <w:color w:val="014171"/>
                <w:sz w:val="16"/>
                <w:szCs w:val="18"/>
                <w:lang w:eastAsia="ja-JP"/>
              </w:rPr>
            </w:pPr>
            <w:r>
              <w:rPr>
                <w:rFonts w:ascii="Segoe UI" w:eastAsia="Times New Roman" w:hAnsi="Segoe UI" w:cs="Segoe UI"/>
                <w:b/>
                <w:bCs/>
                <w:color w:val="014171"/>
                <w:sz w:val="16"/>
                <w:szCs w:val="18"/>
                <w:lang w:eastAsia="ja-JP"/>
              </w:rPr>
              <w:t>PFE</w:t>
            </w:r>
          </w:p>
        </w:tc>
        <w:tc>
          <w:tcPr>
            <w:tcW w:w="3149" w:type="dxa"/>
            <w:shd w:val="clear" w:color="auto" w:fill="auto"/>
            <w:noWrap/>
            <w:vAlign w:val="center"/>
          </w:tcPr>
          <w:p w14:paraId="70ED9C1B" w14:textId="65D88948" w:rsidR="00810DB3" w:rsidRDefault="00810DB3" w:rsidP="00E360A0">
            <w:pPr>
              <w:spacing w:after="0"/>
              <w:jc w:val="both"/>
              <w:rPr>
                <w:rFonts w:ascii="Segoe UI" w:eastAsia="Times New Roman" w:hAnsi="Segoe UI" w:cs="Segoe UI"/>
                <w:color w:val="014171"/>
                <w:sz w:val="16"/>
                <w:szCs w:val="18"/>
              </w:rPr>
            </w:pPr>
            <w:r>
              <w:rPr>
                <w:rFonts w:ascii="Segoe UI" w:eastAsia="Times New Roman" w:hAnsi="Segoe UI" w:cs="Segoe UI"/>
                <w:color w:val="014171"/>
                <w:sz w:val="16"/>
                <w:szCs w:val="18"/>
              </w:rPr>
              <w:t>Potential Future Exposure</w:t>
            </w:r>
          </w:p>
        </w:tc>
      </w:tr>
      <w:tr w:rsidR="0024004B" w:rsidRPr="00377C35" w14:paraId="38ECF971" w14:textId="77777777" w:rsidTr="007A2631">
        <w:trPr>
          <w:trHeight w:val="397"/>
          <w:jc w:val="center"/>
        </w:trPr>
        <w:tc>
          <w:tcPr>
            <w:tcW w:w="954" w:type="dxa"/>
            <w:shd w:val="clear" w:color="auto" w:fill="auto"/>
            <w:noWrap/>
            <w:vAlign w:val="center"/>
          </w:tcPr>
          <w:p w14:paraId="443E15A9" w14:textId="6B4E366E" w:rsidR="0024004B" w:rsidRPr="00377C35" w:rsidRDefault="0024004B" w:rsidP="00E360A0">
            <w:pPr>
              <w:spacing w:after="0"/>
              <w:jc w:val="both"/>
              <w:rPr>
                <w:rFonts w:ascii="Segoe UI" w:eastAsia="Times New Roman" w:hAnsi="Segoe UI" w:cs="Segoe UI"/>
                <w:b/>
                <w:bCs/>
                <w:color w:val="014171"/>
                <w:sz w:val="16"/>
                <w:szCs w:val="18"/>
                <w:lang w:eastAsia="ja-JP"/>
              </w:rPr>
            </w:pPr>
            <w:r w:rsidRPr="00377C35">
              <w:rPr>
                <w:rFonts w:ascii="Segoe UI" w:eastAsia="Times New Roman" w:hAnsi="Segoe UI" w:cs="Segoe UI"/>
                <w:b/>
                <w:bCs/>
                <w:color w:val="014171"/>
                <w:sz w:val="16"/>
                <w:szCs w:val="18"/>
                <w:lang w:eastAsia="ja-JP"/>
              </w:rPr>
              <w:t>RAS</w:t>
            </w:r>
          </w:p>
        </w:tc>
        <w:tc>
          <w:tcPr>
            <w:tcW w:w="3149" w:type="dxa"/>
            <w:shd w:val="clear" w:color="auto" w:fill="auto"/>
            <w:noWrap/>
            <w:vAlign w:val="center"/>
          </w:tcPr>
          <w:p w14:paraId="1CD1D534" w14:textId="3BBC7CD9" w:rsidR="0024004B" w:rsidRPr="00377C35" w:rsidRDefault="0024004B"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Risk Appetite Statement</w:t>
            </w:r>
          </w:p>
        </w:tc>
      </w:tr>
      <w:tr w:rsidR="00C61EE4" w:rsidRPr="00377C35" w14:paraId="277D712D" w14:textId="77777777" w:rsidTr="007A2631">
        <w:trPr>
          <w:trHeight w:val="397"/>
          <w:jc w:val="center"/>
        </w:trPr>
        <w:tc>
          <w:tcPr>
            <w:tcW w:w="954" w:type="dxa"/>
            <w:shd w:val="clear" w:color="auto" w:fill="auto"/>
            <w:noWrap/>
            <w:vAlign w:val="center"/>
          </w:tcPr>
          <w:p w14:paraId="3680DF59" w14:textId="0E639E33" w:rsidR="00C61EE4" w:rsidRPr="00001843" w:rsidRDefault="00C61EE4"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RCSA</w:t>
            </w:r>
          </w:p>
        </w:tc>
        <w:tc>
          <w:tcPr>
            <w:tcW w:w="3149" w:type="dxa"/>
            <w:shd w:val="clear" w:color="auto" w:fill="auto"/>
            <w:noWrap/>
            <w:vAlign w:val="center"/>
          </w:tcPr>
          <w:p w14:paraId="090532E0" w14:textId="3E7BFFA4" w:rsidR="00C61EE4" w:rsidRPr="00001843" w:rsidRDefault="00C61EE4"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Risk &amp; Control Self-Assessment</w:t>
            </w:r>
          </w:p>
        </w:tc>
      </w:tr>
      <w:tr w:rsidR="00A668CC" w:rsidRPr="00377C35" w14:paraId="0E6C213A" w14:textId="77777777" w:rsidTr="007A2631">
        <w:trPr>
          <w:trHeight w:val="397"/>
          <w:jc w:val="center"/>
        </w:trPr>
        <w:tc>
          <w:tcPr>
            <w:tcW w:w="954" w:type="dxa"/>
            <w:shd w:val="clear" w:color="auto" w:fill="auto"/>
            <w:noWrap/>
            <w:vAlign w:val="center"/>
          </w:tcPr>
          <w:p w14:paraId="2CF01F2E" w14:textId="79637FF6" w:rsidR="00A668CC" w:rsidRPr="00001843" w:rsidRDefault="00A668CC"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RiCo</w:t>
            </w:r>
          </w:p>
        </w:tc>
        <w:tc>
          <w:tcPr>
            <w:tcW w:w="3149" w:type="dxa"/>
            <w:shd w:val="clear" w:color="auto" w:fill="auto"/>
            <w:noWrap/>
            <w:vAlign w:val="center"/>
          </w:tcPr>
          <w:p w14:paraId="12E8F783" w14:textId="73F2F47A" w:rsidR="00A668CC" w:rsidRPr="00001843" w:rsidRDefault="00A668CC" w:rsidP="00E360A0">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lang w:eastAsia="ja-JP"/>
              </w:rPr>
              <w:t>Risk Management Committee</w:t>
            </w:r>
          </w:p>
        </w:tc>
      </w:tr>
      <w:tr w:rsidR="0024004B" w:rsidRPr="00377C35" w14:paraId="05BFE4F4" w14:textId="77777777" w:rsidTr="007A2631">
        <w:trPr>
          <w:trHeight w:val="397"/>
          <w:jc w:val="center"/>
        </w:trPr>
        <w:tc>
          <w:tcPr>
            <w:tcW w:w="954" w:type="dxa"/>
            <w:shd w:val="clear" w:color="auto" w:fill="auto"/>
            <w:noWrap/>
            <w:vAlign w:val="center"/>
          </w:tcPr>
          <w:p w14:paraId="55306ADD" w14:textId="52A0BEA4" w:rsidR="0024004B" w:rsidRPr="00001843" w:rsidRDefault="0024004B"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RLF</w:t>
            </w:r>
          </w:p>
        </w:tc>
        <w:tc>
          <w:tcPr>
            <w:tcW w:w="3149" w:type="dxa"/>
            <w:shd w:val="clear" w:color="auto" w:fill="auto"/>
            <w:noWrap/>
            <w:vAlign w:val="center"/>
          </w:tcPr>
          <w:p w14:paraId="3D80801E" w14:textId="0435B564" w:rsidR="0024004B" w:rsidRPr="00001843" w:rsidRDefault="0024004B"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Risk Limit Framework</w:t>
            </w:r>
          </w:p>
        </w:tc>
      </w:tr>
      <w:tr w:rsidR="0053210F" w:rsidRPr="00377C35" w14:paraId="54B9D6C0" w14:textId="77777777" w:rsidTr="007A2631">
        <w:trPr>
          <w:trHeight w:val="397"/>
          <w:jc w:val="center"/>
        </w:trPr>
        <w:tc>
          <w:tcPr>
            <w:tcW w:w="954" w:type="dxa"/>
            <w:shd w:val="clear" w:color="auto" w:fill="auto"/>
            <w:noWrap/>
            <w:vAlign w:val="center"/>
          </w:tcPr>
          <w:p w14:paraId="7FE5D714" w14:textId="1A18FCA8" w:rsidR="0053210F" w:rsidRPr="00377C35" w:rsidRDefault="0053210F" w:rsidP="00E360A0">
            <w:pPr>
              <w:spacing w:after="0"/>
              <w:jc w:val="both"/>
              <w:rPr>
                <w:rFonts w:ascii="Segoe UI" w:eastAsia="Times New Roman" w:hAnsi="Segoe UI" w:cs="Segoe UI"/>
                <w:b/>
                <w:bCs/>
                <w:color w:val="014171"/>
                <w:sz w:val="16"/>
                <w:szCs w:val="18"/>
                <w:lang w:eastAsia="ja-JP"/>
              </w:rPr>
            </w:pPr>
            <w:r w:rsidRPr="00377C35">
              <w:rPr>
                <w:rFonts w:ascii="Segoe UI" w:eastAsia="Times New Roman" w:hAnsi="Segoe UI" w:cs="Segoe UI"/>
                <w:b/>
                <w:bCs/>
                <w:color w:val="014171"/>
                <w:sz w:val="16"/>
                <w:szCs w:val="18"/>
                <w:lang w:eastAsia="ja-JP"/>
              </w:rPr>
              <w:t>RMF</w:t>
            </w:r>
          </w:p>
        </w:tc>
        <w:tc>
          <w:tcPr>
            <w:tcW w:w="3149" w:type="dxa"/>
            <w:shd w:val="clear" w:color="auto" w:fill="auto"/>
            <w:noWrap/>
            <w:vAlign w:val="center"/>
          </w:tcPr>
          <w:p w14:paraId="2F791F7D" w14:textId="1FBD555C" w:rsidR="0053210F" w:rsidRPr="00377C35" w:rsidRDefault="0053210F"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Risk Management Framework</w:t>
            </w:r>
          </w:p>
        </w:tc>
      </w:tr>
      <w:tr w:rsidR="00C25941" w:rsidRPr="00377C35" w14:paraId="68FD2577" w14:textId="77777777" w:rsidTr="007A2631">
        <w:trPr>
          <w:trHeight w:val="397"/>
          <w:jc w:val="center"/>
        </w:trPr>
        <w:tc>
          <w:tcPr>
            <w:tcW w:w="954" w:type="dxa"/>
            <w:shd w:val="clear" w:color="auto" w:fill="auto"/>
            <w:noWrap/>
            <w:vAlign w:val="center"/>
          </w:tcPr>
          <w:p w14:paraId="33222053" w14:textId="0D6488D4" w:rsidR="00C25941" w:rsidRPr="00377C35" w:rsidRDefault="00C25941" w:rsidP="00E360A0">
            <w:pPr>
              <w:spacing w:after="0"/>
              <w:jc w:val="both"/>
              <w:rPr>
                <w:rFonts w:ascii="Segoe UI" w:eastAsia="Times New Roman" w:hAnsi="Segoe UI" w:cs="Segoe UI"/>
                <w:b/>
                <w:bCs/>
                <w:color w:val="014171"/>
                <w:sz w:val="16"/>
                <w:szCs w:val="18"/>
                <w:lang w:eastAsia="ja-JP"/>
              </w:rPr>
            </w:pPr>
            <w:r>
              <w:rPr>
                <w:rFonts w:ascii="Segoe UI" w:eastAsia="Times New Roman" w:hAnsi="Segoe UI" w:cs="Segoe UI"/>
                <w:b/>
                <w:bCs/>
                <w:color w:val="014171"/>
                <w:sz w:val="16"/>
                <w:szCs w:val="18"/>
                <w:lang w:eastAsia="ja-JP"/>
              </w:rPr>
              <w:t>RtC</w:t>
            </w:r>
          </w:p>
        </w:tc>
        <w:tc>
          <w:tcPr>
            <w:tcW w:w="3149" w:type="dxa"/>
            <w:shd w:val="clear" w:color="auto" w:fill="auto"/>
            <w:noWrap/>
            <w:vAlign w:val="center"/>
          </w:tcPr>
          <w:p w14:paraId="3F3ED84F" w14:textId="36E0FB48" w:rsidR="00C25941" w:rsidRPr="00377C35" w:rsidRDefault="00C25941" w:rsidP="00E360A0">
            <w:pPr>
              <w:spacing w:after="0"/>
              <w:jc w:val="both"/>
              <w:rPr>
                <w:rFonts w:ascii="Segoe UI" w:eastAsia="Times New Roman" w:hAnsi="Segoe UI" w:cs="Segoe UI"/>
                <w:color w:val="014171"/>
                <w:sz w:val="16"/>
                <w:szCs w:val="18"/>
                <w:lang w:eastAsia="ja-JP"/>
              </w:rPr>
            </w:pPr>
            <w:r>
              <w:rPr>
                <w:rFonts w:ascii="Segoe UI" w:eastAsia="Times New Roman" w:hAnsi="Segoe UI" w:cs="Segoe UI"/>
                <w:color w:val="014171"/>
                <w:sz w:val="16"/>
                <w:szCs w:val="18"/>
                <w:lang w:eastAsia="ja-JP"/>
              </w:rPr>
              <w:t>Risk to Client</w:t>
            </w:r>
          </w:p>
        </w:tc>
      </w:tr>
      <w:tr w:rsidR="00C25941" w:rsidRPr="00377C35" w14:paraId="6C4B1658" w14:textId="77777777" w:rsidTr="007A2631">
        <w:trPr>
          <w:trHeight w:val="397"/>
          <w:jc w:val="center"/>
        </w:trPr>
        <w:tc>
          <w:tcPr>
            <w:tcW w:w="954" w:type="dxa"/>
            <w:shd w:val="clear" w:color="auto" w:fill="auto"/>
            <w:noWrap/>
            <w:vAlign w:val="center"/>
          </w:tcPr>
          <w:p w14:paraId="0EE1C26F" w14:textId="4FBAE2B9" w:rsidR="00C25941" w:rsidRDefault="00C25941" w:rsidP="00E360A0">
            <w:pPr>
              <w:spacing w:after="0"/>
              <w:jc w:val="both"/>
              <w:rPr>
                <w:rFonts w:ascii="Segoe UI" w:eastAsia="Times New Roman" w:hAnsi="Segoe UI" w:cs="Segoe UI"/>
                <w:b/>
                <w:bCs/>
                <w:color w:val="014171"/>
                <w:sz w:val="16"/>
                <w:szCs w:val="18"/>
                <w:lang w:eastAsia="ja-JP"/>
              </w:rPr>
            </w:pPr>
            <w:r>
              <w:rPr>
                <w:rFonts w:ascii="Segoe UI" w:eastAsia="Times New Roman" w:hAnsi="Segoe UI" w:cs="Segoe UI"/>
                <w:b/>
                <w:bCs/>
                <w:color w:val="014171"/>
                <w:sz w:val="16"/>
                <w:szCs w:val="18"/>
                <w:lang w:eastAsia="ja-JP"/>
              </w:rPr>
              <w:t>RtF</w:t>
            </w:r>
          </w:p>
        </w:tc>
        <w:tc>
          <w:tcPr>
            <w:tcW w:w="3149" w:type="dxa"/>
            <w:shd w:val="clear" w:color="auto" w:fill="auto"/>
            <w:noWrap/>
            <w:vAlign w:val="center"/>
          </w:tcPr>
          <w:p w14:paraId="05ECE648" w14:textId="6528C609" w:rsidR="00C25941" w:rsidRDefault="00C25941" w:rsidP="00C25941">
            <w:pPr>
              <w:spacing w:after="0"/>
              <w:jc w:val="both"/>
              <w:rPr>
                <w:rFonts w:ascii="Segoe UI" w:eastAsia="Times New Roman" w:hAnsi="Segoe UI" w:cs="Segoe UI"/>
                <w:color w:val="014171"/>
                <w:sz w:val="16"/>
                <w:szCs w:val="18"/>
                <w:lang w:eastAsia="ja-JP"/>
              </w:rPr>
            </w:pPr>
            <w:r>
              <w:rPr>
                <w:rFonts w:ascii="Segoe UI" w:eastAsia="Times New Roman" w:hAnsi="Segoe UI" w:cs="Segoe UI"/>
                <w:color w:val="014171"/>
                <w:sz w:val="16"/>
                <w:szCs w:val="18"/>
                <w:lang w:eastAsia="ja-JP"/>
              </w:rPr>
              <w:t>Risk to Firm</w:t>
            </w:r>
          </w:p>
        </w:tc>
      </w:tr>
      <w:tr w:rsidR="00C25941" w:rsidRPr="00377C35" w14:paraId="3CE7D7B2" w14:textId="77777777" w:rsidTr="007A2631">
        <w:trPr>
          <w:trHeight w:val="397"/>
          <w:jc w:val="center"/>
        </w:trPr>
        <w:tc>
          <w:tcPr>
            <w:tcW w:w="954" w:type="dxa"/>
            <w:shd w:val="clear" w:color="auto" w:fill="auto"/>
            <w:noWrap/>
            <w:vAlign w:val="center"/>
          </w:tcPr>
          <w:p w14:paraId="0BB220AC" w14:textId="2C8B920E" w:rsidR="00C25941" w:rsidRDefault="00C25941" w:rsidP="00E360A0">
            <w:pPr>
              <w:spacing w:after="0"/>
              <w:jc w:val="both"/>
              <w:rPr>
                <w:rFonts w:ascii="Segoe UI" w:eastAsia="Times New Roman" w:hAnsi="Segoe UI" w:cs="Segoe UI"/>
                <w:b/>
                <w:bCs/>
                <w:color w:val="014171"/>
                <w:sz w:val="16"/>
                <w:szCs w:val="18"/>
                <w:lang w:eastAsia="ja-JP"/>
              </w:rPr>
            </w:pPr>
            <w:r>
              <w:rPr>
                <w:rFonts w:ascii="Segoe UI" w:eastAsia="Times New Roman" w:hAnsi="Segoe UI" w:cs="Segoe UI"/>
                <w:b/>
                <w:bCs/>
                <w:color w:val="014171"/>
                <w:sz w:val="16"/>
                <w:szCs w:val="18"/>
                <w:lang w:eastAsia="ja-JP"/>
              </w:rPr>
              <w:t>RtM</w:t>
            </w:r>
          </w:p>
        </w:tc>
        <w:tc>
          <w:tcPr>
            <w:tcW w:w="3149" w:type="dxa"/>
            <w:shd w:val="clear" w:color="auto" w:fill="auto"/>
            <w:noWrap/>
            <w:vAlign w:val="center"/>
          </w:tcPr>
          <w:p w14:paraId="4B9C0E92" w14:textId="4B52E378" w:rsidR="00C25941" w:rsidRDefault="00C25941" w:rsidP="00C25941">
            <w:pPr>
              <w:spacing w:after="0"/>
              <w:jc w:val="both"/>
              <w:rPr>
                <w:rFonts w:ascii="Segoe UI" w:eastAsia="Times New Roman" w:hAnsi="Segoe UI" w:cs="Segoe UI"/>
                <w:color w:val="014171"/>
                <w:sz w:val="16"/>
                <w:szCs w:val="18"/>
                <w:lang w:eastAsia="ja-JP"/>
              </w:rPr>
            </w:pPr>
            <w:r>
              <w:rPr>
                <w:rFonts w:ascii="Segoe UI" w:eastAsia="Times New Roman" w:hAnsi="Segoe UI" w:cs="Segoe UI"/>
                <w:color w:val="014171"/>
                <w:sz w:val="16"/>
                <w:szCs w:val="18"/>
                <w:lang w:eastAsia="ja-JP"/>
              </w:rPr>
              <w:t>Risk to Market</w:t>
            </w:r>
          </w:p>
        </w:tc>
      </w:tr>
      <w:tr w:rsidR="00F17536" w:rsidRPr="00377C35" w14:paraId="5140F8BF" w14:textId="77777777" w:rsidTr="007A2631">
        <w:trPr>
          <w:trHeight w:val="397"/>
          <w:jc w:val="center"/>
        </w:trPr>
        <w:tc>
          <w:tcPr>
            <w:tcW w:w="954" w:type="dxa"/>
            <w:shd w:val="clear" w:color="auto" w:fill="auto"/>
            <w:noWrap/>
            <w:vAlign w:val="center"/>
          </w:tcPr>
          <w:p w14:paraId="5C9CD72F" w14:textId="2CDC150C" w:rsidR="00F17536" w:rsidRPr="00001843" w:rsidRDefault="00F17536"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SREP</w:t>
            </w:r>
          </w:p>
        </w:tc>
        <w:tc>
          <w:tcPr>
            <w:tcW w:w="3149" w:type="dxa"/>
            <w:shd w:val="clear" w:color="auto" w:fill="auto"/>
            <w:noWrap/>
            <w:vAlign w:val="center"/>
          </w:tcPr>
          <w:p w14:paraId="07F80769" w14:textId="7630DD0D" w:rsidR="00F17536" w:rsidRPr="00001843" w:rsidRDefault="00F17536"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Supervisory Review and Evaluation Process</w:t>
            </w:r>
          </w:p>
        </w:tc>
      </w:tr>
      <w:tr w:rsidR="00A22D32" w:rsidRPr="00377C35" w14:paraId="5EA3F26C" w14:textId="77777777" w:rsidTr="007A2631">
        <w:trPr>
          <w:trHeight w:val="397"/>
          <w:jc w:val="center"/>
        </w:trPr>
        <w:tc>
          <w:tcPr>
            <w:tcW w:w="954" w:type="dxa"/>
            <w:shd w:val="clear" w:color="auto" w:fill="auto"/>
            <w:noWrap/>
            <w:vAlign w:val="center"/>
          </w:tcPr>
          <w:p w14:paraId="1FCD499E"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T1</w:t>
            </w:r>
          </w:p>
        </w:tc>
        <w:tc>
          <w:tcPr>
            <w:tcW w:w="3149" w:type="dxa"/>
            <w:shd w:val="clear" w:color="auto" w:fill="auto"/>
            <w:noWrap/>
            <w:vAlign w:val="center"/>
          </w:tcPr>
          <w:p w14:paraId="218DF95C" w14:textId="77777777" w:rsidR="0031662A" w:rsidRPr="00001843" w:rsidRDefault="0031662A" w:rsidP="00E360A0">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lang w:eastAsia="ja-JP"/>
              </w:rPr>
              <w:t>Tier 1</w:t>
            </w:r>
          </w:p>
        </w:tc>
      </w:tr>
      <w:tr w:rsidR="00A22D32" w:rsidRPr="00377C35" w14:paraId="0404D684" w14:textId="77777777" w:rsidTr="007A2631">
        <w:trPr>
          <w:trHeight w:val="397"/>
          <w:jc w:val="center"/>
        </w:trPr>
        <w:tc>
          <w:tcPr>
            <w:tcW w:w="954" w:type="dxa"/>
            <w:shd w:val="clear" w:color="auto" w:fill="auto"/>
            <w:noWrap/>
            <w:vAlign w:val="center"/>
          </w:tcPr>
          <w:p w14:paraId="5297F552" w14:textId="77777777" w:rsidR="0031662A" w:rsidRPr="00001843" w:rsidRDefault="0031662A"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T2</w:t>
            </w:r>
          </w:p>
        </w:tc>
        <w:tc>
          <w:tcPr>
            <w:tcW w:w="3149" w:type="dxa"/>
            <w:shd w:val="clear" w:color="auto" w:fill="auto"/>
            <w:noWrap/>
            <w:vAlign w:val="center"/>
          </w:tcPr>
          <w:p w14:paraId="2AAB2DB2" w14:textId="77777777" w:rsidR="0031662A" w:rsidRPr="00001843" w:rsidRDefault="0031662A" w:rsidP="00E360A0">
            <w:pPr>
              <w:spacing w:after="0"/>
              <w:jc w:val="both"/>
              <w:rPr>
                <w:rFonts w:ascii="Segoe UI" w:eastAsia="Times New Roman" w:hAnsi="Segoe UI" w:cs="Segoe UI"/>
                <w:color w:val="014171"/>
                <w:sz w:val="16"/>
                <w:szCs w:val="18"/>
                <w:lang w:eastAsia="ja-JP"/>
              </w:rPr>
            </w:pPr>
            <w:r w:rsidRPr="00001843">
              <w:rPr>
                <w:rFonts w:ascii="Segoe UI" w:eastAsia="Times New Roman" w:hAnsi="Segoe UI" w:cs="Segoe UI"/>
                <w:color w:val="014171"/>
                <w:sz w:val="16"/>
                <w:szCs w:val="18"/>
                <w:lang w:eastAsia="ja-JP"/>
              </w:rPr>
              <w:t>Tier 2</w:t>
            </w:r>
          </w:p>
        </w:tc>
      </w:tr>
      <w:tr w:rsidR="006C79FE" w:rsidRPr="00377C35" w14:paraId="4181F75C" w14:textId="77777777" w:rsidTr="007A2631">
        <w:trPr>
          <w:trHeight w:val="397"/>
          <w:jc w:val="center"/>
        </w:trPr>
        <w:tc>
          <w:tcPr>
            <w:tcW w:w="954" w:type="dxa"/>
            <w:shd w:val="clear" w:color="auto" w:fill="auto"/>
            <w:noWrap/>
            <w:vAlign w:val="center"/>
          </w:tcPr>
          <w:p w14:paraId="05AAC3AF" w14:textId="10FC525B" w:rsidR="006C79FE" w:rsidRPr="00001843" w:rsidRDefault="006C79FE" w:rsidP="00E360A0">
            <w:pPr>
              <w:spacing w:after="0"/>
              <w:jc w:val="both"/>
              <w:rPr>
                <w:rFonts w:ascii="Segoe UI" w:eastAsia="Times New Roman" w:hAnsi="Segoe UI" w:cs="Segoe UI"/>
                <w:b/>
                <w:bCs/>
                <w:color w:val="014171"/>
                <w:sz w:val="16"/>
                <w:szCs w:val="18"/>
                <w:lang w:eastAsia="ja-JP"/>
              </w:rPr>
            </w:pPr>
            <w:r w:rsidRPr="00001843">
              <w:rPr>
                <w:rFonts w:ascii="Segoe UI" w:eastAsia="Times New Roman" w:hAnsi="Segoe UI" w:cs="Segoe UI"/>
                <w:b/>
                <w:bCs/>
                <w:color w:val="014171"/>
                <w:sz w:val="16"/>
                <w:szCs w:val="18"/>
                <w:lang w:eastAsia="ja-JP"/>
              </w:rPr>
              <w:t>WpIG</w:t>
            </w:r>
          </w:p>
        </w:tc>
        <w:tc>
          <w:tcPr>
            <w:tcW w:w="3149" w:type="dxa"/>
            <w:shd w:val="clear" w:color="auto" w:fill="auto"/>
            <w:noWrap/>
            <w:vAlign w:val="center"/>
          </w:tcPr>
          <w:p w14:paraId="0321C4A7" w14:textId="4B7880A6" w:rsidR="006C79FE" w:rsidRPr="00001843" w:rsidRDefault="006C79FE"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German Investment Firm Act</w:t>
            </w:r>
          </w:p>
        </w:tc>
      </w:tr>
      <w:tr w:rsidR="008E1A6F" w:rsidRPr="00377C35" w14:paraId="39CD9818" w14:textId="77777777" w:rsidTr="007A2631">
        <w:trPr>
          <w:trHeight w:val="397"/>
          <w:jc w:val="center"/>
        </w:trPr>
        <w:tc>
          <w:tcPr>
            <w:tcW w:w="954" w:type="dxa"/>
            <w:shd w:val="clear" w:color="auto" w:fill="auto"/>
            <w:noWrap/>
            <w:vAlign w:val="center"/>
          </w:tcPr>
          <w:p w14:paraId="50CC97A6" w14:textId="59A33228" w:rsidR="008E1A6F" w:rsidRPr="0008166B" w:rsidRDefault="008E1A6F" w:rsidP="00E360A0">
            <w:pPr>
              <w:spacing w:after="0"/>
              <w:jc w:val="both"/>
              <w:rPr>
                <w:rFonts w:ascii="Segoe UI" w:eastAsia="Times New Roman" w:hAnsi="Segoe UI" w:cs="Segoe UI"/>
                <w:b/>
                <w:bCs/>
                <w:color w:val="014171"/>
                <w:sz w:val="16"/>
                <w:szCs w:val="18"/>
                <w:lang w:eastAsia="ja-JP"/>
              </w:rPr>
            </w:pPr>
            <w:r w:rsidRPr="0008166B">
              <w:rPr>
                <w:rFonts w:ascii="Segoe UI" w:eastAsia="Times New Roman" w:hAnsi="Segoe UI" w:cs="Segoe UI"/>
                <w:b/>
                <w:bCs/>
                <w:color w:val="014171"/>
                <w:sz w:val="16"/>
                <w:szCs w:val="18"/>
                <w:lang w:eastAsia="ja-JP"/>
              </w:rPr>
              <w:t>WVV</w:t>
            </w:r>
          </w:p>
        </w:tc>
        <w:tc>
          <w:tcPr>
            <w:tcW w:w="3149" w:type="dxa"/>
            <w:shd w:val="clear" w:color="auto" w:fill="auto"/>
            <w:noWrap/>
            <w:vAlign w:val="center"/>
          </w:tcPr>
          <w:p w14:paraId="53E2AB2C" w14:textId="65B1BC56" w:rsidR="008E1A6F" w:rsidRPr="0008166B" w:rsidRDefault="008E1A6F" w:rsidP="00E360A0">
            <w:pPr>
              <w:spacing w:after="0"/>
              <w:jc w:val="both"/>
              <w:rPr>
                <w:rFonts w:ascii="Segoe UI" w:eastAsia="Times New Roman" w:hAnsi="Segoe UI" w:cs="Segoe UI"/>
                <w:color w:val="014171"/>
                <w:sz w:val="16"/>
                <w:szCs w:val="18"/>
                <w:lang w:eastAsia="ja-JP"/>
              </w:rPr>
            </w:pPr>
            <w:r w:rsidRPr="00377C35">
              <w:rPr>
                <w:rFonts w:ascii="Segoe UI" w:eastAsia="Times New Roman" w:hAnsi="Segoe UI" w:cs="Segoe UI"/>
                <w:color w:val="014171"/>
                <w:sz w:val="16"/>
                <w:szCs w:val="18"/>
                <w:lang w:eastAsia="ja-JP"/>
              </w:rPr>
              <w:t>Investment Firm Remuneration Ordinance</w:t>
            </w:r>
          </w:p>
        </w:tc>
      </w:tr>
    </w:tbl>
    <w:p w14:paraId="71228906" w14:textId="4BCC1D37" w:rsidR="00B4218A" w:rsidRPr="00813C71" w:rsidRDefault="00B4218A" w:rsidP="00E360A0">
      <w:pPr>
        <w:spacing w:after="0"/>
        <w:jc w:val="both"/>
        <w:rPr>
          <w:rFonts w:ascii="Segoe UI" w:hAnsi="Segoe UI" w:cs="Segoe UI"/>
          <w:color w:val="0F243E" w:themeColor="text2" w:themeShade="80"/>
          <w:sz w:val="16"/>
          <w:szCs w:val="16"/>
        </w:rPr>
        <w:sectPr w:rsidR="00B4218A" w:rsidRPr="00813C71" w:rsidSect="00B5174D">
          <w:type w:val="continuous"/>
          <w:pgSz w:w="11906" w:h="16838"/>
          <w:pgMar w:top="2269" w:right="1440" w:bottom="1560" w:left="1440" w:header="708" w:footer="711" w:gutter="0"/>
          <w:cols w:num="2" w:space="720"/>
          <w:titlePg/>
          <w:docGrid w:linePitch="360"/>
        </w:sectPr>
      </w:pPr>
    </w:p>
    <w:p w14:paraId="09B6DE8B" w14:textId="7A7F9657" w:rsidR="00974482" w:rsidRPr="005A1108" w:rsidRDefault="00974482" w:rsidP="008A542A">
      <w:pPr>
        <w:pStyle w:val="Heading1"/>
      </w:pPr>
      <w:bookmarkStart w:id="2" w:name="_Toc102121151"/>
      <w:bookmarkStart w:id="3" w:name="_Toc122626048"/>
      <w:r w:rsidRPr="005A1108">
        <w:lastRenderedPageBreak/>
        <w:t>Overview</w:t>
      </w:r>
      <w:bookmarkEnd w:id="2"/>
      <w:bookmarkEnd w:id="3"/>
    </w:p>
    <w:p w14:paraId="343B0A0B" w14:textId="5D25437A" w:rsidR="00A22D32" w:rsidRPr="006F79A7" w:rsidRDefault="00974482" w:rsidP="005A1108">
      <w:pPr>
        <w:pStyle w:val="Heading2"/>
      </w:pPr>
      <w:bookmarkStart w:id="4" w:name="_Toc114670802"/>
      <w:bookmarkStart w:id="5" w:name="_Toc114670903"/>
      <w:bookmarkStart w:id="6" w:name="_Toc297039258"/>
      <w:bookmarkStart w:id="7" w:name="_Toc297189971"/>
      <w:bookmarkStart w:id="8" w:name="_Toc422754609"/>
      <w:bookmarkStart w:id="9" w:name="_Toc102121152"/>
      <w:bookmarkStart w:id="10" w:name="_Toc122626049"/>
      <w:bookmarkEnd w:id="4"/>
      <w:bookmarkEnd w:id="5"/>
      <w:r w:rsidRPr="00C43D6A">
        <w:t>Background</w:t>
      </w:r>
      <w:bookmarkStart w:id="11" w:name="_Toc114670905"/>
      <w:bookmarkEnd w:id="6"/>
      <w:bookmarkEnd w:id="7"/>
      <w:bookmarkEnd w:id="8"/>
      <w:bookmarkEnd w:id="9"/>
      <w:bookmarkEnd w:id="11"/>
      <w:bookmarkEnd w:id="10"/>
    </w:p>
    <w:p w14:paraId="2E9F5423" w14:textId="35A87142" w:rsidR="007D427F" w:rsidRDefault="00A95258" w:rsidP="005A1108">
      <w:pPr>
        <w:spacing w:after="0"/>
        <w:jc w:val="both"/>
        <w:rPr>
          <w:rFonts w:ascii="Segoe UI" w:hAnsi="Segoe UI" w:cs="Segoe UI"/>
          <w:color w:val="014171"/>
        </w:rPr>
      </w:pPr>
      <w:r w:rsidRPr="005A1108">
        <w:rPr>
          <w:rFonts w:ascii="Segoe UI" w:hAnsi="Segoe UI" w:cs="Segoe UI"/>
          <w:color w:val="014171"/>
        </w:rPr>
        <w:t>From 26 June 2021, a new prudential regime applies to investment firms authorised under the </w:t>
      </w:r>
      <w:hyperlink r:id="rId12" w:tgtFrame="_blank" w:history="1">
        <w:r w:rsidR="00460475" w:rsidRPr="005A1108">
          <w:rPr>
            <w:rFonts w:ascii="Segoe UI" w:hAnsi="Segoe UI" w:cs="Segoe UI"/>
            <w:color w:val="014171"/>
          </w:rPr>
          <w:t xml:space="preserve">Markets </w:t>
        </w:r>
        <w:r w:rsidRPr="005A1108">
          <w:rPr>
            <w:rFonts w:ascii="Segoe UI" w:hAnsi="Segoe UI" w:cs="Segoe UI"/>
            <w:color w:val="014171"/>
          </w:rPr>
          <w:t>in Financial Instruments Directive</w:t>
        </w:r>
      </w:hyperlink>
      <w:r w:rsidR="00460475" w:rsidRPr="005A1108">
        <w:rPr>
          <w:rFonts w:ascii="Segoe UI" w:hAnsi="Segoe UI" w:cs="Segoe UI"/>
          <w:color w:val="014171"/>
        </w:rPr>
        <w:t> (</w:t>
      </w:r>
      <w:r w:rsidR="000F26E7" w:rsidRPr="005A1108">
        <w:rPr>
          <w:rFonts w:ascii="Segoe UI" w:hAnsi="Segoe UI" w:cs="Segoe UI"/>
          <w:color w:val="014171"/>
        </w:rPr>
        <w:t>“</w:t>
      </w:r>
      <w:r w:rsidR="00460475" w:rsidRPr="005A1108">
        <w:rPr>
          <w:rFonts w:ascii="Segoe UI" w:hAnsi="Segoe UI" w:cs="Segoe UI"/>
          <w:color w:val="014171"/>
        </w:rPr>
        <w:t>MiFID II</w:t>
      </w:r>
      <w:r w:rsidR="000F26E7" w:rsidRPr="00370CC2">
        <w:rPr>
          <w:rFonts w:ascii="Segoe UI" w:hAnsi="Segoe UI" w:cs="Segoe UI"/>
          <w:color w:val="014171"/>
        </w:rPr>
        <w:t>”</w:t>
      </w:r>
      <w:r w:rsidR="00460475" w:rsidRPr="005A1108">
        <w:rPr>
          <w:rFonts w:ascii="Segoe UI" w:hAnsi="Segoe UI" w:cs="Segoe UI"/>
          <w:color w:val="014171"/>
        </w:rPr>
        <w:t xml:space="preserve">). </w:t>
      </w:r>
      <w:r w:rsidRPr="005A1108">
        <w:rPr>
          <w:rFonts w:ascii="Segoe UI" w:hAnsi="Segoe UI" w:cs="Segoe UI"/>
          <w:color w:val="014171"/>
        </w:rPr>
        <w:t>This new framework, set out in the </w:t>
      </w:r>
      <w:hyperlink r:id="rId13" w:tgtFrame="_blank" w:history="1">
        <w:r w:rsidRPr="005A1108">
          <w:rPr>
            <w:rFonts w:ascii="Segoe UI" w:hAnsi="Segoe UI" w:cs="Segoe UI"/>
            <w:color w:val="014171"/>
          </w:rPr>
          <w:t>Investment Firm Regulation</w:t>
        </w:r>
      </w:hyperlink>
      <w:r w:rsidRPr="005A1108">
        <w:rPr>
          <w:rFonts w:ascii="Segoe UI" w:hAnsi="Segoe UI" w:cs="Segoe UI"/>
          <w:color w:val="014171"/>
        </w:rPr>
        <w:t> ("IFR") and the </w:t>
      </w:r>
      <w:hyperlink r:id="rId14" w:tgtFrame="_blank" w:history="1">
        <w:r w:rsidRPr="005A1108">
          <w:rPr>
            <w:rFonts w:ascii="Segoe UI" w:hAnsi="Segoe UI" w:cs="Segoe UI"/>
            <w:color w:val="014171"/>
          </w:rPr>
          <w:t>Investment Firm Directive</w:t>
        </w:r>
      </w:hyperlink>
      <w:r w:rsidRPr="005A1108">
        <w:rPr>
          <w:rFonts w:ascii="Segoe UI" w:hAnsi="Segoe UI" w:cs="Segoe UI"/>
          <w:color w:val="014171"/>
        </w:rPr>
        <w:t xml:space="preserve"> ("IFD"), significantly revises the prudential rulebook for investment firms by </w:t>
      </w:r>
      <w:r w:rsidR="00460475" w:rsidRPr="005A1108">
        <w:rPr>
          <w:rFonts w:ascii="Segoe UI" w:hAnsi="Segoe UI" w:cs="Segoe UI"/>
          <w:color w:val="014171"/>
        </w:rPr>
        <w:t>introducing a bespoke regime.</w:t>
      </w:r>
      <w:r w:rsidR="00845263" w:rsidRPr="005A1108">
        <w:rPr>
          <w:rFonts w:ascii="Segoe UI" w:hAnsi="Segoe UI" w:cs="Segoe UI"/>
          <w:color w:val="014171"/>
        </w:rPr>
        <w:t xml:space="preserve"> </w:t>
      </w:r>
      <w:r w:rsidRPr="005A1108">
        <w:rPr>
          <w:rFonts w:ascii="Segoe UI" w:hAnsi="Segoe UI" w:cs="Segoe UI"/>
          <w:color w:val="014171"/>
        </w:rPr>
        <w:t>Underpinned by the principles of risk relevance and proportionality, the new regime applies a range of rules relating to</w:t>
      </w:r>
      <w:r w:rsidR="00845263" w:rsidRPr="005A1108">
        <w:rPr>
          <w:rFonts w:ascii="Segoe UI" w:hAnsi="Segoe UI" w:cs="Segoe UI"/>
          <w:color w:val="014171"/>
        </w:rPr>
        <w:t xml:space="preserve"> risk management objectives,</w:t>
      </w:r>
      <w:r w:rsidRPr="005A1108">
        <w:rPr>
          <w:rFonts w:ascii="Segoe UI" w:hAnsi="Segoe UI" w:cs="Segoe UI"/>
          <w:color w:val="014171"/>
        </w:rPr>
        <w:t xml:space="preserve"> capital requirements, financial and regulatory reporting, internal governance and remuneration to investment firms, depending on their classification across a risk spectrum.</w:t>
      </w:r>
    </w:p>
    <w:p w14:paraId="2171B23F" w14:textId="77777777" w:rsidR="007D427F" w:rsidRDefault="007D427F" w:rsidP="00706A93">
      <w:pPr>
        <w:spacing w:after="0"/>
        <w:jc w:val="both"/>
        <w:rPr>
          <w:rFonts w:ascii="Segoe UI" w:hAnsi="Segoe UI" w:cs="Segoe UI"/>
          <w:color w:val="014171"/>
        </w:rPr>
      </w:pPr>
    </w:p>
    <w:p w14:paraId="3A64557D" w14:textId="0438F59A" w:rsidR="00CF78E4" w:rsidRPr="00706A93" w:rsidRDefault="00E90B39" w:rsidP="00706A93">
      <w:pPr>
        <w:spacing w:after="0"/>
        <w:jc w:val="both"/>
        <w:rPr>
          <w:rFonts w:ascii="Segoe UI" w:hAnsi="Segoe UI" w:cs="Segoe UI"/>
          <w:color w:val="014171"/>
        </w:rPr>
      </w:pPr>
      <w:r w:rsidRPr="00370CC2">
        <w:rPr>
          <w:rFonts w:ascii="Segoe UI" w:hAnsi="Segoe UI" w:cs="Segoe UI"/>
          <w:color w:val="014171"/>
        </w:rPr>
        <w:t>Pursuant to section 1 of the German Investment Firm Act (</w:t>
      </w:r>
      <w:r w:rsidRPr="00370CC2">
        <w:rPr>
          <w:rFonts w:ascii="Segoe UI" w:hAnsi="Segoe UI" w:cs="Segoe UI"/>
          <w:i/>
          <w:color w:val="014171"/>
        </w:rPr>
        <w:t>Wertpapierinstitutsgesetz</w:t>
      </w:r>
      <w:r w:rsidRPr="00370CC2">
        <w:rPr>
          <w:rFonts w:ascii="Segoe UI" w:hAnsi="Segoe UI" w:cs="Segoe UI"/>
          <w:color w:val="014171"/>
        </w:rPr>
        <w:t>,</w:t>
      </w:r>
      <w:r w:rsidRPr="00706A93">
        <w:rPr>
          <w:rFonts w:ascii="Segoe UI" w:hAnsi="Segoe UI" w:cs="Segoe UI"/>
          <w:color w:val="014171"/>
        </w:rPr>
        <w:t xml:space="preserve"> “WpIG</w:t>
      </w:r>
      <w:r w:rsidRPr="00370CC2">
        <w:rPr>
          <w:rFonts w:ascii="Segoe UI" w:hAnsi="Segoe UI" w:cs="Segoe UI"/>
          <w:color w:val="014171"/>
        </w:rPr>
        <w:t xml:space="preserve">”), </w:t>
      </w:r>
      <w:r w:rsidR="00CF78E4" w:rsidRPr="00706A93">
        <w:rPr>
          <w:rFonts w:ascii="Segoe UI" w:hAnsi="Segoe UI" w:cs="Segoe UI"/>
          <w:color w:val="014171"/>
        </w:rPr>
        <w:t>Daiw</w:t>
      </w:r>
      <w:r w:rsidR="008461DD" w:rsidRPr="00706A93">
        <w:rPr>
          <w:rFonts w:ascii="Segoe UI" w:hAnsi="Segoe UI" w:cs="Segoe UI"/>
          <w:color w:val="014171"/>
        </w:rPr>
        <w:t>a Capital Markets Deutschland GmbH (“DCMD” or “the Firm”)</w:t>
      </w:r>
      <w:r w:rsidRPr="00370CC2">
        <w:rPr>
          <w:rFonts w:ascii="Segoe UI" w:hAnsi="Segoe UI" w:cs="Segoe UI"/>
          <w:color w:val="014171"/>
        </w:rPr>
        <w:t xml:space="preserve"> is subject to WpIG since 26 June 2021.</w:t>
      </w:r>
      <w:r w:rsidR="008461DD" w:rsidRPr="00706A93">
        <w:rPr>
          <w:rFonts w:ascii="Segoe UI" w:hAnsi="Segoe UI" w:cs="Segoe UI"/>
          <w:color w:val="014171"/>
        </w:rPr>
        <w:t xml:space="preserve"> </w:t>
      </w:r>
      <w:r w:rsidRPr="00370CC2">
        <w:rPr>
          <w:rFonts w:ascii="Segoe UI" w:hAnsi="Segoe UI" w:cs="Segoe UI"/>
          <w:color w:val="014171"/>
        </w:rPr>
        <w:t xml:space="preserve">DCMD </w:t>
      </w:r>
      <w:r w:rsidRPr="00706A93">
        <w:rPr>
          <w:rFonts w:ascii="Segoe UI" w:hAnsi="Segoe UI" w:cs="Segoe UI"/>
          <w:color w:val="014171"/>
        </w:rPr>
        <w:t xml:space="preserve">qualifies </w:t>
      </w:r>
      <w:r w:rsidR="008461DD" w:rsidRPr="00706A93">
        <w:rPr>
          <w:rFonts w:ascii="Segoe UI" w:hAnsi="Segoe UI" w:cs="Segoe UI"/>
          <w:color w:val="014171"/>
        </w:rPr>
        <w:t xml:space="preserve">as a </w:t>
      </w:r>
      <w:r w:rsidRPr="00370CC2">
        <w:rPr>
          <w:rFonts w:ascii="Segoe UI" w:hAnsi="Segoe UI" w:cs="Segoe UI"/>
          <w:color w:val="014171"/>
        </w:rPr>
        <w:t xml:space="preserve">medium-sized </w:t>
      </w:r>
      <w:r w:rsidR="00F70FA2" w:rsidRPr="00370CC2">
        <w:rPr>
          <w:rFonts w:ascii="Segoe UI" w:hAnsi="Segoe UI" w:cs="Segoe UI"/>
          <w:color w:val="014171"/>
        </w:rPr>
        <w:t>investment</w:t>
      </w:r>
      <w:r w:rsidR="008461DD" w:rsidRPr="00706A93">
        <w:rPr>
          <w:rFonts w:ascii="Segoe UI" w:hAnsi="Segoe UI" w:cs="Segoe UI"/>
          <w:color w:val="014171"/>
        </w:rPr>
        <w:t xml:space="preserve"> </w:t>
      </w:r>
      <w:r w:rsidR="00584B1D" w:rsidRPr="00370CC2">
        <w:rPr>
          <w:rFonts w:ascii="Segoe UI" w:hAnsi="Segoe UI" w:cs="Segoe UI"/>
          <w:color w:val="014171"/>
        </w:rPr>
        <w:t>firm</w:t>
      </w:r>
      <w:r w:rsidR="00F70FA2" w:rsidRPr="00370CC2">
        <w:rPr>
          <w:rFonts w:ascii="Segoe UI" w:hAnsi="Segoe UI" w:cs="Segoe UI"/>
          <w:color w:val="014171"/>
        </w:rPr>
        <w:t xml:space="preserve"> (</w:t>
      </w:r>
      <w:r w:rsidRPr="00370CC2">
        <w:rPr>
          <w:rFonts w:ascii="Segoe UI" w:hAnsi="Segoe UI" w:cs="Segoe UI"/>
          <w:i/>
          <w:color w:val="014171"/>
        </w:rPr>
        <w:t xml:space="preserve">Mittleres </w:t>
      </w:r>
      <w:r w:rsidR="00F70FA2" w:rsidRPr="00706A93">
        <w:rPr>
          <w:rFonts w:ascii="Segoe UI" w:hAnsi="Segoe UI" w:cs="Segoe UI"/>
          <w:i/>
          <w:color w:val="014171"/>
        </w:rPr>
        <w:t>Wertpapierinstitut</w:t>
      </w:r>
      <w:r w:rsidR="008461DD" w:rsidRPr="00706A93">
        <w:rPr>
          <w:rFonts w:ascii="Segoe UI" w:hAnsi="Segoe UI" w:cs="Segoe UI"/>
          <w:color w:val="014171"/>
        </w:rPr>
        <w:t xml:space="preserve">) according to </w:t>
      </w:r>
      <w:r w:rsidR="00177C41" w:rsidRPr="00706A93">
        <w:rPr>
          <w:rFonts w:ascii="Segoe UI" w:hAnsi="Segoe UI" w:cs="Segoe UI"/>
          <w:color w:val="014171"/>
        </w:rPr>
        <w:t>section</w:t>
      </w:r>
      <w:r w:rsidRPr="00370CC2">
        <w:rPr>
          <w:rFonts w:ascii="Segoe UI" w:hAnsi="Segoe UI" w:cs="Segoe UI"/>
          <w:color w:val="014171"/>
        </w:rPr>
        <w:t>s</w:t>
      </w:r>
      <w:r w:rsidR="00177C41" w:rsidRPr="00706A93">
        <w:rPr>
          <w:rFonts w:ascii="Segoe UI" w:hAnsi="Segoe UI" w:cs="Segoe UI"/>
          <w:color w:val="014171"/>
        </w:rPr>
        <w:t xml:space="preserve"> </w:t>
      </w:r>
      <w:r w:rsidR="008461DD" w:rsidRPr="00706A93">
        <w:rPr>
          <w:rFonts w:ascii="Segoe UI" w:hAnsi="Segoe UI" w:cs="Segoe UI"/>
          <w:color w:val="014171"/>
        </w:rPr>
        <w:t xml:space="preserve">2 </w:t>
      </w:r>
      <w:r w:rsidRPr="00370CC2">
        <w:rPr>
          <w:rFonts w:ascii="Segoe UI" w:hAnsi="Segoe UI" w:cs="Segoe UI"/>
          <w:color w:val="014171"/>
        </w:rPr>
        <w:t>(</w:t>
      </w:r>
      <w:r w:rsidR="008461DD" w:rsidRPr="00706A93">
        <w:rPr>
          <w:rFonts w:ascii="Segoe UI" w:hAnsi="Segoe UI" w:cs="Segoe UI"/>
          <w:color w:val="014171"/>
        </w:rPr>
        <w:t>1</w:t>
      </w:r>
      <w:r w:rsidRPr="00370CC2">
        <w:rPr>
          <w:rFonts w:ascii="Segoe UI" w:hAnsi="Segoe UI" w:cs="Segoe UI"/>
          <w:color w:val="014171"/>
        </w:rPr>
        <w:t xml:space="preserve">), 2 (2) and 2 (17) </w:t>
      </w:r>
      <w:r w:rsidR="008461DD" w:rsidRPr="00706A93">
        <w:rPr>
          <w:rFonts w:ascii="Segoe UI" w:hAnsi="Segoe UI" w:cs="Segoe UI"/>
          <w:color w:val="014171"/>
        </w:rPr>
        <w:t>WpIG</w:t>
      </w:r>
      <w:r w:rsidR="00663B42" w:rsidRPr="00706A93">
        <w:rPr>
          <w:rFonts w:ascii="Segoe UI" w:hAnsi="Segoe UI" w:cs="Segoe UI"/>
          <w:color w:val="014171"/>
        </w:rPr>
        <w:t xml:space="preserve"> and is regulated by the German </w:t>
      </w:r>
      <w:r w:rsidR="007D427F" w:rsidRPr="00370CC2">
        <w:rPr>
          <w:rFonts w:ascii="Segoe UI" w:hAnsi="Segoe UI" w:cs="Segoe UI"/>
          <w:color w:val="014171"/>
        </w:rPr>
        <w:t>Federal Financial Supervisory Authority</w:t>
      </w:r>
      <w:r w:rsidR="007D427F" w:rsidRPr="00370CC2" w:rsidDel="007D427F">
        <w:rPr>
          <w:rFonts w:ascii="Segoe UI" w:hAnsi="Segoe UI" w:cs="Segoe UI"/>
          <w:color w:val="014171"/>
        </w:rPr>
        <w:t xml:space="preserve"> </w:t>
      </w:r>
      <w:r w:rsidR="007D427F" w:rsidRPr="00370CC2">
        <w:rPr>
          <w:rFonts w:ascii="Segoe UI" w:hAnsi="Segoe UI" w:cs="Segoe UI"/>
          <w:color w:val="014171"/>
        </w:rPr>
        <w:t>(</w:t>
      </w:r>
      <w:r w:rsidR="007D427F" w:rsidRPr="00706A93">
        <w:rPr>
          <w:rFonts w:ascii="Segoe UI" w:hAnsi="Segoe UI" w:cs="Segoe UI"/>
          <w:i/>
          <w:color w:val="014171"/>
        </w:rPr>
        <w:t>Bundesanstalt für Finanzdienstleistungsaufsicht</w:t>
      </w:r>
      <w:r w:rsidR="007D427F" w:rsidRPr="00370CC2">
        <w:rPr>
          <w:rFonts w:ascii="Segoe UI" w:hAnsi="Segoe UI" w:cs="Segoe UI"/>
          <w:color w:val="014171"/>
        </w:rPr>
        <w:t>,</w:t>
      </w:r>
      <w:r w:rsidR="00663B42" w:rsidRPr="00706A93">
        <w:rPr>
          <w:rFonts w:ascii="Segoe UI" w:hAnsi="Segoe UI" w:cs="Segoe UI"/>
          <w:color w:val="014171"/>
        </w:rPr>
        <w:t xml:space="preserve"> </w:t>
      </w:r>
      <w:r w:rsidR="007D427F" w:rsidRPr="00370CC2">
        <w:rPr>
          <w:rFonts w:ascii="Segoe UI" w:hAnsi="Segoe UI" w:cs="Segoe UI"/>
          <w:color w:val="014171"/>
        </w:rPr>
        <w:t>“</w:t>
      </w:r>
      <w:r w:rsidR="00663B42" w:rsidRPr="00706A93">
        <w:rPr>
          <w:rFonts w:ascii="Segoe UI" w:hAnsi="Segoe UI" w:cs="Segoe UI"/>
          <w:color w:val="014171"/>
        </w:rPr>
        <w:t>BaFin</w:t>
      </w:r>
      <w:r w:rsidR="007D427F" w:rsidRPr="00370CC2">
        <w:rPr>
          <w:rFonts w:ascii="Segoe UI" w:hAnsi="Segoe UI" w:cs="Segoe UI"/>
          <w:color w:val="014171"/>
        </w:rPr>
        <w:t>”)</w:t>
      </w:r>
      <w:r w:rsidR="00663B42" w:rsidRPr="00706A93">
        <w:rPr>
          <w:rFonts w:ascii="Segoe UI" w:hAnsi="Segoe UI" w:cs="Segoe UI"/>
          <w:color w:val="014171"/>
        </w:rPr>
        <w:t>.</w:t>
      </w:r>
    </w:p>
    <w:p w14:paraId="4C167D89" w14:textId="63A830EF" w:rsidR="00CF78E4" w:rsidRPr="00706A93" w:rsidRDefault="00CF78E4" w:rsidP="00706A93">
      <w:pPr>
        <w:spacing w:after="0"/>
        <w:jc w:val="both"/>
        <w:rPr>
          <w:rFonts w:ascii="Segoe UI" w:hAnsi="Segoe UI" w:cs="Segoe UI"/>
          <w:color w:val="014171"/>
        </w:rPr>
      </w:pPr>
    </w:p>
    <w:p w14:paraId="15DAC06C" w14:textId="49B612A7" w:rsidR="00CF78E4" w:rsidRPr="00706A93" w:rsidRDefault="00CF78E4" w:rsidP="00706A93">
      <w:pPr>
        <w:spacing w:after="0"/>
        <w:jc w:val="both"/>
        <w:rPr>
          <w:rFonts w:ascii="Segoe UI" w:hAnsi="Segoe UI" w:cs="Segoe UI"/>
          <w:color w:val="014171"/>
        </w:rPr>
      </w:pPr>
      <w:r w:rsidRPr="00706A93">
        <w:rPr>
          <w:rFonts w:ascii="Segoe UI" w:hAnsi="Segoe UI" w:cs="Segoe UI"/>
          <w:color w:val="014171"/>
        </w:rPr>
        <w:t>The public disclosure</w:t>
      </w:r>
      <w:r w:rsidR="000F136D" w:rsidRPr="00706A93">
        <w:rPr>
          <w:rFonts w:ascii="Segoe UI" w:hAnsi="Segoe UI" w:cs="Segoe UI"/>
          <w:color w:val="014171"/>
        </w:rPr>
        <w:t xml:space="preserve"> is an important part of the IF</w:t>
      </w:r>
      <w:r w:rsidRPr="00706A93">
        <w:rPr>
          <w:rFonts w:ascii="Segoe UI" w:hAnsi="Segoe UI" w:cs="Segoe UI"/>
          <w:color w:val="014171"/>
        </w:rPr>
        <w:t xml:space="preserve">R </w:t>
      </w:r>
      <w:r w:rsidR="00251D9F">
        <w:rPr>
          <w:rFonts w:ascii="Segoe UI" w:hAnsi="Segoe UI" w:cs="Segoe UI"/>
          <w:color w:val="014171"/>
        </w:rPr>
        <w:t>as</w:t>
      </w:r>
      <w:r w:rsidR="00251D9F" w:rsidRPr="00706A93">
        <w:rPr>
          <w:rFonts w:ascii="Segoe UI" w:hAnsi="Segoe UI" w:cs="Segoe UI"/>
          <w:color w:val="014171"/>
        </w:rPr>
        <w:t xml:space="preserve"> </w:t>
      </w:r>
      <w:r w:rsidRPr="00706A93">
        <w:rPr>
          <w:rFonts w:ascii="Segoe UI" w:hAnsi="Segoe UI" w:cs="Segoe UI"/>
          <w:color w:val="014171"/>
        </w:rPr>
        <w:t>it increases transparency and confidence in the market and gives stakeholders and market participants an insight into how Firm</w:t>
      </w:r>
      <w:r w:rsidR="00FD3F18">
        <w:rPr>
          <w:rFonts w:ascii="Segoe UI" w:hAnsi="Segoe UI" w:cs="Segoe UI"/>
          <w:color w:val="014171"/>
        </w:rPr>
        <w:t>s</w:t>
      </w:r>
      <w:r w:rsidR="00251D9F">
        <w:rPr>
          <w:rFonts w:ascii="Segoe UI" w:hAnsi="Segoe UI" w:cs="Segoe UI"/>
          <w:color w:val="014171"/>
        </w:rPr>
        <w:t xml:space="preserve"> are</w:t>
      </w:r>
      <w:r w:rsidRPr="00706A93">
        <w:rPr>
          <w:rFonts w:ascii="Segoe UI" w:hAnsi="Segoe UI" w:cs="Segoe UI"/>
          <w:color w:val="014171"/>
        </w:rPr>
        <w:t xml:space="preserve"> run. </w:t>
      </w:r>
    </w:p>
    <w:p w14:paraId="120BD40F" w14:textId="77777777" w:rsidR="00826AF2" w:rsidRPr="00706A93" w:rsidRDefault="00826AF2" w:rsidP="00706A93">
      <w:pPr>
        <w:spacing w:after="0"/>
        <w:jc w:val="both"/>
        <w:rPr>
          <w:rFonts w:ascii="Segoe UI" w:hAnsi="Segoe UI" w:cs="Segoe UI"/>
          <w:color w:val="014171"/>
        </w:rPr>
      </w:pPr>
    </w:p>
    <w:p w14:paraId="3990AE19" w14:textId="4F4B686F" w:rsidR="00A22D32" w:rsidRPr="00377C35" w:rsidRDefault="00974482" w:rsidP="00706A93">
      <w:pPr>
        <w:pStyle w:val="Heading2"/>
      </w:pPr>
      <w:bookmarkStart w:id="12" w:name="_Toc297039259"/>
      <w:bookmarkStart w:id="13" w:name="_Toc297189972"/>
      <w:bookmarkStart w:id="14" w:name="_Toc422754610"/>
      <w:bookmarkStart w:id="15" w:name="_Toc102121154"/>
      <w:bookmarkStart w:id="16" w:name="_Toc122626050"/>
      <w:r w:rsidRPr="00C43D6A">
        <w:t>Structure</w:t>
      </w:r>
      <w:bookmarkStart w:id="17" w:name="_Toc114670907"/>
      <w:bookmarkEnd w:id="12"/>
      <w:bookmarkEnd w:id="13"/>
      <w:bookmarkEnd w:id="14"/>
      <w:bookmarkEnd w:id="15"/>
      <w:bookmarkEnd w:id="17"/>
      <w:bookmarkEnd w:id="16"/>
    </w:p>
    <w:p w14:paraId="7390CDB0" w14:textId="709689F4" w:rsidR="00C4677D" w:rsidRPr="00370CC2" w:rsidRDefault="000F136D" w:rsidP="00706A93">
      <w:pPr>
        <w:spacing w:after="0"/>
        <w:jc w:val="both"/>
        <w:rPr>
          <w:rFonts w:ascii="Segoe UI" w:hAnsi="Segoe UI" w:cs="Segoe UI"/>
          <w:color w:val="014171"/>
        </w:rPr>
      </w:pPr>
      <w:r w:rsidRPr="00706A93">
        <w:rPr>
          <w:rFonts w:ascii="Segoe UI" w:hAnsi="Segoe UI" w:cs="Segoe UI"/>
          <w:color w:val="014171"/>
        </w:rPr>
        <w:t>DCMD operates as a wholly owned subsidiary of Daiwa Capital Market</w:t>
      </w:r>
      <w:r w:rsidR="007D427F" w:rsidRPr="00370CC2">
        <w:rPr>
          <w:rFonts w:ascii="Segoe UI" w:hAnsi="Segoe UI" w:cs="Segoe UI"/>
          <w:color w:val="014171"/>
        </w:rPr>
        <w:t>s</w:t>
      </w:r>
      <w:r w:rsidRPr="00706A93">
        <w:rPr>
          <w:rFonts w:ascii="Segoe UI" w:hAnsi="Segoe UI" w:cs="Segoe UI"/>
          <w:color w:val="014171"/>
        </w:rPr>
        <w:t xml:space="preserve"> Europe Ltd</w:t>
      </w:r>
      <w:r w:rsidR="007D427F" w:rsidRPr="00370CC2">
        <w:rPr>
          <w:rFonts w:ascii="Segoe UI" w:hAnsi="Segoe UI" w:cs="Segoe UI"/>
          <w:color w:val="014171"/>
        </w:rPr>
        <w:t xml:space="preserve"> (“DCME”), </w:t>
      </w:r>
      <w:r w:rsidR="00702763">
        <w:rPr>
          <w:rFonts w:ascii="Segoe UI" w:hAnsi="Segoe UI" w:cs="Segoe UI"/>
          <w:color w:val="014171"/>
        </w:rPr>
        <w:t>based</w:t>
      </w:r>
      <w:r w:rsidR="007D427F" w:rsidRPr="00370CC2">
        <w:rPr>
          <w:rFonts w:ascii="Segoe UI" w:hAnsi="Segoe UI" w:cs="Segoe UI"/>
          <w:color w:val="014171"/>
        </w:rPr>
        <w:t xml:space="preserve"> in </w:t>
      </w:r>
      <w:r w:rsidRPr="00706A93">
        <w:rPr>
          <w:rFonts w:ascii="Segoe UI" w:hAnsi="Segoe UI" w:cs="Segoe UI"/>
          <w:color w:val="014171"/>
        </w:rPr>
        <w:t>London, United Kingdom</w:t>
      </w:r>
      <w:r w:rsidR="005F73A1">
        <w:rPr>
          <w:rFonts w:ascii="Segoe UI" w:hAnsi="Segoe UI" w:cs="Segoe UI"/>
          <w:color w:val="014171"/>
        </w:rPr>
        <w:t xml:space="preserve"> (together “DCME Group”)</w:t>
      </w:r>
      <w:r w:rsidRPr="00706A93">
        <w:rPr>
          <w:rFonts w:ascii="Segoe UI" w:hAnsi="Segoe UI" w:cs="Segoe UI"/>
          <w:color w:val="014171"/>
        </w:rPr>
        <w:t xml:space="preserve">. </w:t>
      </w:r>
      <w:r w:rsidR="00080CA6" w:rsidRPr="00370CC2">
        <w:rPr>
          <w:rFonts w:ascii="Segoe UI" w:hAnsi="Segoe UI" w:cs="Segoe UI"/>
          <w:color w:val="014171"/>
        </w:rPr>
        <w:t>DCME</w:t>
      </w:r>
      <w:r w:rsidRPr="00706A93">
        <w:rPr>
          <w:rFonts w:ascii="Segoe UI" w:hAnsi="Segoe UI" w:cs="Segoe UI"/>
          <w:color w:val="014171"/>
        </w:rPr>
        <w:t xml:space="preserve"> is </w:t>
      </w:r>
      <w:r w:rsidR="00080CA6" w:rsidRPr="00370CC2">
        <w:rPr>
          <w:rFonts w:ascii="Segoe UI" w:hAnsi="Segoe UI" w:cs="Segoe UI"/>
          <w:color w:val="014171"/>
        </w:rPr>
        <w:t xml:space="preserve">itself a subsidiary </w:t>
      </w:r>
      <w:r w:rsidR="004F454E">
        <w:rPr>
          <w:rFonts w:ascii="Segoe UI" w:hAnsi="Segoe UI" w:cs="Segoe UI"/>
          <w:color w:val="014171"/>
        </w:rPr>
        <w:t xml:space="preserve">in the end </w:t>
      </w:r>
      <w:r w:rsidR="00080CA6" w:rsidRPr="00370CC2">
        <w:rPr>
          <w:rFonts w:ascii="Segoe UI" w:hAnsi="Segoe UI" w:cs="Segoe UI"/>
          <w:color w:val="014171"/>
        </w:rPr>
        <w:t>of</w:t>
      </w:r>
      <w:r w:rsidRPr="00706A93">
        <w:rPr>
          <w:rFonts w:ascii="Segoe UI" w:hAnsi="Segoe UI" w:cs="Segoe UI"/>
          <w:color w:val="014171"/>
        </w:rPr>
        <w:t xml:space="preserve"> Daiwa Securities Group Inc</w:t>
      </w:r>
      <w:r w:rsidR="0080037C">
        <w:rPr>
          <w:rFonts w:ascii="Segoe UI" w:hAnsi="Segoe UI" w:cs="Segoe UI"/>
          <w:color w:val="014171"/>
        </w:rPr>
        <w:t>.</w:t>
      </w:r>
      <w:r w:rsidRPr="00706A93">
        <w:rPr>
          <w:rFonts w:ascii="Segoe UI" w:hAnsi="Segoe UI" w:cs="Segoe UI"/>
          <w:color w:val="014171"/>
        </w:rPr>
        <w:t xml:space="preserve"> (</w:t>
      </w:r>
      <w:r w:rsidR="00C4677D" w:rsidRPr="00370CC2">
        <w:rPr>
          <w:rFonts w:ascii="Segoe UI" w:hAnsi="Segoe UI" w:cs="Segoe UI"/>
          <w:color w:val="014171"/>
        </w:rPr>
        <w:t>“</w:t>
      </w:r>
      <w:r w:rsidRPr="00706A93">
        <w:rPr>
          <w:rFonts w:ascii="Segoe UI" w:hAnsi="Segoe UI" w:cs="Segoe UI"/>
          <w:color w:val="014171"/>
        </w:rPr>
        <w:t>Daiwa Group</w:t>
      </w:r>
      <w:r w:rsidR="00C4677D" w:rsidRPr="00370CC2">
        <w:rPr>
          <w:rFonts w:ascii="Segoe UI" w:hAnsi="Segoe UI" w:cs="Segoe UI"/>
          <w:color w:val="014171"/>
        </w:rPr>
        <w:t>”, or “DSGI”</w:t>
      </w:r>
      <w:r w:rsidRPr="00706A93">
        <w:rPr>
          <w:rFonts w:ascii="Segoe UI" w:hAnsi="Segoe UI" w:cs="Segoe UI"/>
          <w:color w:val="014171"/>
        </w:rPr>
        <w:t>), one of the</w:t>
      </w:r>
      <w:r w:rsidR="008D35BE" w:rsidRPr="00370CC2">
        <w:rPr>
          <w:rFonts w:ascii="Segoe UI" w:hAnsi="Segoe UI" w:cs="Segoe UI"/>
          <w:color w:val="014171"/>
        </w:rPr>
        <w:t xml:space="preserve"> largest</w:t>
      </w:r>
      <w:r w:rsidRPr="00706A93">
        <w:rPr>
          <w:rFonts w:ascii="Segoe UI" w:hAnsi="Segoe UI" w:cs="Segoe UI"/>
          <w:color w:val="014171"/>
        </w:rPr>
        <w:t xml:space="preserve"> bro</w:t>
      </w:r>
      <w:r w:rsidRPr="00742C2C">
        <w:rPr>
          <w:rFonts w:ascii="Segoe UI" w:hAnsi="Segoe UI" w:cs="Segoe UI"/>
          <w:color w:val="014171"/>
        </w:rPr>
        <w:t>kerage and financial services groups in Japan.</w:t>
      </w:r>
      <w:r w:rsidR="004F454E">
        <w:rPr>
          <w:rFonts w:ascii="Segoe UI" w:hAnsi="Segoe UI" w:cs="Segoe UI"/>
          <w:color w:val="014171"/>
        </w:rPr>
        <w:t xml:space="preserve"> A Daiwa Holding company acts in between</w:t>
      </w:r>
      <w:r w:rsidR="00706A93">
        <w:rPr>
          <w:rFonts w:ascii="Segoe UI" w:hAnsi="Segoe UI" w:cs="Segoe UI"/>
          <w:color w:val="014171"/>
        </w:rPr>
        <w:t xml:space="preserve"> DCME and DSGI</w:t>
      </w:r>
      <w:r w:rsidR="004F454E">
        <w:rPr>
          <w:rFonts w:ascii="Segoe UI" w:hAnsi="Segoe UI" w:cs="Segoe UI"/>
          <w:color w:val="014171"/>
        </w:rPr>
        <w:t>.</w:t>
      </w:r>
    </w:p>
    <w:p w14:paraId="3C885D2C" w14:textId="2F70D71D" w:rsidR="00FD3F18" w:rsidRPr="00370CC2" w:rsidRDefault="00FD3F18" w:rsidP="00C43D6A">
      <w:pPr>
        <w:spacing w:after="0"/>
        <w:jc w:val="center"/>
        <w:rPr>
          <w:rFonts w:ascii="Segoe UI" w:hAnsi="Segoe UI" w:cs="Segoe UI"/>
          <w:color w:val="014171"/>
        </w:rPr>
      </w:pPr>
      <w:r>
        <w:rPr>
          <w:rFonts w:ascii="Segoe UI" w:hAnsi="Segoe UI" w:cs="Segoe UI"/>
          <w:noProof/>
          <w:color w:val="014171"/>
          <w:lang w:eastAsia="ja-JP"/>
        </w:rPr>
        <w:drawing>
          <wp:inline distT="0" distB="0" distL="0" distR="0" wp14:anchorId="4AE3AAD5" wp14:editId="0FCAE615">
            <wp:extent cx="3937771" cy="2326233"/>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969268" cy="2344840"/>
                    </a:xfrm>
                    <a:prstGeom prst="rect">
                      <a:avLst/>
                    </a:prstGeom>
                    <a:noFill/>
                  </pic:spPr>
                </pic:pic>
              </a:graphicData>
            </a:graphic>
          </wp:inline>
        </w:drawing>
      </w:r>
    </w:p>
    <w:p w14:paraId="7BC456BA" w14:textId="52C04FEC" w:rsidR="00C4677D" w:rsidRPr="00370CC2" w:rsidRDefault="00080CA6" w:rsidP="00706A93">
      <w:pPr>
        <w:spacing w:after="0"/>
        <w:jc w:val="both"/>
        <w:rPr>
          <w:rFonts w:ascii="Segoe UI" w:hAnsi="Segoe UI" w:cs="Segoe UI"/>
          <w:color w:val="014171"/>
        </w:rPr>
      </w:pPr>
      <w:r w:rsidRPr="00370CC2">
        <w:rPr>
          <w:rFonts w:ascii="Segoe UI" w:hAnsi="Segoe UI" w:cs="Segoe UI"/>
          <w:color w:val="014171"/>
        </w:rPr>
        <w:lastRenderedPageBreak/>
        <w:t xml:space="preserve">DCMD is based in Frankfurt am Main, Germany, and currently has no subsidiaries or branches. </w:t>
      </w:r>
    </w:p>
    <w:p w14:paraId="439050F0" w14:textId="62DB873D" w:rsidR="000F136D" w:rsidRPr="00706A93" w:rsidRDefault="00E90B39" w:rsidP="00706A93">
      <w:pPr>
        <w:spacing w:after="0"/>
        <w:jc w:val="both"/>
        <w:rPr>
          <w:rFonts w:ascii="Segoe UI" w:hAnsi="Segoe UI" w:cs="Segoe UI"/>
          <w:color w:val="014171"/>
        </w:rPr>
      </w:pPr>
      <w:r w:rsidRPr="00370CC2">
        <w:rPr>
          <w:rFonts w:ascii="Segoe UI" w:hAnsi="Segoe UI" w:cs="Segoe UI"/>
          <w:color w:val="014171"/>
        </w:rPr>
        <w:t>The Firm</w:t>
      </w:r>
      <w:r w:rsidR="000F136D" w:rsidRPr="00706A93">
        <w:rPr>
          <w:rFonts w:ascii="Segoe UI" w:hAnsi="Segoe UI" w:cs="Segoe UI"/>
          <w:color w:val="014171"/>
        </w:rPr>
        <w:t xml:space="preserve"> was established </w:t>
      </w:r>
      <w:r w:rsidR="00C4677D" w:rsidRPr="00370CC2">
        <w:rPr>
          <w:rFonts w:ascii="Segoe UI" w:hAnsi="Segoe UI" w:cs="Segoe UI"/>
          <w:color w:val="014171"/>
        </w:rPr>
        <w:t xml:space="preserve">to enable Daiwa Group </w:t>
      </w:r>
      <w:r w:rsidR="000F136D" w:rsidRPr="00706A93">
        <w:rPr>
          <w:rFonts w:ascii="Segoe UI" w:hAnsi="Segoe UI" w:cs="Segoe UI"/>
          <w:color w:val="014171"/>
        </w:rPr>
        <w:t>to continue offer</w:t>
      </w:r>
      <w:r w:rsidR="00C4677D" w:rsidRPr="00370CC2">
        <w:rPr>
          <w:rFonts w:ascii="Segoe UI" w:hAnsi="Segoe UI" w:cs="Segoe UI"/>
          <w:color w:val="014171"/>
        </w:rPr>
        <w:t>ing</w:t>
      </w:r>
      <w:r w:rsidR="000F136D" w:rsidRPr="00706A93">
        <w:rPr>
          <w:rFonts w:ascii="Segoe UI" w:hAnsi="Segoe UI" w:cs="Segoe UI"/>
          <w:color w:val="014171"/>
        </w:rPr>
        <w:t xml:space="preserve"> financial services to EU-based clients following the United Kingdom´s departure from the European Union (</w:t>
      </w:r>
      <w:r w:rsidR="00C4677D" w:rsidRPr="00370CC2">
        <w:rPr>
          <w:rFonts w:ascii="Segoe UI" w:hAnsi="Segoe UI" w:cs="Segoe UI"/>
          <w:color w:val="014171"/>
        </w:rPr>
        <w:t>“</w:t>
      </w:r>
      <w:r w:rsidR="000F136D" w:rsidRPr="00706A93">
        <w:rPr>
          <w:rFonts w:ascii="Segoe UI" w:hAnsi="Segoe UI" w:cs="Segoe UI"/>
          <w:color w:val="014171"/>
        </w:rPr>
        <w:t>Brexit</w:t>
      </w:r>
      <w:r w:rsidR="00C4677D" w:rsidRPr="00370CC2">
        <w:rPr>
          <w:rFonts w:ascii="Segoe UI" w:hAnsi="Segoe UI" w:cs="Segoe UI"/>
          <w:color w:val="014171"/>
        </w:rPr>
        <w:t>”</w:t>
      </w:r>
      <w:r w:rsidR="000F136D" w:rsidRPr="00706A93">
        <w:rPr>
          <w:rFonts w:ascii="Segoe UI" w:hAnsi="Segoe UI" w:cs="Segoe UI"/>
          <w:color w:val="014171"/>
        </w:rPr>
        <w:t>). The aim is also to acquire additional clients an</w:t>
      </w:r>
      <w:r w:rsidR="00C4677D" w:rsidRPr="00370CC2">
        <w:rPr>
          <w:rFonts w:ascii="Segoe UI" w:hAnsi="Segoe UI" w:cs="Segoe UI"/>
          <w:color w:val="014171"/>
        </w:rPr>
        <w:t>d</w:t>
      </w:r>
      <w:r w:rsidR="000F136D" w:rsidRPr="00706A93">
        <w:rPr>
          <w:rFonts w:ascii="Segoe UI" w:hAnsi="Segoe UI" w:cs="Segoe UI"/>
          <w:color w:val="014171"/>
        </w:rPr>
        <w:t xml:space="preserve"> business relationships from th</w:t>
      </w:r>
      <w:r w:rsidR="00042FAD">
        <w:rPr>
          <w:rFonts w:ascii="Segoe UI" w:hAnsi="Segoe UI" w:cs="Segoe UI"/>
          <w:color w:val="014171"/>
        </w:rPr>
        <w:t>is</w:t>
      </w:r>
      <w:r w:rsidR="000F136D" w:rsidRPr="00706A93">
        <w:rPr>
          <w:rFonts w:ascii="Segoe UI" w:hAnsi="Segoe UI" w:cs="Segoe UI"/>
          <w:color w:val="014171"/>
        </w:rPr>
        <w:t xml:space="preserve"> new </w:t>
      </w:r>
      <w:r w:rsidR="00C4677D" w:rsidRPr="00370CC2">
        <w:rPr>
          <w:rFonts w:ascii="Segoe UI" w:hAnsi="Segoe UI" w:cs="Segoe UI"/>
          <w:color w:val="014171"/>
        </w:rPr>
        <w:t xml:space="preserve">base in </w:t>
      </w:r>
      <w:r w:rsidR="004A36BE" w:rsidRPr="00370CC2">
        <w:rPr>
          <w:rFonts w:ascii="Segoe UI" w:hAnsi="Segoe UI" w:cs="Segoe UI"/>
          <w:color w:val="014171"/>
        </w:rPr>
        <w:t>C</w:t>
      </w:r>
      <w:r w:rsidR="000F136D" w:rsidRPr="00706A93">
        <w:rPr>
          <w:rFonts w:ascii="Segoe UI" w:hAnsi="Segoe UI" w:cs="Segoe UI"/>
          <w:color w:val="014171"/>
        </w:rPr>
        <w:t xml:space="preserve">ontinental </w:t>
      </w:r>
      <w:r w:rsidR="00E353DE" w:rsidRPr="00706A93">
        <w:rPr>
          <w:rFonts w:ascii="Segoe UI" w:hAnsi="Segoe UI" w:cs="Segoe UI"/>
          <w:color w:val="014171"/>
        </w:rPr>
        <w:t>Europe.</w:t>
      </w:r>
    </w:p>
    <w:p w14:paraId="0D13E73E" w14:textId="1E6DFE6C" w:rsidR="007909B0" w:rsidRPr="00706A93" w:rsidRDefault="007909B0" w:rsidP="00706A93">
      <w:pPr>
        <w:spacing w:after="0"/>
        <w:jc w:val="both"/>
        <w:rPr>
          <w:rFonts w:ascii="Segoe UI" w:hAnsi="Segoe UI" w:cs="Segoe UI"/>
          <w:color w:val="014171"/>
        </w:rPr>
      </w:pPr>
    </w:p>
    <w:p w14:paraId="749A5754" w14:textId="30EE994B" w:rsidR="00757056" w:rsidRDefault="00974482" w:rsidP="008A542A">
      <w:pPr>
        <w:pStyle w:val="Heading2"/>
      </w:pPr>
      <w:bookmarkStart w:id="18" w:name="_Toc297650798"/>
      <w:bookmarkStart w:id="19" w:name="_Toc297650799"/>
      <w:bookmarkStart w:id="20" w:name="_Toc35528824"/>
      <w:bookmarkStart w:id="21" w:name="_Toc35612960"/>
      <w:bookmarkStart w:id="22" w:name="_Toc297039260"/>
      <w:bookmarkStart w:id="23" w:name="_Toc297189973"/>
      <w:bookmarkStart w:id="24" w:name="_Toc422754611"/>
      <w:bookmarkStart w:id="25" w:name="_Toc102121155"/>
      <w:bookmarkStart w:id="26" w:name="_Toc122626051"/>
      <w:bookmarkEnd w:id="18"/>
      <w:bookmarkEnd w:id="19"/>
      <w:bookmarkEnd w:id="20"/>
      <w:bookmarkEnd w:id="21"/>
      <w:r w:rsidRPr="00706A93">
        <w:t>Principal Activities</w:t>
      </w:r>
      <w:bookmarkEnd w:id="22"/>
      <w:bookmarkEnd w:id="23"/>
      <w:bookmarkEnd w:id="24"/>
      <w:bookmarkEnd w:id="25"/>
      <w:bookmarkEnd w:id="26"/>
    </w:p>
    <w:p w14:paraId="0CB854A4" w14:textId="6DC68E4A" w:rsidR="00C72E38" w:rsidRPr="00706A93" w:rsidRDefault="00C72E38" w:rsidP="00706A93">
      <w:pPr>
        <w:rPr>
          <w:rFonts w:ascii="Segoe UI" w:hAnsi="Segoe UI" w:cs="Segoe UI"/>
          <w:color w:val="014171"/>
        </w:rPr>
      </w:pPr>
      <w:r w:rsidRPr="00706A93">
        <w:rPr>
          <w:rFonts w:ascii="Segoe UI" w:hAnsi="Segoe UI" w:cs="Segoe UI"/>
          <w:color w:val="014171"/>
        </w:rPr>
        <w:t>The business lines</w:t>
      </w:r>
      <w:r w:rsidR="00C83BFD" w:rsidRPr="00706A93">
        <w:rPr>
          <w:rFonts w:ascii="Segoe UI" w:hAnsi="Segoe UI" w:cs="Segoe UI"/>
          <w:color w:val="014171"/>
        </w:rPr>
        <w:t xml:space="preserve"> of DCMD are divided into</w:t>
      </w:r>
      <w:r w:rsidRPr="00706A93">
        <w:rPr>
          <w:rFonts w:ascii="Segoe UI" w:hAnsi="Segoe UI" w:cs="Segoe UI"/>
          <w:color w:val="014171"/>
        </w:rPr>
        <w:t xml:space="preserve"> global product</w:t>
      </w:r>
      <w:r w:rsidR="00CD5F1D" w:rsidRPr="00706A93">
        <w:rPr>
          <w:rFonts w:ascii="Segoe UI" w:hAnsi="Segoe UI" w:cs="Segoe UI"/>
          <w:color w:val="014171"/>
        </w:rPr>
        <w:t xml:space="preserve"> areas</w:t>
      </w:r>
      <w:r w:rsidRPr="00706A93">
        <w:rPr>
          <w:rFonts w:ascii="Segoe UI" w:hAnsi="Segoe UI" w:cs="Segoe UI"/>
          <w:color w:val="014171"/>
        </w:rPr>
        <w:t xml:space="preserve"> with reporting lines to the EMEA Division Heads and to the global Division Heads at group level.</w:t>
      </w:r>
    </w:p>
    <w:p w14:paraId="59941E40" w14:textId="47649B48" w:rsidR="00BD3FC0" w:rsidRDefault="00663B42" w:rsidP="00E27BB3">
      <w:pPr>
        <w:spacing w:after="0"/>
        <w:jc w:val="both"/>
        <w:rPr>
          <w:rFonts w:ascii="Segoe UI" w:hAnsi="Segoe UI" w:cs="Segoe UI"/>
          <w:color w:val="014171"/>
        </w:rPr>
      </w:pPr>
      <w:bookmarkStart w:id="27" w:name="_Toc297039261"/>
      <w:bookmarkStart w:id="28" w:name="_Toc297189974"/>
      <w:bookmarkStart w:id="29" w:name="_Toc422754612"/>
      <w:r w:rsidRPr="00706A93">
        <w:rPr>
          <w:rFonts w:ascii="Segoe UI" w:hAnsi="Segoe UI" w:cs="Segoe UI"/>
          <w:color w:val="014171"/>
        </w:rPr>
        <w:t>DCMD´s core business involves offering Japanese and Asian financial products and financial services (largely research) to European institutional investors.</w:t>
      </w:r>
      <w:r w:rsidR="0016560F" w:rsidRPr="00706A93">
        <w:rPr>
          <w:rFonts w:ascii="Segoe UI" w:hAnsi="Segoe UI" w:cs="Segoe UI"/>
          <w:color w:val="014171"/>
        </w:rPr>
        <w:t xml:space="preserve"> Additionally, European financial products are offered to Japanese and other non-European clients of the Daiwa Group </w:t>
      </w:r>
      <w:r w:rsidR="00080CA6" w:rsidRPr="00370CC2">
        <w:rPr>
          <w:rFonts w:ascii="Segoe UI" w:hAnsi="Segoe UI" w:cs="Segoe UI"/>
          <w:color w:val="014171"/>
        </w:rPr>
        <w:t>facilitating</w:t>
      </w:r>
      <w:r w:rsidR="0016560F" w:rsidRPr="00706A93">
        <w:rPr>
          <w:rFonts w:ascii="Segoe UI" w:hAnsi="Segoe UI" w:cs="Segoe UI"/>
          <w:color w:val="014171"/>
        </w:rPr>
        <w:t xml:space="preserve"> access </w:t>
      </w:r>
      <w:r w:rsidR="00080CA6" w:rsidRPr="00370CC2">
        <w:rPr>
          <w:rFonts w:ascii="Segoe UI" w:hAnsi="Segoe UI" w:cs="Segoe UI"/>
          <w:color w:val="014171"/>
        </w:rPr>
        <w:t xml:space="preserve">to </w:t>
      </w:r>
      <w:r w:rsidR="0016560F" w:rsidRPr="00706A93">
        <w:rPr>
          <w:rFonts w:ascii="Segoe UI" w:hAnsi="Segoe UI" w:cs="Segoe UI"/>
          <w:color w:val="014171"/>
        </w:rPr>
        <w:t>the European market. The strategy of DCMD´s business activity</w:t>
      </w:r>
      <w:r w:rsidR="002E546E" w:rsidRPr="00706A93">
        <w:rPr>
          <w:rFonts w:ascii="Segoe UI" w:hAnsi="Segoe UI" w:cs="Segoe UI"/>
          <w:color w:val="014171"/>
        </w:rPr>
        <w:t xml:space="preserve"> </w:t>
      </w:r>
      <w:r w:rsidR="00AF7F13" w:rsidRPr="00706A93">
        <w:rPr>
          <w:rFonts w:ascii="Segoe UI" w:hAnsi="Segoe UI" w:cs="Segoe UI"/>
          <w:color w:val="014171"/>
        </w:rPr>
        <w:t>reflects the links with,</w:t>
      </w:r>
      <w:r w:rsidR="00FA05CD" w:rsidRPr="00706A93">
        <w:rPr>
          <w:rFonts w:ascii="Segoe UI" w:hAnsi="Segoe UI" w:cs="Segoe UI"/>
          <w:color w:val="014171"/>
        </w:rPr>
        <w:t xml:space="preserve"> and synergies available across</w:t>
      </w:r>
      <w:r w:rsidR="00AF7F13" w:rsidRPr="00706A93">
        <w:rPr>
          <w:rFonts w:ascii="Segoe UI" w:hAnsi="Segoe UI" w:cs="Segoe UI"/>
          <w:color w:val="014171"/>
        </w:rPr>
        <w:t xml:space="preserve"> the Daiwa Group.</w:t>
      </w:r>
      <w:r w:rsidR="00CD5F1D">
        <w:rPr>
          <w:rFonts w:ascii="Segoe UI" w:hAnsi="Segoe UI" w:cs="Segoe UI"/>
          <w:color w:val="014171"/>
        </w:rPr>
        <w:t xml:space="preserve"> </w:t>
      </w:r>
      <w:r w:rsidR="006B43BC" w:rsidRPr="006F79A7">
        <w:rPr>
          <w:rFonts w:ascii="Segoe UI" w:hAnsi="Segoe UI" w:cs="Segoe UI"/>
          <w:color w:val="014171"/>
        </w:rPr>
        <w:t>The core business lines in accordance with the group business lines are</w:t>
      </w:r>
      <w:r w:rsidR="006B43BC">
        <w:rPr>
          <w:rFonts w:ascii="Segoe UI" w:hAnsi="Segoe UI" w:cs="Segoe UI"/>
          <w:color w:val="014171"/>
        </w:rPr>
        <w:t>:</w:t>
      </w:r>
      <w:r w:rsidR="00C72E38" w:rsidRPr="00706A93">
        <w:rPr>
          <w:rFonts w:ascii="Segoe UI" w:hAnsi="Segoe UI" w:cs="Segoe UI"/>
          <w:color w:val="014171"/>
        </w:rPr>
        <w:t xml:space="preserve"> </w:t>
      </w:r>
      <w:r w:rsidR="006B43BC">
        <w:rPr>
          <w:rFonts w:ascii="Segoe UI" w:hAnsi="Segoe UI" w:cs="Segoe UI"/>
          <w:color w:val="014171"/>
        </w:rPr>
        <w:t>C</w:t>
      </w:r>
      <w:r w:rsidR="00CD5F1D" w:rsidRPr="006F79A7">
        <w:rPr>
          <w:rFonts w:ascii="Segoe UI" w:hAnsi="Segoe UI" w:cs="Segoe UI"/>
          <w:color w:val="014171"/>
        </w:rPr>
        <w:t xml:space="preserve">ash </w:t>
      </w:r>
      <w:r w:rsidR="00CD5F1D">
        <w:rPr>
          <w:rFonts w:ascii="Segoe UI" w:hAnsi="Segoe UI" w:cs="Segoe UI"/>
          <w:color w:val="014171"/>
        </w:rPr>
        <w:t>E</w:t>
      </w:r>
      <w:r w:rsidR="006B43BC" w:rsidRPr="006F79A7">
        <w:rPr>
          <w:rFonts w:ascii="Segoe UI" w:hAnsi="Segoe UI" w:cs="Segoe UI"/>
          <w:color w:val="014171"/>
        </w:rPr>
        <w:t xml:space="preserve">quities, </w:t>
      </w:r>
      <w:r w:rsidR="006B43BC">
        <w:rPr>
          <w:rFonts w:ascii="Segoe UI" w:hAnsi="Segoe UI" w:cs="Segoe UI"/>
          <w:color w:val="014171"/>
        </w:rPr>
        <w:t>F</w:t>
      </w:r>
      <w:r w:rsidR="006B43BC" w:rsidRPr="006F79A7">
        <w:rPr>
          <w:rFonts w:ascii="Segoe UI" w:hAnsi="Segoe UI" w:cs="Segoe UI"/>
          <w:color w:val="014171"/>
        </w:rPr>
        <w:t>ixed I</w:t>
      </w:r>
      <w:r w:rsidR="00CD5F1D" w:rsidRPr="006F79A7">
        <w:rPr>
          <w:rFonts w:ascii="Segoe UI" w:hAnsi="Segoe UI" w:cs="Segoe UI"/>
          <w:color w:val="014171"/>
        </w:rPr>
        <w:t xml:space="preserve">ncome </w:t>
      </w:r>
      <w:r w:rsidR="00CD5F1D">
        <w:rPr>
          <w:rFonts w:ascii="Segoe UI" w:hAnsi="Segoe UI" w:cs="Segoe UI"/>
          <w:color w:val="014171"/>
        </w:rPr>
        <w:t>S</w:t>
      </w:r>
      <w:r w:rsidR="006B43BC" w:rsidRPr="006F79A7">
        <w:rPr>
          <w:rFonts w:ascii="Segoe UI" w:hAnsi="Segoe UI" w:cs="Segoe UI"/>
          <w:color w:val="014171"/>
        </w:rPr>
        <w:t xml:space="preserve">ecurities, </w:t>
      </w:r>
      <w:r w:rsidR="006B43BC">
        <w:rPr>
          <w:rFonts w:ascii="Segoe UI" w:hAnsi="Segoe UI" w:cs="Segoe UI"/>
          <w:color w:val="014171"/>
        </w:rPr>
        <w:t>I</w:t>
      </w:r>
      <w:r w:rsidR="006B43BC" w:rsidRPr="006F79A7">
        <w:rPr>
          <w:rFonts w:ascii="Segoe UI" w:hAnsi="Segoe UI" w:cs="Segoe UI"/>
          <w:color w:val="014171"/>
        </w:rPr>
        <w:t xml:space="preserve">nternational Convertible Bonds, </w:t>
      </w:r>
      <w:r w:rsidR="006B43BC">
        <w:rPr>
          <w:rFonts w:ascii="Segoe UI" w:hAnsi="Segoe UI" w:cs="Segoe UI"/>
          <w:color w:val="014171"/>
        </w:rPr>
        <w:t>D</w:t>
      </w:r>
      <w:r w:rsidR="006B43BC" w:rsidRPr="006F79A7">
        <w:rPr>
          <w:rFonts w:ascii="Segoe UI" w:hAnsi="Segoe UI" w:cs="Segoe UI"/>
          <w:color w:val="014171"/>
        </w:rPr>
        <w:t xml:space="preserve">ebt </w:t>
      </w:r>
      <w:r w:rsidR="006B43BC">
        <w:rPr>
          <w:rFonts w:ascii="Segoe UI" w:hAnsi="Segoe UI" w:cs="Segoe UI"/>
          <w:color w:val="014171"/>
        </w:rPr>
        <w:t>C</w:t>
      </w:r>
      <w:r w:rsidR="006B43BC" w:rsidRPr="006F79A7">
        <w:rPr>
          <w:rFonts w:ascii="Segoe UI" w:hAnsi="Segoe UI" w:cs="Segoe UI"/>
          <w:color w:val="014171"/>
        </w:rPr>
        <w:t xml:space="preserve">apital </w:t>
      </w:r>
      <w:r w:rsidR="006B43BC">
        <w:rPr>
          <w:rFonts w:ascii="Segoe UI" w:hAnsi="Segoe UI" w:cs="Segoe UI"/>
          <w:color w:val="014171"/>
        </w:rPr>
        <w:t>M</w:t>
      </w:r>
      <w:r w:rsidR="00C72E38" w:rsidRPr="00706A93">
        <w:rPr>
          <w:rFonts w:ascii="Segoe UI" w:hAnsi="Segoe UI" w:cs="Segoe UI"/>
          <w:color w:val="014171"/>
        </w:rPr>
        <w:t>arkets</w:t>
      </w:r>
      <w:r w:rsidR="00810DB3">
        <w:rPr>
          <w:rFonts w:ascii="Segoe UI" w:hAnsi="Segoe UI" w:cs="Segoe UI"/>
          <w:color w:val="014171"/>
        </w:rPr>
        <w:t xml:space="preserve"> (“DCM”) </w:t>
      </w:r>
      <w:r w:rsidR="006B43BC">
        <w:rPr>
          <w:rFonts w:ascii="Segoe UI" w:hAnsi="Segoe UI" w:cs="Segoe UI"/>
          <w:color w:val="014171"/>
        </w:rPr>
        <w:t>/</w:t>
      </w:r>
      <w:r w:rsidR="00810DB3">
        <w:rPr>
          <w:rFonts w:ascii="Segoe UI" w:hAnsi="Segoe UI" w:cs="Segoe UI"/>
          <w:color w:val="014171"/>
        </w:rPr>
        <w:t xml:space="preserve"> </w:t>
      </w:r>
      <w:r w:rsidR="006B43BC">
        <w:rPr>
          <w:rFonts w:ascii="Segoe UI" w:hAnsi="Segoe UI" w:cs="Segoe UI"/>
          <w:color w:val="014171"/>
        </w:rPr>
        <w:t>Investment Banking</w:t>
      </w:r>
      <w:r w:rsidR="006B43BC" w:rsidRPr="006F79A7">
        <w:rPr>
          <w:rFonts w:ascii="Segoe UI" w:hAnsi="Segoe UI" w:cs="Segoe UI"/>
          <w:color w:val="014171"/>
        </w:rPr>
        <w:t xml:space="preserve"> </w:t>
      </w:r>
      <w:r w:rsidR="00C72E38" w:rsidRPr="00706A93">
        <w:rPr>
          <w:rFonts w:ascii="Segoe UI" w:hAnsi="Segoe UI" w:cs="Segoe UI"/>
          <w:color w:val="014171"/>
        </w:rPr>
        <w:t xml:space="preserve">and </w:t>
      </w:r>
      <w:r w:rsidR="00CD5F1D">
        <w:rPr>
          <w:rFonts w:ascii="Segoe UI" w:hAnsi="Segoe UI" w:cs="Segoe UI"/>
          <w:color w:val="014171"/>
        </w:rPr>
        <w:t xml:space="preserve">the </w:t>
      </w:r>
      <w:r w:rsidR="00C72E38" w:rsidRPr="00706A93">
        <w:rPr>
          <w:rFonts w:ascii="Segoe UI" w:hAnsi="Segoe UI" w:cs="Segoe UI"/>
          <w:color w:val="014171"/>
        </w:rPr>
        <w:t>offering of</w:t>
      </w:r>
      <w:r w:rsidR="00CD5F1D">
        <w:rPr>
          <w:rFonts w:ascii="Segoe UI" w:hAnsi="Segoe UI" w:cs="Segoe UI"/>
          <w:color w:val="014171"/>
        </w:rPr>
        <w:t xml:space="preserve"> related</w:t>
      </w:r>
      <w:r w:rsidR="00C72E38" w:rsidRPr="00706A93">
        <w:rPr>
          <w:rFonts w:ascii="Segoe UI" w:hAnsi="Segoe UI" w:cs="Segoe UI"/>
          <w:color w:val="014171"/>
        </w:rPr>
        <w:t xml:space="preserve"> financial services (essentially research) to European institutional investors. The repo business is not actively marketed by DCMD but may be offered to approved counterparties for their liquidity management.</w:t>
      </w:r>
    </w:p>
    <w:p w14:paraId="615982D8" w14:textId="77777777" w:rsidR="001F173B" w:rsidRPr="00E27BB3" w:rsidRDefault="001F173B" w:rsidP="00E27BB3">
      <w:pPr>
        <w:spacing w:after="0"/>
        <w:jc w:val="both"/>
        <w:rPr>
          <w:rFonts w:ascii="Segoe UI" w:hAnsi="Segoe UI" w:cs="Segoe UI"/>
          <w:color w:val="014171"/>
        </w:rPr>
      </w:pPr>
    </w:p>
    <w:p w14:paraId="04495A17" w14:textId="10CAB845" w:rsidR="00757056" w:rsidRPr="00E27BB3" w:rsidRDefault="00974482" w:rsidP="008A542A">
      <w:pPr>
        <w:pStyle w:val="Heading2"/>
      </w:pPr>
      <w:bookmarkStart w:id="30" w:name="_Toc297039262"/>
      <w:bookmarkStart w:id="31" w:name="_Toc297189975"/>
      <w:bookmarkStart w:id="32" w:name="_Toc422754613"/>
      <w:bookmarkStart w:id="33" w:name="_Toc102121156"/>
      <w:bookmarkStart w:id="34" w:name="_Toc122626052"/>
      <w:bookmarkEnd w:id="27"/>
      <w:bookmarkEnd w:id="28"/>
      <w:bookmarkEnd w:id="29"/>
      <w:r w:rsidRPr="00E27BB3">
        <w:t>Basis of Disclosure</w:t>
      </w:r>
      <w:bookmarkEnd w:id="30"/>
      <w:bookmarkEnd w:id="31"/>
      <w:bookmarkEnd w:id="32"/>
      <w:r w:rsidR="009D619D" w:rsidRPr="00E27BB3">
        <w:t xml:space="preserve"> - Application</w:t>
      </w:r>
      <w:bookmarkEnd w:id="33"/>
      <w:bookmarkEnd w:id="34"/>
    </w:p>
    <w:p w14:paraId="4D6E2739" w14:textId="1073F987" w:rsidR="00CF78E4" w:rsidRPr="00E27BB3" w:rsidRDefault="00CF78E4" w:rsidP="00E27BB3">
      <w:pPr>
        <w:spacing w:after="0"/>
        <w:jc w:val="both"/>
        <w:rPr>
          <w:rFonts w:ascii="Segoe UI" w:hAnsi="Segoe UI" w:cs="Segoe UI"/>
          <w:color w:val="014171"/>
        </w:rPr>
      </w:pPr>
      <w:r w:rsidRPr="00E27BB3">
        <w:rPr>
          <w:rFonts w:ascii="Segoe UI" w:hAnsi="Segoe UI" w:cs="Segoe UI"/>
          <w:color w:val="014171"/>
        </w:rPr>
        <w:t xml:space="preserve">This document has been prepared </w:t>
      </w:r>
      <w:r w:rsidR="00042FAD">
        <w:rPr>
          <w:rFonts w:ascii="Segoe UI" w:hAnsi="Segoe UI" w:cs="Segoe UI"/>
          <w:color w:val="014171"/>
        </w:rPr>
        <w:t>in accordance with</w:t>
      </w:r>
      <w:r w:rsidR="00042FAD" w:rsidRPr="00E27BB3">
        <w:rPr>
          <w:rFonts w:ascii="Segoe UI" w:hAnsi="Segoe UI" w:cs="Segoe UI"/>
          <w:color w:val="014171"/>
        </w:rPr>
        <w:t xml:space="preserve"> </w:t>
      </w:r>
      <w:r w:rsidRPr="00E27BB3">
        <w:rPr>
          <w:rFonts w:ascii="Segoe UI" w:hAnsi="Segoe UI" w:cs="Segoe UI"/>
          <w:color w:val="014171"/>
        </w:rPr>
        <w:t>the d</w:t>
      </w:r>
      <w:r w:rsidR="009009FA" w:rsidRPr="00E27BB3">
        <w:rPr>
          <w:rFonts w:ascii="Segoe UI" w:hAnsi="Segoe UI" w:cs="Segoe UI"/>
          <w:color w:val="014171"/>
        </w:rPr>
        <w:t>isclosure rules se</w:t>
      </w:r>
      <w:r w:rsidR="00A723FD" w:rsidRPr="00E27BB3">
        <w:rPr>
          <w:rFonts w:ascii="Segoe UI" w:hAnsi="Segoe UI" w:cs="Segoe UI"/>
          <w:color w:val="014171"/>
        </w:rPr>
        <w:t>t out in</w:t>
      </w:r>
      <w:r w:rsidR="009009FA" w:rsidRPr="00E27BB3">
        <w:rPr>
          <w:rFonts w:ascii="Segoe UI" w:hAnsi="Segoe UI" w:cs="Segoe UI"/>
          <w:color w:val="014171"/>
        </w:rPr>
        <w:t xml:space="preserve"> article 46 IFR</w:t>
      </w:r>
      <w:r w:rsidR="000F119A" w:rsidRPr="00370CC2">
        <w:rPr>
          <w:rFonts w:ascii="Segoe UI" w:hAnsi="Segoe UI" w:cs="Segoe UI"/>
          <w:color w:val="014171"/>
        </w:rPr>
        <w:t xml:space="preserve"> </w:t>
      </w:r>
      <w:r w:rsidR="009009FA" w:rsidRPr="00E27BB3">
        <w:rPr>
          <w:rFonts w:ascii="Segoe UI" w:hAnsi="Segoe UI" w:cs="Segoe UI"/>
          <w:color w:val="014171"/>
        </w:rPr>
        <w:t>/</w:t>
      </w:r>
      <w:r w:rsidR="000F119A" w:rsidRPr="00370CC2">
        <w:rPr>
          <w:rFonts w:ascii="Segoe UI" w:hAnsi="Segoe UI" w:cs="Segoe UI"/>
          <w:color w:val="014171"/>
        </w:rPr>
        <w:t xml:space="preserve"> section</w:t>
      </w:r>
      <w:r w:rsidR="009009FA" w:rsidRPr="00E27BB3">
        <w:rPr>
          <w:rFonts w:ascii="Segoe UI" w:hAnsi="Segoe UI" w:cs="Segoe UI"/>
          <w:color w:val="014171"/>
        </w:rPr>
        <w:t xml:space="preserve"> 54 WpIG</w:t>
      </w:r>
      <w:r w:rsidRPr="00E27BB3">
        <w:rPr>
          <w:rFonts w:ascii="Segoe UI" w:hAnsi="Segoe UI" w:cs="Segoe UI"/>
          <w:color w:val="014171"/>
        </w:rPr>
        <w:t>.</w:t>
      </w:r>
    </w:p>
    <w:p w14:paraId="14126131" w14:textId="77777777" w:rsidR="0016436E" w:rsidRPr="00E27BB3" w:rsidRDefault="0016436E" w:rsidP="00E27BB3">
      <w:pPr>
        <w:spacing w:after="0"/>
        <w:jc w:val="both"/>
        <w:rPr>
          <w:rFonts w:ascii="Segoe UI" w:hAnsi="Segoe UI" w:cs="Segoe UI"/>
          <w:color w:val="014171"/>
        </w:rPr>
      </w:pPr>
    </w:p>
    <w:p w14:paraId="15E3A714" w14:textId="0D549CA9" w:rsidR="00CF78E4" w:rsidRPr="00E27BB3" w:rsidRDefault="00CF78E4" w:rsidP="00E27BB3">
      <w:pPr>
        <w:pStyle w:val="ListParagraph"/>
        <w:numPr>
          <w:ilvl w:val="0"/>
          <w:numId w:val="33"/>
        </w:numPr>
        <w:spacing w:after="0"/>
        <w:jc w:val="both"/>
        <w:rPr>
          <w:rFonts w:ascii="Segoe UI" w:hAnsi="Segoe UI" w:cs="Segoe UI"/>
          <w:color w:val="014171"/>
        </w:rPr>
      </w:pPr>
      <w:r w:rsidRPr="00E27BB3">
        <w:rPr>
          <w:rFonts w:ascii="Segoe UI" w:hAnsi="Segoe UI" w:cs="Segoe UI"/>
          <w:b/>
          <w:color w:val="014171"/>
        </w:rPr>
        <w:t>Firm Categorisation:</w:t>
      </w:r>
      <w:r w:rsidRPr="00E27BB3">
        <w:rPr>
          <w:rFonts w:ascii="Segoe UI" w:hAnsi="Segoe UI" w:cs="Segoe UI"/>
          <w:color w:val="014171"/>
        </w:rPr>
        <w:t xml:space="preserve"> </w:t>
      </w:r>
      <w:r w:rsidR="00A02B85" w:rsidRPr="00E27BB3">
        <w:rPr>
          <w:rFonts w:ascii="Segoe UI" w:hAnsi="Segoe UI" w:cs="Segoe UI"/>
          <w:color w:val="014171"/>
        </w:rPr>
        <w:t>DCMD fulfils the IFR criteria for a m</w:t>
      </w:r>
      <w:r w:rsidR="00034E96" w:rsidRPr="00370CC2">
        <w:rPr>
          <w:rFonts w:ascii="Segoe UI" w:hAnsi="Segoe UI" w:cs="Segoe UI"/>
          <w:color w:val="014171"/>
        </w:rPr>
        <w:t>edium</w:t>
      </w:r>
      <w:r w:rsidR="00A02B85" w:rsidRPr="00E27BB3">
        <w:rPr>
          <w:rFonts w:ascii="Segoe UI" w:hAnsi="Segoe UI" w:cs="Segoe UI"/>
          <w:color w:val="014171"/>
        </w:rPr>
        <w:t xml:space="preserve">-sized (class 2) </w:t>
      </w:r>
      <w:r w:rsidR="00F70FA2" w:rsidRPr="00370CC2">
        <w:rPr>
          <w:rFonts w:ascii="Segoe UI" w:hAnsi="Segoe UI" w:cs="Segoe UI"/>
          <w:color w:val="014171"/>
        </w:rPr>
        <w:t>investment</w:t>
      </w:r>
      <w:r w:rsidR="00F70FA2" w:rsidRPr="00E27BB3">
        <w:rPr>
          <w:rFonts w:ascii="Segoe UI" w:hAnsi="Segoe UI" w:cs="Segoe UI"/>
          <w:color w:val="014171"/>
        </w:rPr>
        <w:t xml:space="preserve"> </w:t>
      </w:r>
      <w:r w:rsidR="00A02B85" w:rsidRPr="00E27BB3">
        <w:rPr>
          <w:rFonts w:ascii="Segoe UI" w:hAnsi="Segoe UI" w:cs="Segoe UI"/>
          <w:color w:val="014171"/>
        </w:rPr>
        <w:t>firm.</w:t>
      </w:r>
    </w:p>
    <w:p w14:paraId="598D56EC" w14:textId="020ABB44" w:rsidR="00CF78E4" w:rsidRPr="00E27BB3" w:rsidRDefault="00A02B85" w:rsidP="00E27BB3">
      <w:pPr>
        <w:pStyle w:val="ListParagraph"/>
        <w:numPr>
          <w:ilvl w:val="0"/>
          <w:numId w:val="33"/>
        </w:numPr>
        <w:spacing w:after="0"/>
        <w:jc w:val="both"/>
        <w:rPr>
          <w:rFonts w:ascii="Segoe UI" w:hAnsi="Segoe UI" w:cs="Segoe UI"/>
          <w:color w:val="014171"/>
        </w:rPr>
      </w:pPr>
      <w:r w:rsidRPr="00E27BB3">
        <w:rPr>
          <w:rFonts w:ascii="Segoe UI" w:hAnsi="Segoe UI" w:cs="Segoe UI"/>
          <w:b/>
          <w:color w:val="014171"/>
        </w:rPr>
        <w:t xml:space="preserve">Level of </w:t>
      </w:r>
      <w:r w:rsidR="00A22D32" w:rsidRPr="00E27BB3">
        <w:rPr>
          <w:rFonts w:ascii="Segoe UI" w:hAnsi="Segoe UI" w:cs="Segoe UI"/>
          <w:b/>
          <w:color w:val="014171"/>
        </w:rPr>
        <w:t>Disclosure</w:t>
      </w:r>
      <w:r w:rsidR="00CF78E4" w:rsidRPr="00E27BB3">
        <w:rPr>
          <w:rFonts w:ascii="Segoe UI" w:hAnsi="Segoe UI" w:cs="Segoe UI"/>
          <w:b/>
          <w:color w:val="014171"/>
        </w:rPr>
        <w:t>:</w:t>
      </w:r>
      <w:r w:rsidR="00CF78E4" w:rsidRPr="00E27BB3">
        <w:rPr>
          <w:rFonts w:ascii="Segoe UI" w:hAnsi="Segoe UI" w:cs="Segoe UI"/>
          <w:color w:val="014171"/>
        </w:rPr>
        <w:t xml:space="preserve"> The Firm is required to disclose only on an </w:t>
      </w:r>
      <w:r w:rsidRPr="00E27BB3">
        <w:rPr>
          <w:rFonts w:ascii="Segoe UI" w:hAnsi="Segoe UI" w:cs="Segoe UI"/>
          <w:color w:val="014171"/>
        </w:rPr>
        <w:t>individual entity basis (DCMD</w:t>
      </w:r>
      <w:r w:rsidR="00CF78E4" w:rsidRPr="00E27BB3">
        <w:rPr>
          <w:rFonts w:ascii="Segoe UI" w:hAnsi="Segoe UI" w:cs="Segoe UI"/>
          <w:color w:val="014171"/>
        </w:rPr>
        <w:t xml:space="preserve"> solo). </w:t>
      </w:r>
    </w:p>
    <w:p w14:paraId="1E4C7F77" w14:textId="70BED832" w:rsidR="00CF78E4" w:rsidRPr="00E27BB3" w:rsidRDefault="00CF78E4" w:rsidP="00E27BB3">
      <w:pPr>
        <w:pStyle w:val="ListParagraph"/>
        <w:numPr>
          <w:ilvl w:val="0"/>
          <w:numId w:val="33"/>
        </w:numPr>
        <w:spacing w:after="0"/>
        <w:jc w:val="both"/>
        <w:rPr>
          <w:rFonts w:ascii="Segoe UI" w:hAnsi="Segoe UI" w:cs="Segoe UI"/>
          <w:color w:val="014171"/>
        </w:rPr>
      </w:pPr>
      <w:r w:rsidRPr="00E27BB3">
        <w:rPr>
          <w:rFonts w:ascii="Segoe UI" w:hAnsi="Segoe UI" w:cs="Segoe UI"/>
          <w:b/>
          <w:color w:val="014171"/>
        </w:rPr>
        <w:t>Reference Date:</w:t>
      </w:r>
      <w:r w:rsidRPr="00E27BB3">
        <w:rPr>
          <w:rFonts w:ascii="Segoe UI" w:hAnsi="Segoe UI" w:cs="Segoe UI"/>
          <w:color w:val="014171"/>
        </w:rPr>
        <w:t xml:space="preserve"> This document has been prepared as at 31 March 2022, which is the Firm’s accounting reference date and financial year-end. </w:t>
      </w:r>
    </w:p>
    <w:p w14:paraId="77C2C900" w14:textId="21AB66E1" w:rsidR="00CF78E4" w:rsidRPr="00E27BB3" w:rsidRDefault="00CF78E4" w:rsidP="00E27BB3">
      <w:pPr>
        <w:pStyle w:val="ListParagraph"/>
        <w:numPr>
          <w:ilvl w:val="0"/>
          <w:numId w:val="33"/>
        </w:numPr>
        <w:spacing w:after="0"/>
        <w:jc w:val="both"/>
        <w:rPr>
          <w:rFonts w:ascii="Segoe UI" w:hAnsi="Segoe UI" w:cs="Segoe UI"/>
          <w:color w:val="014171"/>
        </w:rPr>
      </w:pPr>
      <w:r w:rsidRPr="00E27BB3">
        <w:rPr>
          <w:rFonts w:ascii="Segoe UI" w:hAnsi="Segoe UI" w:cs="Segoe UI"/>
          <w:b/>
          <w:color w:val="014171"/>
        </w:rPr>
        <w:t>Frequency:</w:t>
      </w:r>
      <w:r w:rsidRPr="00E27BB3">
        <w:rPr>
          <w:rFonts w:ascii="Segoe UI" w:hAnsi="Segoe UI" w:cs="Segoe UI"/>
          <w:color w:val="014171"/>
        </w:rPr>
        <w:t xml:space="preserve"> Disclosure is published annually alongside the </w:t>
      </w:r>
      <w:r w:rsidR="00E360A0" w:rsidRPr="00E27BB3">
        <w:rPr>
          <w:rFonts w:ascii="Segoe UI" w:hAnsi="Segoe UI" w:cs="Segoe UI"/>
          <w:color w:val="014171"/>
        </w:rPr>
        <w:t>S</w:t>
      </w:r>
      <w:r w:rsidRPr="00E27BB3">
        <w:rPr>
          <w:rFonts w:ascii="Segoe UI" w:hAnsi="Segoe UI" w:cs="Segoe UI"/>
          <w:color w:val="014171"/>
        </w:rPr>
        <w:t xml:space="preserve">tatutory </w:t>
      </w:r>
      <w:r w:rsidR="00E360A0" w:rsidRPr="00E27BB3">
        <w:rPr>
          <w:rFonts w:ascii="Segoe UI" w:hAnsi="Segoe UI" w:cs="Segoe UI"/>
          <w:color w:val="014171"/>
        </w:rPr>
        <w:t>A</w:t>
      </w:r>
      <w:r w:rsidRPr="00E27BB3">
        <w:rPr>
          <w:rFonts w:ascii="Segoe UI" w:hAnsi="Segoe UI" w:cs="Segoe UI"/>
          <w:color w:val="014171"/>
        </w:rPr>
        <w:t>ccounts, or more frequently, if the business undergoes a significant change</w:t>
      </w:r>
      <w:r w:rsidR="00A02B85" w:rsidRPr="00E27BB3">
        <w:rPr>
          <w:rFonts w:ascii="Segoe UI" w:hAnsi="Segoe UI" w:cs="Segoe UI"/>
          <w:color w:val="014171"/>
        </w:rPr>
        <w:t xml:space="preserve"> or if required by BaFin</w:t>
      </w:r>
      <w:r w:rsidRPr="00E27BB3">
        <w:rPr>
          <w:rFonts w:ascii="Segoe UI" w:hAnsi="Segoe UI" w:cs="Segoe UI"/>
          <w:color w:val="014171"/>
        </w:rPr>
        <w:t>.</w:t>
      </w:r>
    </w:p>
    <w:p w14:paraId="06A5FDDD" w14:textId="6478F4B8" w:rsidR="00CF78E4" w:rsidRPr="00E27BB3" w:rsidRDefault="00CF78E4" w:rsidP="00E27BB3">
      <w:pPr>
        <w:pStyle w:val="ListParagraph"/>
        <w:numPr>
          <w:ilvl w:val="0"/>
          <w:numId w:val="33"/>
        </w:numPr>
        <w:spacing w:after="0"/>
        <w:jc w:val="both"/>
        <w:rPr>
          <w:rFonts w:ascii="Segoe UI" w:hAnsi="Segoe UI" w:cs="Segoe UI"/>
          <w:color w:val="014171"/>
        </w:rPr>
      </w:pPr>
      <w:r w:rsidRPr="00E27BB3">
        <w:rPr>
          <w:rFonts w:ascii="Segoe UI" w:hAnsi="Segoe UI" w:cs="Segoe UI"/>
          <w:b/>
          <w:color w:val="014171"/>
        </w:rPr>
        <w:t>Location:</w:t>
      </w:r>
      <w:r w:rsidRPr="00E27BB3">
        <w:rPr>
          <w:rFonts w:ascii="Segoe UI" w:hAnsi="Segoe UI" w:cs="Segoe UI"/>
          <w:color w:val="014171"/>
        </w:rPr>
        <w:t xml:space="preserve"> The document is published on the Firm’s website: </w:t>
      </w:r>
      <w:hyperlink r:id="rId16" w:history="1">
        <w:r w:rsidR="00A02B85" w:rsidRPr="00E27BB3">
          <w:rPr>
            <w:rFonts w:ascii="Segoe UI" w:hAnsi="Segoe UI" w:cs="Segoe UI"/>
            <w:color w:val="014171"/>
          </w:rPr>
          <w:t>www.de</w:t>
        </w:r>
        <w:r w:rsidRPr="00E27BB3">
          <w:rPr>
            <w:rFonts w:ascii="Segoe UI" w:hAnsi="Segoe UI" w:cs="Segoe UI"/>
            <w:color w:val="014171"/>
          </w:rPr>
          <w:t>.daiwacm.com/about-us/corporate-governance-regulatory</w:t>
        </w:r>
      </w:hyperlink>
    </w:p>
    <w:p w14:paraId="2908BA50" w14:textId="209F0300" w:rsidR="00CF78E4" w:rsidRPr="00E27BB3" w:rsidRDefault="00CF78E4" w:rsidP="00E27BB3">
      <w:pPr>
        <w:pStyle w:val="ListParagraph"/>
        <w:numPr>
          <w:ilvl w:val="0"/>
          <w:numId w:val="33"/>
        </w:numPr>
        <w:spacing w:after="0"/>
        <w:jc w:val="both"/>
        <w:rPr>
          <w:rFonts w:ascii="Segoe UI" w:hAnsi="Segoe UI" w:cs="Segoe UI"/>
          <w:color w:val="014171"/>
        </w:rPr>
      </w:pPr>
      <w:r w:rsidRPr="00E27BB3">
        <w:rPr>
          <w:rFonts w:ascii="Segoe UI" w:hAnsi="Segoe UI" w:cs="Segoe UI"/>
          <w:b/>
          <w:color w:val="014171"/>
        </w:rPr>
        <w:t>Governance:</w:t>
      </w:r>
      <w:r w:rsidRPr="00E27BB3">
        <w:rPr>
          <w:rFonts w:ascii="Segoe UI" w:hAnsi="Segoe UI" w:cs="Segoe UI"/>
          <w:color w:val="014171"/>
        </w:rPr>
        <w:t xml:space="preserve"> </w:t>
      </w:r>
      <w:r w:rsidR="00A02B85" w:rsidRPr="00E27BB3">
        <w:rPr>
          <w:rFonts w:ascii="Segoe UI" w:hAnsi="Segoe UI" w:cs="Segoe UI"/>
          <w:color w:val="014171"/>
        </w:rPr>
        <w:t>This document is prepared by DCMD Finance</w:t>
      </w:r>
      <w:r w:rsidRPr="00E27BB3">
        <w:rPr>
          <w:rFonts w:ascii="Segoe UI" w:hAnsi="Segoe UI" w:cs="Segoe UI"/>
          <w:color w:val="014171"/>
        </w:rPr>
        <w:t xml:space="preserve">. The document is reviewed, challenged and approved by </w:t>
      </w:r>
      <w:r w:rsidR="00A02B85" w:rsidRPr="00E27BB3">
        <w:rPr>
          <w:rFonts w:ascii="Segoe UI" w:hAnsi="Segoe UI" w:cs="Segoe UI"/>
          <w:color w:val="014171"/>
        </w:rPr>
        <w:t xml:space="preserve">DCMD Management and the </w:t>
      </w:r>
      <w:r w:rsidR="00A369C3" w:rsidRPr="00E27BB3">
        <w:rPr>
          <w:rFonts w:ascii="Segoe UI" w:hAnsi="Segoe UI" w:cs="Segoe UI"/>
          <w:color w:val="014171"/>
        </w:rPr>
        <w:t>shareholder of the F</w:t>
      </w:r>
      <w:r w:rsidR="00A02B85" w:rsidRPr="00E27BB3">
        <w:rPr>
          <w:rFonts w:ascii="Segoe UI" w:hAnsi="Segoe UI" w:cs="Segoe UI"/>
          <w:color w:val="014171"/>
        </w:rPr>
        <w:t xml:space="preserve">irm. </w:t>
      </w:r>
      <w:r w:rsidR="005A28CE">
        <w:rPr>
          <w:rFonts w:ascii="Segoe UI" w:hAnsi="Segoe UI" w:cs="Segoe UI"/>
          <w:color w:val="014171"/>
        </w:rPr>
        <w:t>This document was</w:t>
      </w:r>
      <w:r w:rsidRPr="00E27BB3">
        <w:rPr>
          <w:rFonts w:ascii="Segoe UI" w:hAnsi="Segoe UI" w:cs="Segoe UI"/>
          <w:color w:val="014171"/>
        </w:rPr>
        <w:t xml:space="preserve"> not subject to audit by the Firm’s external auditors.</w:t>
      </w:r>
    </w:p>
    <w:p w14:paraId="7F0F8409" w14:textId="47A4DFC2" w:rsidR="00A22D32" w:rsidRDefault="00A22D32" w:rsidP="00A22D32">
      <w:pPr>
        <w:spacing w:after="0"/>
        <w:jc w:val="both"/>
        <w:rPr>
          <w:rFonts w:ascii="Segoe UI" w:hAnsi="Segoe UI" w:cs="Segoe UI"/>
          <w:color w:val="014171"/>
        </w:rPr>
      </w:pPr>
      <w:r>
        <w:rPr>
          <w:rFonts w:ascii="Segoe UI" w:hAnsi="Segoe UI" w:cs="Segoe UI"/>
          <w:color w:val="014171"/>
        </w:rPr>
        <w:br w:type="page"/>
      </w:r>
    </w:p>
    <w:p w14:paraId="0A193F06" w14:textId="7FA6EF91" w:rsidR="006F02AD" w:rsidRPr="00E27BB3" w:rsidRDefault="00927CF2" w:rsidP="00C43D6A">
      <w:pPr>
        <w:pStyle w:val="Heading1"/>
        <w:ind w:left="431" w:hanging="431"/>
      </w:pPr>
      <w:bookmarkStart w:id="35" w:name="_Toc114670809"/>
      <w:bookmarkStart w:id="36" w:name="_Toc114670910"/>
      <w:bookmarkStart w:id="37" w:name="_Toc122626053"/>
      <w:bookmarkEnd w:id="35"/>
      <w:bookmarkEnd w:id="36"/>
      <w:r w:rsidRPr="00E27BB3">
        <w:lastRenderedPageBreak/>
        <w:t>Risk M</w:t>
      </w:r>
      <w:r w:rsidR="00A369C3" w:rsidRPr="00E27BB3">
        <w:t>anagement</w:t>
      </w:r>
      <w:r w:rsidR="005F0C99" w:rsidRPr="00377C35">
        <w:t xml:space="preserve"> </w:t>
      </w:r>
      <w:r w:rsidR="00A369C3" w:rsidRPr="00E27BB3">
        <w:t>(</w:t>
      </w:r>
      <w:r w:rsidR="00A22D32" w:rsidRPr="00377C35">
        <w:t>A</w:t>
      </w:r>
      <w:r w:rsidR="00A369C3" w:rsidRPr="00E27BB3">
        <w:t>rticle 47</w:t>
      </w:r>
      <w:r w:rsidRPr="00E27BB3">
        <w:t xml:space="preserve"> IFR)</w:t>
      </w:r>
      <w:bookmarkEnd w:id="37"/>
    </w:p>
    <w:p w14:paraId="51045D98" w14:textId="77777777" w:rsidR="00A64E0E" w:rsidRPr="00FA2278" w:rsidRDefault="00A64E0E" w:rsidP="00E27BB3">
      <w:pPr>
        <w:pStyle w:val="Heading2"/>
      </w:pPr>
      <w:bookmarkStart w:id="38" w:name="_Toc122626054"/>
      <w:r w:rsidRPr="00FA2278">
        <w:t>Overview</w:t>
      </w:r>
      <w:bookmarkEnd w:id="38"/>
    </w:p>
    <w:p w14:paraId="2F876830" w14:textId="74156DFC" w:rsidR="00A64E0E" w:rsidRPr="00370CC2" w:rsidRDefault="00A64E0E" w:rsidP="00E27BB3">
      <w:pPr>
        <w:spacing w:after="0"/>
        <w:jc w:val="both"/>
        <w:rPr>
          <w:rFonts w:ascii="Segoe UI" w:hAnsi="Segoe UI" w:cs="Segoe UI"/>
          <w:color w:val="014171"/>
        </w:rPr>
      </w:pPr>
      <w:r w:rsidRPr="00E27BB3">
        <w:rPr>
          <w:rFonts w:ascii="Segoe UI" w:hAnsi="Segoe UI" w:cs="Segoe UI"/>
          <w:color w:val="014171"/>
        </w:rPr>
        <w:t xml:space="preserve">DCMD’s Management Board </w:t>
      </w:r>
      <w:r w:rsidR="006D4DA9">
        <w:rPr>
          <w:rFonts w:ascii="Segoe UI" w:hAnsi="Segoe UI" w:cs="Segoe UI"/>
          <w:color w:val="014171"/>
        </w:rPr>
        <w:t xml:space="preserve">(i.e. </w:t>
      </w:r>
      <w:r w:rsidR="006D4DA9" w:rsidRPr="00CA7757">
        <w:rPr>
          <w:rFonts w:ascii="Segoe UI" w:hAnsi="Segoe UI" w:cs="Segoe UI"/>
          <w:color w:val="014171"/>
        </w:rPr>
        <w:t xml:space="preserve">Managing Directors </w:t>
      </w:r>
      <w:r w:rsidR="006D4DA9" w:rsidRPr="00370CC2">
        <w:rPr>
          <w:rFonts w:ascii="Segoe UI" w:hAnsi="Segoe UI" w:cs="Segoe UI"/>
          <w:color w:val="014171"/>
        </w:rPr>
        <w:t>(“MDs”)</w:t>
      </w:r>
      <w:r w:rsidR="006D4DA9">
        <w:rPr>
          <w:rFonts w:ascii="Segoe UI" w:hAnsi="Segoe UI" w:cs="Segoe UI"/>
          <w:color w:val="014171"/>
        </w:rPr>
        <w:t xml:space="preserve">) </w:t>
      </w:r>
      <w:r w:rsidRPr="00E27BB3">
        <w:rPr>
          <w:rFonts w:ascii="Segoe UI" w:hAnsi="Segoe UI" w:cs="Segoe UI"/>
          <w:color w:val="014171"/>
        </w:rPr>
        <w:t xml:space="preserve">has ultimate responsibility for risk management and establishing a risk strategy that is in line with the </w:t>
      </w:r>
      <w:r w:rsidR="00796C55" w:rsidRPr="00370CC2">
        <w:rPr>
          <w:rFonts w:ascii="Segoe UI" w:hAnsi="Segoe UI" w:cs="Segoe UI"/>
          <w:color w:val="014171"/>
        </w:rPr>
        <w:t>F</w:t>
      </w:r>
      <w:r w:rsidRPr="00E27BB3">
        <w:rPr>
          <w:rFonts w:ascii="Segoe UI" w:hAnsi="Segoe UI" w:cs="Segoe UI"/>
          <w:color w:val="014171"/>
        </w:rPr>
        <w:t>irm’s business strategy. The overall risk strategy, aimed at permanently and sustainably ensuring DCMD’s risk-bearing capacity, is based around the following key components:</w:t>
      </w:r>
    </w:p>
    <w:p w14:paraId="436B9789" w14:textId="77777777" w:rsidR="00A22D32" w:rsidRPr="00E27BB3" w:rsidRDefault="00A22D32" w:rsidP="00E27BB3">
      <w:pPr>
        <w:spacing w:after="0"/>
        <w:jc w:val="both"/>
        <w:rPr>
          <w:rFonts w:ascii="Segoe UI" w:hAnsi="Segoe UI" w:cs="Segoe UI"/>
          <w:color w:val="014171"/>
        </w:rPr>
      </w:pPr>
    </w:p>
    <w:p w14:paraId="78B4B65A" w14:textId="42415A41" w:rsidR="00A64E0E" w:rsidRPr="00E27BB3" w:rsidRDefault="00A64E0E" w:rsidP="00E27BB3">
      <w:pPr>
        <w:pStyle w:val="ListParagraph"/>
        <w:numPr>
          <w:ilvl w:val="0"/>
          <w:numId w:val="34"/>
        </w:numPr>
        <w:spacing w:after="0"/>
        <w:jc w:val="both"/>
        <w:rPr>
          <w:rFonts w:ascii="Segoe UI" w:hAnsi="Segoe UI" w:cs="Segoe UI"/>
          <w:color w:val="014171"/>
        </w:rPr>
      </w:pPr>
      <w:r w:rsidRPr="00E27BB3">
        <w:rPr>
          <w:rFonts w:ascii="Segoe UI" w:hAnsi="Segoe UI" w:cs="Segoe UI"/>
          <w:b/>
          <w:color w:val="014171"/>
        </w:rPr>
        <w:t>Risk Management Framework (</w:t>
      </w:r>
      <w:r w:rsidR="0053210F" w:rsidRPr="00370CC2">
        <w:rPr>
          <w:rFonts w:ascii="Segoe UI" w:hAnsi="Segoe UI" w:cs="Segoe UI"/>
          <w:b/>
          <w:color w:val="014171"/>
        </w:rPr>
        <w:t>“</w:t>
      </w:r>
      <w:r w:rsidRPr="00E27BB3">
        <w:rPr>
          <w:rFonts w:ascii="Segoe UI" w:hAnsi="Segoe UI" w:cs="Segoe UI"/>
          <w:b/>
          <w:color w:val="014171"/>
        </w:rPr>
        <w:t>RMF</w:t>
      </w:r>
      <w:r w:rsidR="0053210F" w:rsidRPr="00370CC2">
        <w:rPr>
          <w:rFonts w:ascii="Segoe UI" w:hAnsi="Segoe UI" w:cs="Segoe UI"/>
          <w:b/>
          <w:color w:val="014171"/>
        </w:rPr>
        <w:t>”</w:t>
      </w:r>
      <w:r w:rsidRPr="00E27BB3">
        <w:rPr>
          <w:rFonts w:ascii="Segoe UI" w:hAnsi="Segoe UI" w:cs="Segoe UI"/>
          <w:b/>
          <w:color w:val="014171"/>
        </w:rPr>
        <w:t>):</w:t>
      </w:r>
      <w:r w:rsidRPr="00E27BB3">
        <w:rPr>
          <w:rFonts w:ascii="Segoe UI" w:hAnsi="Segoe UI" w:cs="Segoe UI"/>
          <w:color w:val="014171"/>
        </w:rPr>
        <w:t xml:space="preserve"> Outlines the overarching governance arrangements to promote effective risk management throughout the organisation.</w:t>
      </w:r>
    </w:p>
    <w:p w14:paraId="47C48E62" w14:textId="7DC8975F" w:rsidR="00A64E0E" w:rsidRPr="00E27BB3" w:rsidRDefault="00A64E0E" w:rsidP="00E27BB3">
      <w:pPr>
        <w:pStyle w:val="ListParagraph"/>
        <w:numPr>
          <w:ilvl w:val="0"/>
          <w:numId w:val="34"/>
        </w:numPr>
        <w:spacing w:after="0"/>
        <w:jc w:val="both"/>
        <w:rPr>
          <w:rFonts w:ascii="Segoe UI" w:hAnsi="Segoe UI" w:cs="Segoe UI"/>
          <w:color w:val="014171"/>
        </w:rPr>
      </w:pPr>
      <w:r w:rsidRPr="00E27BB3">
        <w:rPr>
          <w:rFonts w:ascii="Segoe UI" w:hAnsi="Segoe UI" w:cs="Segoe UI"/>
          <w:b/>
          <w:color w:val="014171"/>
        </w:rPr>
        <w:t>Risk Appetite Statement (</w:t>
      </w:r>
      <w:r w:rsidR="0024004B" w:rsidRPr="00370CC2">
        <w:rPr>
          <w:rFonts w:ascii="Segoe UI" w:hAnsi="Segoe UI" w:cs="Segoe UI"/>
          <w:b/>
          <w:color w:val="014171"/>
        </w:rPr>
        <w:t>“</w:t>
      </w:r>
      <w:r w:rsidRPr="00E27BB3">
        <w:rPr>
          <w:rFonts w:ascii="Segoe UI" w:hAnsi="Segoe UI" w:cs="Segoe UI"/>
          <w:b/>
          <w:color w:val="014171"/>
        </w:rPr>
        <w:t>RAS</w:t>
      </w:r>
      <w:r w:rsidR="0024004B" w:rsidRPr="00370CC2">
        <w:rPr>
          <w:rFonts w:ascii="Segoe UI" w:hAnsi="Segoe UI" w:cs="Segoe UI"/>
          <w:b/>
          <w:color w:val="014171"/>
        </w:rPr>
        <w:t>”</w:t>
      </w:r>
      <w:r w:rsidRPr="00E27BB3">
        <w:rPr>
          <w:rFonts w:ascii="Segoe UI" w:hAnsi="Segoe UI" w:cs="Segoe UI"/>
          <w:b/>
          <w:color w:val="014171"/>
        </w:rPr>
        <w:t>):</w:t>
      </w:r>
      <w:r w:rsidRPr="00E27BB3">
        <w:rPr>
          <w:rFonts w:ascii="Segoe UI" w:hAnsi="Segoe UI" w:cs="Segoe UI"/>
          <w:color w:val="014171"/>
        </w:rPr>
        <w:t xml:space="preserve"> Established by DCMD’s Management Board, it outlines DCMD’s appetite and/or tolerance in relation to all risks categorised as material in the Firm’s Risk Inventory</w:t>
      </w:r>
      <w:r w:rsidR="00A22D32" w:rsidRPr="00E27BB3">
        <w:rPr>
          <w:rFonts w:ascii="Segoe UI" w:hAnsi="Segoe UI" w:cs="Segoe UI"/>
          <w:color w:val="014171"/>
        </w:rPr>
        <w:t>.</w:t>
      </w:r>
    </w:p>
    <w:p w14:paraId="5A9730D3" w14:textId="752951CF" w:rsidR="00A64E0E" w:rsidRPr="00E27BB3" w:rsidRDefault="00A64E0E" w:rsidP="00E27BB3">
      <w:pPr>
        <w:pStyle w:val="ListParagraph"/>
        <w:numPr>
          <w:ilvl w:val="0"/>
          <w:numId w:val="34"/>
        </w:numPr>
        <w:spacing w:after="0"/>
        <w:jc w:val="both"/>
        <w:rPr>
          <w:rFonts w:ascii="Segoe UI" w:hAnsi="Segoe UI" w:cs="Segoe UI"/>
          <w:color w:val="014171"/>
        </w:rPr>
      </w:pPr>
      <w:r w:rsidRPr="00E27BB3">
        <w:rPr>
          <w:rFonts w:ascii="Segoe UI" w:hAnsi="Segoe UI" w:cs="Segoe UI"/>
          <w:b/>
          <w:color w:val="014171"/>
        </w:rPr>
        <w:t>Risk Limit Framework (</w:t>
      </w:r>
      <w:r w:rsidR="0024004B" w:rsidRPr="00370CC2">
        <w:rPr>
          <w:rFonts w:ascii="Segoe UI" w:hAnsi="Segoe UI" w:cs="Segoe UI"/>
          <w:b/>
          <w:color w:val="014171"/>
        </w:rPr>
        <w:t>“</w:t>
      </w:r>
      <w:r w:rsidRPr="00E27BB3">
        <w:rPr>
          <w:rFonts w:ascii="Segoe UI" w:hAnsi="Segoe UI" w:cs="Segoe UI"/>
          <w:b/>
          <w:color w:val="014171"/>
        </w:rPr>
        <w:t>RLF</w:t>
      </w:r>
      <w:r w:rsidR="0024004B" w:rsidRPr="00370CC2">
        <w:rPr>
          <w:rFonts w:ascii="Segoe UI" w:hAnsi="Segoe UI" w:cs="Segoe UI"/>
          <w:b/>
          <w:color w:val="014171"/>
        </w:rPr>
        <w:t>”</w:t>
      </w:r>
      <w:r w:rsidRPr="00E27BB3">
        <w:rPr>
          <w:rFonts w:ascii="Segoe UI" w:hAnsi="Segoe UI" w:cs="Segoe UI"/>
          <w:b/>
          <w:color w:val="014171"/>
        </w:rPr>
        <w:t>):</w:t>
      </w:r>
      <w:r w:rsidRPr="00E27BB3">
        <w:rPr>
          <w:rFonts w:ascii="Segoe UI" w:hAnsi="Segoe UI" w:cs="Segoe UI"/>
          <w:color w:val="014171"/>
        </w:rPr>
        <w:t xml:space="preserve"> Formalises the Firm’s processes in relation to the management of risk limits to protect the </w:t>
      </w:r>
      <w:r w:rsidR="00796C55" w:rsidRPr="00370CC2">
        <w:rPr>
          <w:rFonts w:ascii="Segoe UI" w:hAnsi="Segoe UI" w:cs="Segoe UI"/>
          <w:color w:val="014171"/>
        </w:rPr>
        <w:t>F</w:t>
      </w:r>
      <w:r w:rsidRPr="00E27BB3">
        <w:rPr>
          <w:rFonts w:ascii="Segoe UI" w:hAnsi="Segoe UI" w:cs="Segoe UI"/>
          <w:color w:val="014171"/>
        </w:rPr>
        <w:t>irm’s risk appetite, including the ownership, setting and reviewing of risk limits.</w:t>
      </w:r>
    </w:p>
    <w:p w14:paraId="7538E5B7" w14:textId="4D345661" w:rsidR="00A64E0E" w:rsidRPr="00E27BB3" w:rsidRDefault="00A64E0E" w:rsidP="00E27BB3">
      <w:pPr>
        <w:pStyle w:val="ListParagraph"/>
        <w:numPr>
          <w:ilvl w:val="0"/>
          <w:numId w:val="34"/>
        </w:numPr>
        <w:spacing w:after="0"/>
        <w:jc w:val="both"/>
        <w:rPr>
          <w:rFonts w:ascii="Segoe UI" w:hAnsi="Segoe UI" w:cs="Segoe UI"/>
          <w:color w:val="014171"/>
        </w:rPr>
      </w:pPr>
      <w:r w:rsidRPr="00E27BB3">
        <w:rPr>
          <w:rFonts w:ascii="Segoe UI" w:hAnsi="Segoe UI" w:cs="Segoe UI"/>
          <w:b/>
          <w:color w:val="014171"/>
        </w:rPr>
        <w:t>Strategies for Material Risks:</w:t>
      </w:r>
      <w:r w:rsidRPr="00E27BB3">
        <w:rPr>
          <w:rFonts w:ascii="Segoe UI" w:hAnsi="Segoe UI" w:cs="Segoe UI"/>
          <w:color w:val="014171"/>
        </w:rPr>
        <w:t xml:space="preserve"> Business and risk strategies will be established to limit and manage risks within the </w:t>
      </w:r>
      <w:r w:rsidR="00796C55">
        <w:rPr>
          <w:rFonts w:ascii="Segoe UI" w:hAnsi="Segoe UI" w:cs="Segoe UI"/>
          <w:color w:val="014171"/>
        </w:rPr>
        <w:t>F</w:t>
      </w:r>
      <w:r w:rsidRPr="00E27BB3">
        <w:rPr>
          <w:rFonts w:ascii="Segoe UI" w:hAnsi="Segoe UI" w:cs="Segoe UI"/>
          <w:color w:val="014171"/>
        </w:rPr>
        <w:t>irm’s approved risk appetite and aligned to the overall business strategy; and</w:t>
      </w:r>
    </w:p>
    <w:p w14:paraId="22D1A03C" w14:textId="6BE29B88" w:rsidR="00A64E0E" w:rsidRPr="00370CC2" w:rsidRDefault="00A64E0E" w:rsidP="00E27BB3">
      <w:pPr>
        <w:pStyle w:val="ListParagraph"/>
        <w:numPr>
          <w:ilvl w:val="0"/>
          <w:numId w:val="34"/>
        </w:numPr>
        <w:spacing w:after="0"/>
        <w:jc w:val="both"/>
        <w:rPr>
          <w:rFonts w:ascii="Segoe UI" w:hAnsi="Segoe UI" w:cs="Segoe UI"/>
          <w:color w:val="014171"/>
        </w:rPr>
      </w:pPr>
      <w:r w:rsidRPr="00E27BB3">
        <w:rPr>
          <w:rFonts w:ascii="Segoe UI" w:hAnsi="Segoe UI" w:cs="Segoe UI"/>
          <w:b/>
          <w:color w:val="014171"/>
        </w:rPr>
        <w:t>Stress Testing and Contingency Planning:</w:t>
      </w:r>
      <w:r w:rsidRPr="00E27BB3">
        <w:rPr>
          <w:rFonts w:ascii="Segoe UI" w:hAnsi="Segoe UI" w:cs="Segoe UI"/>
          <w:color w:val="014171"/>
        </w:rPr>
        <w:t xml:space="preserve"> Examine how the Firm’s business model and risk exposures behave under a range of stress scenarios, and consider relevant mitigating actions relative to the </w:t>
      </w:r>
      <w:r w:rsidR="00796C55" w:rsidRPr="00370CC2">
        <w:rPr>
          <w:rFonts w:ascii="Segoe UI" w:hAnsi="Segoe UI" w:cs="Segoe UI"/>
          <w:color w:val="014171"/>
        </w:rPr>
        <w:t>F</w:t>
      </w:r>
      <w:r w:rsidRPr="00E27BB3">
        <w:rPr>
          <w:rFonts w:ascii="Segoe UI" w:hAnsi="Segoe UI" w:cs="Segoe UI"/>
          <w:color w:val="014171"/>
        </w:rPr>
        <w:t>irm’s risk appetite.</w:t>
      </w:r>
    </w:p>
    <w:p w14:paraId="3A0C00F6" w14:textId="77777777" w:rsidR="008A542A" w:rsidRPr="00E27BB3" w:rsidRDefault="008A542A" w:rsidP="00E27BB3">
      <w:pPr>
        <w:spacing w:after="0"/>
        <w:jc w:val="both"/>
        <w:rPr>
          <w:rFonts w:ascii="Segoe UI" w:hAnsi="Segoe UI" w:cs="Segoe UI"/>
          <w:color w:val="014171"/>
        </w:rPr>
      </w:pPr>
    </w:p>
    <w:p w14:paraId="5EFCCFEC" w14:textId="77777777" w:rsidR="00A64E0E" w:rsidRPr="00E27BB3" w:rsidRDefault="00A64E0E" w:rsidP="00E27BB3">
      <w:pPr>
        <w:pStyle w:val="Heading2"/>
        <w:rPr>
          <w:b w:val="0"/>
          <w:bCs w:val="0"/>
        </w:rPr>
      </w:pPr>
      <w:bookmarkStart w:id="39" w:name="_Toc122626055"/>
      <w:r w:rsidRPr="00E27BB3">
        <w:t>Three Lines of Defence</w:t>
      </w:r>
      <w:bookmarkEnd w:id="39"/>
    </w:p>
    <w:p w14:paraId="23C17E6E" w14:textId="6007222A"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DCMD’s RMF is based upon a three lines of defence </w:t>
      </w:r>
      <w:r w:rsidR="000F119A" w:rsidRPr="00370CC2">
        <w:rPr>
          <w:rFonts w:ascii="Segoe UI" w:hAnsi="Segoe UI" w:cs="Segoe UI"/>
          <w:color w:val="014171"/>
        </w:rPr>
        <w:t>(“</w:t>
      </w:r>
      <w:r w:rsidR="008311AB">
        <w:rPr>
          <w:rFonts w:ascii="Segoe UI" w:hAnsi="Segoe UI" w:cs="Segoe UI"/>
          <w:color w:val="014171"/>
        </w:rPr>
        <w:t>3</w:t>
      </w:r>
      <w:r w:rsidR="000F119A" w:rsidRPr="00370CC2">
        <w:rPr>
          <w:rFonts w:ascii="Segoe UI" w:hAnsi="Segoe UI" w:cs="Segoe UI"/>
          <w:color w:val="014171"/>
        </w:rPr>
        <w:t xml:space="preserve">LoD”) </w:t>
      </w:r>
      <w:r w:rsidRPr="00E27BB3">
        <w:rPr>
          <w:rFonts w:ascii="Segoe UI" w:hAnsi="Segoe UI" w:cs="Segoe UI"/>
          <w:color w:val="014171"/>
        </w:rPr>
        <w:t>model. The implementation of the three lines of defence is supported by the Firm’s overall corporate governance arrangements, which establish a clear organisational structure and allocation of responsibilities for risk management.</w:t>
      </w:r>
    </w:p>
    <w:p w14:paraId="397BF0EC" w14:textId="77777777" w:rsidR="008A542A" w:rsidRPr="00E27BB3" w:rsidRDefault="008A542A" w:rsidP="00E27BB3">
      <w:pPr>
        <w:spacing w:after="0"/>
        <w:jc w:val="both"/>
        <w:rPr>
          <w:rFonts w:ascii="Segoe UI" w:hAnsi="Segoe UI" w:cs="Segoe UI"/>
          <w:color w:val="014171"/>
        </w:rPr>
      </w:pPr>
    </w:p>
    <w:p w14:paraId="511C18CD" w14:textId="77583B8F" w:rsidR="00A64E0E" w:rsidRPr="00E27BB3" w:rsidRDefault="00A64E0E" w:rsidP="00E27BB3">
      <w:pPr>
        <w:pStyle w:val="ListParagraph"/>
        <w:numPr>
          <w:ilvl w:val="0"/>
          <w:numId w:val="35"/>
        </w:numPr>
        <w:spacing w:after="0"/>
        <w:jc w:val="both"/>
        <w:rPr>
          <w:rFonts w:ascii="Segoe UI" w:hAnsi="Segoe UI" w:cs="Segoe UI"/>
          <w:color w:val="014171"/>
        </w:rPr>
      </w:pPr>
      <w:r w:rsidRPr="00E27BB3">
        <w:rPr>
          <w:rFonts w:ascii="Segoe UI" w:hAnsi="Segoe UI" w:cs="Segoe UI"/>
          <w:b/>
          <w:color w:val="014171"/>
        </w:rPr>
        <w:t xml:space="preserve">First </w:t>
      </w:r>
      <w:r w:rsidR="008A542A" w:rsidRPr="00E27BB3">
        <w:rPr>
          <w:rFonts w:ascii="Segoe UI" w:hAnsi="Segoe UI" w:cs="Segoe UI"/>
          <w:b/>
          <w:color w:val="014171"/>
        </w:rPr>
        <w:t>L</w:t>
      </w:r>
      <w:r w:rsidRPr="00E27BB3">
        <w:rPr>
          <w:rFonts w:ascii="Segoe UI" w:hAnsi="Segoe UI" w:cs="Segoe UI"/>
          <w:b/>
          <w:color w:val="014171"/>
        </w:rPr>
        <w:t xml:space="preserve">ine of </w:t>
      </w:r>
      <w:r w:rsidR="008A542A" w:rsidRPr="00E27BB3">
        <w:rPr>
          <w:rFonts w:ascii="Segoe UI" w:hAnsi="Segoe UI" w:cs="Segoe UI"/>
          <w:b/>
          <w:color w:val="014171"/>
        </w:rPr>
        <w:t>Defence:</w:t>
      </w:r>
      <w:r w:rsidR="008A542A" w:rsidRPr="00E27BB3">
        <w:rPr>
          <w:rFonts w:ascii="Segoe UI" w:hAnsi="Segoe UI" w:cs="Segoe UI"/>
          <w:color w:val="014171"/>
        </w:rPr>
        <w:t xml:space="preserve"> T</w:t>
      </w:r>
      <w:r w:rsidRPr="00E27BB3">
        <w:rPr>
          <w:rFonts w:ascii="Segoe UI" w:hAnsi="Segoe UI" w:cs="Segoe UI"/>
          <w:color w:val="014171"/>
        </w:rPr>
        <w:t>his refers to those roles in the Firm whose activities generate risks, whether financial or non-financial. This describes the controls the organisation has in place to deal with day-today business. The controls are owned by the “front-line” business divisions and control functions.</w:t>
      </w:r>
    </w:p>
    <w:p w14:paraId="3DF05E51" w14:textId="5F9B7A46" w:rsidR="00A64E0E" w:rsidRPr="00E27BB3" w:rsidRDefault="00A64E0E" w:rsidP="00E27BB3">
      <w:pPr>
        <w:pStyle w:val="ListParagraph"/>
        <w:numPr>
          <w:ilvl w:val="0"/>
          <w:numId w:val="35"/>
        </w:numPr>
        <w:spacing w:after="0"/>
        <w:jc w:val="both"/>
        <w:rPr>
          <w:rFonts w:ascii="Segoe UI" w:hAnsi="Segoe UI" w:cs="Segoe UI"/>
          <w:color w:val="014171"/>
        </w:rPr>
      </w:pPr>
      <w:r w:rsidRPr="00E27BB3">
        <w:rPr>
          <w:rFonts w:ascii="Segoe UI" w:hAnsi="Segoe UI" w:cs="Segoe UI"/>
          <w:b/>
          <w:color w:val="014171"/>
        </w:rPr>
        <w:t xml:space="preserve">Second </w:t>
      </w:r>
      <w:r w:rsidR="008A542A" w:rsidRPr="00E27BB3">
        <w:rPr>
          <w:rFonts w:ascii="Segoe UI" w:hAnsi="Segoe UI" w:cs="Segoe UI"/>
          <w:b/>
          <w:color w:val="014171"/>
        </w:rPr>
        <w:t>L</w:t>
      </w:r>
      <w:r w:rsidRPr="00E27BB3">
        <w:rPr>
          <w:rFonts w:ascii="Segoe UI" w:hAnsi="Segoe UI" w:cs="Segoe UI"/>
          <w:b/>
          <w:color w:val="014171"/>
        </w:rPr>
        <w:t xml:space="preserve">ine of </w:t>
      </w:r>
      <w:r w:rsidR="008A542A" w:rsidRPr="00E27BB3">
        <w:rPr>
          <w:rFonts w:ascii="Segoe UI" w:hAnsi="Segoe UI" w:cs="Segoe UI"/>
          <w:b/>
          <w:color w:val="014171"/>
        </w:rPr>
        <w:t>Defence:</w:t>
      </w:r>
      <w:r w:rsidR="008A542A" w:rsidRPr="00E27BB3">
        <w:rPr>
          <w:rFonts w:ascii="Segoe UI" w:hAnsi="Segoe UI" w:cs="Segoe UI"/>
          <w:color w:val="014171"/>
        </w:rPr>
        <w:t xml:space="preserve"> T</w:t>
      </w:r>
      <w:r w:rsidRPr="00E27BB3">
        <w:rPr>
          <w:rFonts w:ascii="Segoe UI" w:hAnsi="Segoe UI" w:cs="Segoe UI"/>
          <w:color w:val="014171"/>
        </w:rPr>
        <w:t>his describes the committees and functions (including the Risk Management , Compliance, Regulatory and other risk control functions required by German regulations</w:t>
      </w:r>
      <w:r w:rsidR="006B3203">
        <w:rPr>
          <w:rFonts w:ascii="Segoe UI" w:hAnsi="Segoe UI" w:cs="Segoe UI"/>
          <w:color w:val="014171"/>
        </w:rPr>
        <w:t xml:space="preserve"> or Management</w:t>
      </w:r>
      <w:r w:rsidRPr="00E27BB3">
        <w:rPr>
          <w:rFonts w:ascii="Segoe UI" w:hAnsi="Segoe UI" w:cs="Segoe UI"/>
          <w:color w:val="014171"/>
        </w:rPr>
        <w:t>) that are in place to provide the effective operation of the internal control system and oversight thereof. These committees and functions report independently of the 1LoD and review the management of risk in relation to the Firm’s risk appetite.</w:t>
      </w:r>
    </w:p>
    <w:p w14:paraId="495F2E34" w14:textId="42A41A88" w:rsidR="00A64E0E" w:rsidRPr="00E27BB3" w:rsidRDefault="00A64E0E" w:rsidP="00E27BB3">
      <w:pPr>
        <w:pStyle w:val="ListParagraph"/>
        <w:numPr>
          <w:ilvl w:val="0"/>
          <w:numId w:val="35"/>
        </w:numPr>
        <w:spacing w:after="0"/>
        <w:jc w:val="both"/>
        <w:rPr>
          <w:rFonts w:ascii="Segoe UI" w:hAnsi="Segoe UI" w:cs="Segoe UI"/>
          <w:color w:val="014171"/>
        </w:rPr>
      </w:pPr>
      <w:r w:rsidRPr="00E27BB3">
        <w:rPr>
          <w:rFonts w:ascii="Segoe UI" w:hAnsi="Segoe UI" w:cs="Segoe UI"/>
          <w:b/>
          <w:color w:val="014171"/>
        </w:rPr>
        <w:lastRenderedPageBreak/>
        <w:t xml:space="preserve">Third </w:t>
      </w:r>
      <w:r w:rsidR="008A542A" w:rsidRPr="00E27BB3">
        <w:rPr>
          <w:rFonts w:ascii="Segoe UI" w:hAnsi="Segoe UI" w:cs="Segoe UI"/>
          <w:b/>
          <w:color w:val="014171"/>
        </w:rPr>
        <w:t>L</w:t>
      </w:r>
      <w:r w:rsidRPr="00E27BB3">
        <w:rPr>
          <w:rFonts w:ascii="Segoe UI" w:hAnsi="Segoe UI" w:cs="Segoe UI"/>
          <w:b/>
          <w:color w:val="014171"/>
        </w:rPr>
        <w:t xml:space="preserve">ine of </w:t>
      </w:r>
      <w:r w:rsidR="008A542A" w:rsidRPr="00E27BB3">
        <w:rPr>
          <w:rFonts w:ascii="Segoe UI" w:hAnsi="Segoe UI" w:cs="Segoe UI"/>
          <w:b/>
          <w:color w:val="014171"/>
        </w:rPr>
        <w:t>D</w:t>
      </w:r>
      <w:r w:rsidRPr="00E27BB3">
        <w:rPr>
          <w:rFonts w:ascii="Segoe UI" w:hAnsi="Segoe UI" w:cs="Segoe UI"/>
          <w:b/>
          <w:color w:val="014171"/>
        </w:rPr>
        <w:t>efence</w:t>
      </w:r>
      <w:r w:rsidR="008A542A" w:rsidRPr="00E27BB3">
        <w:rPr>
          <w:rFonts w:ascii="Segoe UI" w:hAnsi="Segoe UI" w:cs="Segoe UI"/>
          <w:b/>
          <w:color w:val="014171"/>
        </w:rPr>
        <w:t>:</w:t>
      </w:r>
      <w:r w:rsidR="008A542A" w:rsidRPr="00E27BB3">
        <w:rPr>
          <w:rFonts w:ascii="Segoe UI" w:hAnsi="Segoe UI" w:cs="Segoe UI"/>
          <w:color w:val="014171"/>
        </w:rPr>
        <w:t xml:space="preserve"> T</w:t>
      </w:r>
      <w:r w:rsidRPr="00E27BB3">
        <w:rPr>
          <w:rFonts w:ascii="Segoe UI" w:hAnsi="Segoe UI" w:cs="Segoe UI"/>
          <w:color w:val="014171"/>
        </w:rPr>
        <w:t>his refers to the Internal Audit function which is accountable for providing independent and objective assurance on the adequacy of the design and effectiveness of the systems of internal control and risk management.</w:t>
      </w:r>
    </w:p>
    <w:p w14:paraId="1DB69E44" w14:textId="77777777" w:rsidR="001201B9" w:rsidRDefault="001201B9" w:rsidP="00E27BB3">
      <w:pPr>
        <w:spacing w:after="0"/>
        <w:jc w:val="both"/>
        <w:rPr>
          <w:rFonts w:ascii="Segoe UI" w:hAnsi="Segoe UI" w:cs="Segoe UI"/>
          <w:color w:val="014171"/>
        </w:rPr>
      </w:pPr>
    </w:p>
    <w:p w14:paraId="637C667E" w14:textId="6B1D7E2E" w:rsidR="00A64E0E" w:rsidRDefault="00A64E0E" w:rsidP="00E27BB3">
      <w:pPr>
        <w:spacing w:after="0"/>
        <w:jc w:val="both"/>
        <w:rPr>
          <w:rFonts w:ascii="Segoe UI" w:hAnsi="Segoe UI" w:cs="Segoe UI"/>
          <w:color w:val="014171"/>
        </w:rPr>
      </w:pPr>
      <w:r w:rsidRPr="00E27BB3">
        <w:rPr>
          <w:rFonts w:ascii="Segoe UI" w:hAnsi="Segoe UI" w:cs="Segoe UI"/>
          <w:color w:val="014171"/>
        </w:rPr>
        <w:t>The three lines of defence model ensures clear delineation of responsibilities between day-to-day operations, independent monitoring and oversight, and assurance over the risk management framework.</w:t>
      </w:r>
    </w:p>
    <w:p w14:paraId="657EA524" w14:textId="77777777" w:rsidR="0024004B" w:rsidRPr="00E27BB3" w:rsidRDefault="0024004B" w:rsidP="00E27BB3">
      <w:pPr>
        <w:spacing w:after="0"/>
        <w:jc w:val="both"/>
        <w:rPr>
          <w:rFonts w:ascii="Segoe UI" w:hAnsi="Segoe UI" w:cs="Segoe UI"/>
          <w:color w:val="014171"/>
        </w:rPr>
      </w:pPr>
    </w:p>
    <w:p w14:paraId="3674D54D" w14:textId="71B797CF" w:rsidR="00A64E0E" w:rsidRDefault="00A64E0E" w:rsidP="00E27BB3">
      <w:pPr>
        <w:spacing w:after="0"/>
        <w:jc w:val="both"/>
        <w:rPr>
          <w:rFonts w:ascii="Segoe UI" w:hAnsi="Segoe UI" w:cs="Segoe UI"/>
          <w:color w:val="014171"/>
        </w:rPr>
      </w:pPr>
      <w:r w:rsidRPr="00E27BB3">
        <w:rPr>
          <w:rFonts w:ascii="Segoe UI" w:hAnsi="Segoe UI" w:cs="Segoe UI"/>
          <w:color w:val="014171"/>
        </w:rPr>
        <w:t>To ensure the effective day-to-day monitoring and controlling of risk within DCMD, the Firm has established written policies, procedures and processes for identifying, assessing, treating, monitoring and communicating risks, which ensure that material risks and associated risk concentrations can be identified, assessed, treated, monitored and communicated.</w:t>
      </w:r>
    </w:p>
    <w:p w14:paraId="2B47D65D" w14:textId="77777777" w:rsidR="008A542A" w:rsidRPr="00E27BB3" w:rsidRDefault="008A542A" w:rsidP="00E27BB3">
      <w:pPr>
        <w:spacing w:after="0"/>
        <w:jc w:val="both"/>
        <w:rPr>
          <w:rFonts w:ascii="Segoe UI" w:hAnsi="Segoe UI" w:cs="Segoe UI"/>
          <w:color w:val="014171"/>
        </w:rPr>
      </w:pPr>
    </w:p>
    <w:p w14:paraId="006B4917" w14:textId="77777777" w:rsidR="00A64E0E" w:rsidRPr="00E27BB3" w:rsidRDefault="00A64E0E" w:rsidP="00E27BB3">
      <w:pPr>
        <w:pStyle w:val="Heading2"/>
        <w:rPr>
          <w:b w:val="0"/>
          <w:bCs w:val="0"/>
        </w:rPr>
      </w:pPr>
      <w:bookmarkStart w:id="40" w:name="_Toc122626056"/>
      <w:r w:rsidRPr="00E27BB3">
        <w:t>Material Risks</w:t>
      </w:r>
      <w:bookmarkEnd w:id="40"/>
    </w:p>
    <w:p w14:paraId="2EDFB34D" w14:textId="3C4AC4A9"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 xml:space="preserve">DCMD has established a Risk Inventory setting out the population of risks implied in pursuing the activities set out in the </w:t>
      </w:r>
      <w:r w:rsidR="00796C55">
        <w:rPr>
          <w:rFonts w:ascii="Segoe UI" w:hAnsi="Segoe UI" w:cs="Segoe UI"/>
          <w:color w:val="014171"/>
        </w:rPr>
        <w:t>F</w:t>
      </w:r>
      <w:r w:rsidRPr="00E27BB3">
        <w:rPr>
          <w:rFonts w:ascii="Segoe UI" w:hAnsi="Segoe UI" w:cs="Segoe UI"/>
          <w:color w:val="014171"/>
        </w:rPr>
        <w:t xml:space="preserve">irm’s business plan and strategy. Each identified risk type is assessed to determine its materiality to DCMD and any existing risk concentrations within certain risk types as well as risk concentrations across different risk types are documented. The Risk Inventory is reviewed annually and approved by the </w:t>
      </w:r>
      <w:r w:rsidR="00796C55">
        <w:rPr>
          <w:rFonts w:ascii="Segoe UI" w:hAnsi="Segoe UI" w:cs="Segoe UI"/>
          <w:color w:val="014171"/>
        </w:rPr>
        <w:t>F</w:t>
      </w:r>
      <w:r w:rsidRPr="00E27BB3">
        <w:rPr>
          <w:rFonts w:ascii="Segoe UI" w:hAnsi="Segoe UI" w:cs="Segoe UI"/>
          <w:color w:val="014171"/>
        </w:rPr>
        <w:t>irm’s Management Board.</w:t>
      </w:r>
    </w:p>
    <w:p w14:paraId="718C0919" w14:textId="77777777" w:rsidR="001F173B" w:rsidRDefault="001F173B" w:rsidP="00E27BB3">
      <w:pPr>
        <w:spacing w:after="0"/>
        <w:jc w:val="both"/>
        <w:rPr>
          <w:rFonts w:ascii="Segoe UI" w:hAnsi="Segoe UI" w:cs="Segoe UI"/>
          <w:color w:val="014171"/>
        </w:rPr>
      </w:pPr>
    </w:p>
    <w:p w14:paraId="56EE5070" w14:textId="26867124" w:rsidR="00A64E0E" w:rsidRDefault="00A64E0E" w:rsidP="00E27BB3">
      <w:pPr>
        <w:spacing w:after="0"/>
        <w:jc w:val="both"/>
        <w:rPr>
          <w:rFonts w:ascii="Segoe UI" w:hAnsi="Segoe UI" w:cs="Segoe UI"/>
          <w:color w:val="014171"/>
        </w:rPr>
      </w:pPr>
      <w:r w:rsidRPr="00E27BB3">
        <w:rPr>
          <w:rFonts w:ascii="Segoe UI" w:hAnsi="Segoe UI" w:cs="Segoe UI"/>
          <w:color w:val="014171"/>
        </w:rPr>
        <w:t>The material types of risks to which the Firm is exposed are detailed</w:t>
      </w:r>
      <w:r w:rsidR="001F173B">
        <w:rPr>
          <w:rFonts w:ascii="Segoe UI" w:hAnsi="Segoe UI" w:cs="Segoe UI"/>
          <w:color w:val="014171"/>
        </w:rPr>
        <w:t xml:space="preserve"> in the following sections.</w:t>
      </w:r>
    </w:p>
    <w:p w14:paraId="579A76E1" w14:textId="77777777" w:rsidR="008A542A" w:rsidRPr="00E27BB3" w:rsidRDefault="008A542A" w:rsidP="00E27BB3">
      <w:pPr>
        <w:spacing w:after="0"/>
        <w:jc w:val="both"/>
        <w:rPr>
          <w:rFonts w:ascii="Segoe UI" w:hAnsi="Segoe UI" w:cs="Segoe UI"/>
          <w:color w:val="014171"/>
        </w:rPr>
      </w:pPr>
    </w:p>
    <w:p w14:paraId="0F90B843" w14:textId="77777777" w:rsidR="00A64E0E" w:rsidRPr="00E27BB3" w:rsidRDefault="00A64E0E" w:rsidP="00E27BB3">
      <w:pPr>
        <w:pStyle w:val="Heading3"/>
        <w:rPr>
          <w:b w:val="0"/>
        </w:rPr>
      </w:pPr>
      <w:r w:rsidRPr="00E27BB3">
        <w:t>Market Risk</w:t>
      </w:r>
    </w:p>
    <w:p w14:paraId="3DF99CC9" w14:textId="77777777" w:rsidR="00A64E0E" w:rsidRPr="00E27BB3" w:rsidRDefault="00A64E0E" w:rsidP="00E27BB3">
      <w:pPr>
        <w:pStyle w:val="Heading4"/>
      </w:pPr>
      <w:r w:rsidRPr="00E27BB3">
        <w:t>Definition</w:t>
      </w:r>
    </w:p>
    <w:p w14:paraId="2C009892" w14:textId="7A1D33A1" w:rsidR="00A64E0E" w:rsidRDefault="00A64E0E" w:rsidP="00E27BB3">
      <w:pPr>
        <w:spacing w:after="0"/>
        <w:jc w:val="both"/>
        <w:rPr>
          <w:rFonts w:ascii="Segoe UI" w:hAnsi="Segoe UI" w:cs="Segoe UI"/>
          <w:color w:val="014171"/>
        </w:rPr>
      </w:pPr>
      <w:r w:rsidRPr="00E27BB3">
        <w:rPr>
          <w:rFonts w:ascii="Segoe UI" w:hAnsi="Segoe UI" w:cs="Segoe UI"/>
          <w:color w:val="014171"/>
        </w:rPr>
        <w:t>Market risk is defined as the risk of losses arising from movements in interest rates, credit spreads, stock prices, exchange rates or other market risk factors.</w:t>
      </w:r>
    </w:p>
    <w:p w14:paraId="2DE9F2CE" w14:textId="77777777" w:rsidR="00A64E0E" w:rsidRPr="00742C2C" w:rsidRDefault="00A64E0E" w:rsidP="00742C2C">
      <w:pPr>
        <w:pStyle w:val="Heading4"/>
      </w:pPr>
      <w:r w:rsidRPr="00742C2C">
        <w:t>Strategy</w:t>
      </w:r>
    </w:p>
    <w:p w14:paraId="6EF9DA9A" w14:textId="1B6768E1" w:rsidR="000F119A" w:rsidRDefault="00A64E0E" w:rsidP="00E27BB3">
      <w:pPr>
        <w:spacing w:after="0"/>
        <w:jc w:val="both"/>
        <w:rPr>
          <w:rFonts w:ascii="Segoe UI" w:hAnsi="Segoe UI" w:cs="Segoe UI"/>
          <w:color w:val="014171"/>
        </w:rPr>
      </w:pPr>
      <w:r w:rsidRPr="00E27BB3">
        <w:rPr>
          <w:rFonts w:ascii="Segoe UI" w:hAnsi="Segoe UI" w:cs="Segoe UI"/>
          <w:color w:val="014171"/>
        </w:rPr>
        <w:t>The key strategy for management of market risk under the current business model is to fully mitigate the trading book risk via back-to-back booking of trades to transfer all positions to DCME.</w:t>
      </w:r>
    </w:p>
    <w:p w14:paraId="39A571CC" w14:textId="77777777" w:rsidR="00A64E0E" w:rsidRPr="00E27BB3" w:rsidRDefault="00A64E0E" w:rsidP="00E27BB3">
      <w:pPr>
        <w:pStyle w:val="Heading4"/>
      </w:pPr>
      <w:r w:rsidRPr="00E27BB3">
        <w:t>Risk Identification &amp; Assessment</w:t>
      </w:r>
    </w:p>
    <w:p w14:paraId="1B0B5F07" w14:textId="29721433" w:rsidR="00A64E0E" w:rsidRDefault="00A64E0E" w:rsidP="00E27BB3">
      <w:pPr>
        <w:spacing w:after="0"/>
        <w:jc w:val="both"/>
        <w:rPr>
          <w:rFonts w:ascii="Segoe UI" w:hAnsi="Segoe UI" w:cs="Segoe UI"/>
          <w:color w:val="014171"/>
        </w:rPr>
      </w:pPr>
      <w:r w:rsidRPr="00E27BB3">
        <w:rPr>
          <w:rFonts w:ascii="Segoe UI" w:hAnsi="Segoe UI" w:cs="Segoe UI"/>
          <w:color w:val="014171"/>
        </w:rPr>
        <w:t>DCMD is exposed to market risk through the purchase and sale of securities and other trading activity, however, the risk is fully mitigated through the back-to-back booking model. Market risk is identified for each position, and then aggregated by business line and overall entity levels.</w:t>
      </w:r>
    </w:p>
    <w:p w14:paraId="187DB99A" w14:textId="77777777" w:rsidR="001F173B" w:rsidRPr="00E27BB3" w:rsidRDefault="001F173B" w:rsidP="00E27BB3">
      <w:pPr>
        <w:spacing w:after="0"/>
        <w:jc w:val="both"/>
        <w:rPr>
          <w:rFonts w:ascii="Segoe UI" w:hAnsi="Segoe UI" w:cs="Segoe UI"/>
          <w:color w:val="014171"/>
        </w:rPr>
      </w:pPr>
    </w:p>
    <w:p w14:paraId="276E4AF6" w14:textId="52FFB202" w:rsidR="008A542A" w:rsidRPr="00E27BB3" w:rsidRDefault="00A64E0E" w:rsidP="00E27BB3">
      <w:pPr>
        <w:spacing w:after="0"/>
        <w:jc w:val="both"/>
        <w:rPr>
          <w:rFonts w:ascii="Segoe UI" w:hAnsi="Segoe UI" w:cs="Segoe UI"/>
          <w:color w:val="014171"/>
        </w:rPr>
      </w:pPr>
      <w:r w:rsidRPr="00E27BB3">
        <w:rPr>
          <w:rFonts w:ascii="Segoe UI" w:hAnsi="Segoe UI" w:cs="Segoe UI"/>
          <w:color w:val="014171"/>
        </w:rPr>
        <w:lastRenderedPageBreak/>
        <w:t xml:space="preserve">The principal market risk measure for DCMD’s business is a flat daily position </w:t>
      </w:r>
      <w:r w:rsidR="002A5ACF" w:rsidRPr="00E27BB3">
        <w:rPr>
          <w:rFonts w:ascii="Segoe UI" w:hAnsi="Segoe UI" w:cs="Segoe UI"/>
          <w:color w:val="014171"/>
        </w:rPr>
        <w:t>which is controlled on a daily basis</w:t>
      </w:r>
      <w:r w:rsidRPr="00E27BB3">
        <w:rPr>
          <w:rFonts w:ascii="Segoe UI" w:hAnsi="Segoe UI" w:cs="Segoe UI"/>
          <w:color w:val="014171"/>
        </w:rPr>
        <w:t>.</w:t>
      </w:r>
    </w:p>
    <w:p w14:paraId="7B43CC7E" w14:textId="21F1B71F" w:rsidR="00A64E0E" w:rsidRPr="00E27BB3" w:rsidRDefault="00A64E0E" w:rsidP="00E27BB3">
      <w:pPr>
        <w:pStyle w:val="Heading4"/>
      </w:pPr>
      <w:r w:rsidRPr="00E27BB3">
        <w:t>Limits &amp; Exposure Monitoring</w:t>
      </w:r>
    </w:p>
    <w:p w14:paraId="73090A30" w14:textId="6FFF9A9C"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A framework of market risk limits and early warning indicators </w:t>
      </w:r>
      <w:r w:rsidR="003D2172" w:rsidRPr="00370CC2">
        <w:rPr>
          <w:rFonts w:ascii="Segoe UI" w:hAnsi="Segoe UI" w:cs="Segoe UI"/>
          <w:color w:val="014171"/>
        </w:rPr>
        <w:t xml:space="preserve">(“EWIs”) </w:t>
      </w:r>
      <w:r w:rsidRPr="00E27BB3">
        <w:rPr>
          <w:rFonts w:ascii="Segoe UI" w:hAnsi="Segoe UI" w:cs="Segoe UI"/>
          <w:color w:val="014171"/>
        </w:rPr>
        <w:t>has been established to control risk exposures at the firm</w:t>
      </w:r>
      <w:r w:rsidR="004A2C70" w:rsidRPr="00E27BB3">
        <w:rPr>
          <w:rFonts w:ascii="Segoe UI" w:hAnsi="Segoe UI" w:cs="Segoe UI"/>
          <w:color w:val="014171"/>
        </w:rPr>
        <w:t xml:space="preserve"> and</w:t>
      </w:r>
      <w:r w:rsidRPr="00E27BB3">
        <w:rPr>
          <w:rFonts w:ascii="Segoe UI" w:hAnsi="Segoe UI" w:cs="Segoe UI"/>
          <w:color w:val="014171"/>
        </w:rPr>
        <w:t xml:space="preserve"> business level. As per DCMD’s current business setup, no trading book market risk is allowed and therefore all limits in relation to market risk in the trading book are per definition zero.</w:t>
      </w:r>
    </w:p>
    <w:p w14:paraId="3BDB374D" w14:textId="77777777" w:rsidR="001F173B" w:rsidRPr="00E27BB3" w:rsidRDefault="001F173B" w:rsidP="00E27BB3">
      <w:pPr>
        <w:spacing w:after="0"/>
        <w:jc w:val="both"/>
        <w:rPr>
          <w:rFonts w:ascii="Segoe UI" w:hAnsi="Segoe UI" w:cs="Segoe UI"/>
          <w:color w:val="014171"/>
        </w:rPr>
      </w:pPr>
    </w:p>
    <w:p w14:paraId="050E68AB" w14:textId="4CF96D30" w:rsidR="008A542A" w:rsidRPr="00370CC2" w:rsidRDefault="00A64E0E" w:rsidP="00E27BB3">
      <w:pPr>
        <w:spacing w:after="0"/>
        <w:jc w:val="both"/>
        <w:rPr>
          <w:rFonts w:ascii="Segoe UI" w:hAnsi="Segoe UI" w:cs="Segoe UI"/>
          <w:color w:val="014171"/>
        </w:rPr>
      </w:pPr>
      <w:r w:rsidRPr="00E27BB3">
        <w:rPr>
          <w:rFonts w:ascii="Segoe UI" w:hAnsi="Segoe UI" w:cs="Segoe UI"/>
          <w:color w:val="014171"/>
        </w:rPr>
        <w:t>Exposures against all market risk limits and early warning indicators are monitored on a daily basis. Ad-hoc analyses can be performed as required to provide further understanding of individual market risks and the Firm’s overall risk profile.</w:t>
      </w:r>
    </w:p>
    <w:p w14:paraId="61C6B428" w14:textId="77777777" w:rsidR="00A64E0E" w:rsidRPr="00E27BB3" w:rsidRDefault="00A64E0E" w:rsidP="00E27BB3">
      <w:pPr>
        <w:pStyle w:val="Heading4"/>
      </w:pPr>
      <w:r w:rsidRPr="00E27BB3">
        <w:t>Reporting</w:t>
      </w:r>
    </w:p>
    <w:p w14:paraId="1EFA4630" w14:textId="48979458" w:rsidR="00A64E0E" w:rsidRDefault="00A64E0E" w:rsidP="00E27BB3">
      <w:pPr>
        <w:spacing w:after="0"/>
        <w:jc w:val="both"/>
        <w:rPr>
          <w:rFonts w:ascii="Segoe UI" w:hAnsi="Segoe UI" w:cs="Segoe UI"/>
          <w:color w:val="014171"/>
        </w:rPr>
      </w:pPr>
      <w:r w:rsidRPr="00E27BB3">
        <w:rPr>
          <w:rFonts w:ascii="Segoe UI" w:hAnsi="Segoe UI" w:cs="Segoe UI"/>
          <w:color w:val="014171"/>
        </w:rPr>
        <w:t>Reporting against all market risk limits and early warning indicators is prepared and submitted to DCMD’s Managing Directors</w:t>
      </w:r>
      <w:r w:rsidR="00C61EE4" w:rsidRPr="00370CC2">
        <w:rPr>
          <w:rFonts w:ascii="Segoe UI" w:hAnsi="Segoe UI" w:cs="Segoe UI"/>
          <w:color w:val="014171"/>
        </w:rPr>
        <w:t xml:space="preserve"> </w:t>
      </w:r>
      <w:r w:rsidRPr="00E27BB3">
        <w:rPr>
          <w:rFonts w:ascii="Segoe UI" w:hAnsi="Segoe UI" w:cs="Segoe UI"/>
          <w:color w:val="014171"/>
        </w:rPr>
        <w:t>on a daily basis. Additionally, monthly reporting is prepared for DCMD’s Risk Committee.</w:t>
      </w:r>
    </w:p>
    <w:p w14:paraId="7A22E22F" w14:textId="77777777" w:rsidR="001F173B" w:rsidRPr="00E27BB3" w:rsidRDefault="001F173B" w:rsidP="00E27BB3">
      <w:pPr>
        <w:spacing w:after="0"/>
        <w:jc w:val="both"/>
        <w:rPr>
          <w:rFonts w:ascii="Segoe UI" w:hAnsi="Segoe UI" w:cs="Segoe UI"/>
          <w:color w:val="014171"/>
        </w:rPr>
      </w:pPr>
    </w:p>
    <w:p w14:paraId="0263693F" w14:textId="475D5D33" w:rsidR="00A64E0E" w:rsidRDefault="00A64E0E" w:rsidP="00E27BB3">
      <w:pPr>
        <w:spacing w:after="0"/>
        <w:jc w:val="both"/>
        <w:rPr>
          <w:rFonts w:ascii="Segoe UI" w:hAnsi="Segoe UI" w:cs="Segoe UI"/>
          <w:color w:val="014171"/>
        </w:rPr>
      </w:pPr>
      <w:r w:rsidRPr="00E27BB3">
        <w:rPr>
          <w:rFonts w:ascii="Segoe UI" w:hAnsi="Segoe UI" w:cs="Segoe UI"/>
          <w:color w:val="014171"/>
        </w:rPr>
        <w:t>Ad-hoc reporting procedures for timely escalation of important matters, e.g. for limit changes or breaches, are in place and have been formalised and documented in DCMD’s policies and procedures.</w:t>
      </w:r>
    </w:p>
    <w:p w14:paraId="63CD57EC" w14:textId="77777777" w:rsidR="008A542A" w:rsidRPr="00E27BB3" w:rsidRDefault="008A542A" w:rsidP="00E27BB3">
      <w:pPr>
        <w:spacing w:after="0"/>
        <w:jc w:val="both"/>
        <w:rPr>
          <w:rFonts w:ascii="Segoe UI" w:hAnsi="Segoe UI" w:cs="Segoe UI"/>
          <w:color w:val="014171"/>
        </w:rPr>
      </w:pPr>
    </w:p>
    <w:p w14:paraId="3AC94624" w14:textId="77777777" w:rsidR="00A64E0E" w:rsidRPr="00E27BB3" w:rsidRDefault="00A64E0E" w:rsidP="00E27BB3">
      <w:pPr>
        <w:pStyle w:val="Heading3"/>
        <w:rPr>
          <w:b w:val="0"/>
        </w:rPr>
      </w:pPr>
      <w:r w:rsidRPr="00E27BB3">
        <w:t>Credit Risk</w:t>
      </w:r>
    </w:p>
    <w:p w14:paraId="5694AC05" w14:textId="77777777" w:rsidR="00A64E0E" w:rsidRPr="00E27BB3" w:rsidRDefault="00A64E0E" w:rsidP="00E27BB3">
      <w:pPr>
        <w:pStyle w:val="Heading4"/>
      </w:pPr>
      <w:r w:rsidRPr="00E27BB3">
        <w:t>Definition</w:t>
      </w:r>
    </w:p>
    <w:p w14:paraId="2737F9DA" w14:textId="796B9712" w:rsidR="000F119A" w:rsidRPr="00E27BB3" w:rsidRDefault="00A64E0E" w:rsidP="00E27BB3">
      <w:pPr>
        <w:spacing w:after="0"/>
        <w:jc w:val="both"/>
        <w:rPr>
          <w:rFonts w:ascii="Segoe UI" w:hAnsi="Segoe UI" w:cs="Segoe UI"/>
          <w:color w:val="014171"/>
        </w:rPr>
      </w:pPr>
      <w:r w:rsidRPr="00E27BB3">
        <w:rPr>
          <w:rFonts w:ascii="Segoe UI" w:hAnsi="Segoe UI" w:cs="Segoe UI"/>
          <w:color w:val="014171"/>
        </w:rPr>
        <w:t>Credit risk is defined as the potential financial loss arising from a trading counterparty or issuer of financial instruments failing to meet its financial obligations to DCMD, either due to a default or deterioration in credit quality. Credit Risk is also present in the form of nostro balances, which are deposited in treasury accounts at acceptable banking entities.</w:t>
      </w:r>
    </w:p>
    <w:p w14:paraId="06B45200" w14:textId="77777777" w:rsidR="00A64E0E" w:rsidRPr="00E27BB3" w:rsidRDefault="00A64E0E" w:rsidP="00E27BB3">
      <w:pPr>
        <w:pStyle w:val="Heading4"/>
      </w:pPr>
      <w:r w:rsidRPr="00E27BB3">
        <w:t>Strategy</w:t>
      </w:r>
    </w:p>
    <w:p w14:paraId="4EBA6E31" w14:textId="20005377" w:rsidR="00A64E0E" w:rsidRDefault="00A64E0E" w:rsidP="00E27BB3">
      <w:pPr>
        <w:spacing w:after="0"/>
        <w:jc w:val="both"/>
        <w:rPr>
          <w:rFonts w:ascii="Segoe UI" w:hAnsi="Segoe UI" w:cs="Segoe UI"/>
          <w:color w:val="014171"/>
        </w:rPr>
      </w:pPr>
      <w:r w:rsidRPr="00E27BB3">
        <w:rPr>
          <w:rFonts w:ascii="Segoe UI" w:hAnsi="Segoe UI" w:cs="Segoe UI"/>
          <w:color w:val="014171"/>
        </w:rPr>
        <w:t>Credit risk is limited and managed through a combination of controls including minimum standards/requirements for an entity to be deemed an acceptable counterparty, assignment of internal credit ratings, the use of standard legal agreements and exposure netting where possible as well as collateralisation of exposures.</w:t>
      </w:r>
    </w:p>
    <w:p w14:paraId="478EC4E9" w14:textId="77777777" w:rsidR="001F173B" w:rsidRPr="00E27BB3" w:rsidRDefault="001F173B" w:rsidP="00E27BB3">
      <w:pPr>
        <w:spacing w:after="0"/>
        <w:jc w:val="both"/>
        <w:rPr>
          <w:rFonts w:ascii="Segoe UI" w:hAnsi="Segoe UI" w:cs="Segoe UI"/>
          <w:color w:val="014171"/>
        </w:rPr>
      </w:pPr>
    </w:p>
    <w:p w14:paraId="74CDC1F7" w14:textId="16948596"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While Credit Risk management is performed locally, DCMD has outsourced several tasks to its parent to leverage the expertise and knowledge of DCME’s Credit Risk team. Responsibility for setting the risk appetite, credit limits and related risk policies and processes remains with DCMD. Additionally, all credit decisions are taken by DCMD.</w:t>
      </w:r>
    </w:p>
    <w:p w14:paraId="1497159F" w14:textId="77777777" w:rsidR="00A64E0E" w:rsidRPr="00E27BB3" w:rsidRDefault="00A64E0E" w:rsidP="00E27BB3">
      <w:pPr>
        <w:pStyle w:val="Heading4"/>
      </w:pPr>
      <w:r w:rsidRPr="00E27BB3">
        <w:lastRenderedPageBreak/>
        <w:t>Risk Identification &amp; Assessment</w:t>
      </w:r>
    </w:p>
    <w:p w14:paraId="03253607" w14:textId="17A65AE9" w:rsidR="00A64E0E" w:rsidRDefault="00A64E0E" w:rsidP="00E27BB3">
      <w:pPr>
        <w:spacing w:after="0"/>
        <w:jc w:val="both"/>
        <w:rPr>
          <w:rFonts w:ascii="Segoe UI" w:hAnsi="Segoe UI" w:cs="Segoe UI"/>
          <w:color w:val="014171"/>
        </w:rPr>
      </w:pPr>
      <w:r w:rsidRPr="00E27BB3">
        <w:rPr>
          <w:rFonts w:ascii="Segoe UI" w:hAnsi="Segoe UI" w:cs="Segoe UI"/>
          <w:color w:val="014171"/>
        </w:rPr>
        <w:t>Credit risk is identified bottom-up by transaction/position and aggregated upwards considering the legal enforceability of netting agreements. Credit risk exposure is identified from all trades, positions, nostro balances</w:t>
      </w:r>
      <w:r w:rsidR="00FF0BF5" w:rsidRPr="00E27BB3">
        <w:rPr>
          <w:rFonts w:ascii="Segoe UI" w:hAnsi="Segoe UI" w:cs="Segoe UI"/>
          <w:color w:val="014171"/>
        </w:rPr>
        <w:t xml:space="preserve"> and</w:t>
      </w:r>
      <w:r w:rsidRPr="00E27BB3">
        <w:rPr>
          <w:rFonts w:ascii="Segoe UI" w:hAnsi="Segoe UI" w:cs="Segoe UI"/>
          <w:color w:val="014171"/>
        </w:rPr>
        <w:t xml:space="preserve"> custodial balances, repo.</w:t>
      </w:r>
    </w:p>
    <w:p w14:paraId="63FA5764" w14:textId="77777777" w:rsidR="001F173B" w:rsidRPr="00E27BB3" w:rsidRDefault="001F173B" w:rsidP="00E27BB3">
      <w:pPr>
        <w:spacing w:after="0"/>
        <w:jc w:val="both"/>
        <w:rPr>
          <w:rFonts w:ascii="Segoe UI" w:hAnsi="Segoe UI" w:cs="Segoe UI"/>
          <w:color w:val="014171"/>
        </w:rPr>
      </w:pPr>
    </w:p>
    <w:p w14:paraId="125D8F85" w14:textId="0E9EF3A5" w:rsidR="000F119A" w:rsidRDefault="00A64E0E" w:rsidP="00E27BB3">
      <w:pPr>
        <w:spacing w:after="0"/>
        <w:jc w:val="both"/>
        <w:rPr>
          <w:rFonts w:ascii="Segoe UI" w:hAnsi="Segoe UI" w:cs="Segoe UI"/>
          <w:color w:val="014171"/>
        </w:rPr>
      </w:pPr>
      <w:r w:rsidRPr="00E27BB3">
        <w:rPr>
          <w:rFonts w:ascii="Segoe UI" w:hAnsi="Segoe UI" w:cs="Segoe UI"/>
          <w:color w:val="014171"/>
        </w:rPr>
        <w:t>Credit risk exposure represents the aggregation of counterparty risk and issuer risk. Counterparty risk is assessed through a combination of mark-to-market (</w:t>
      </w:r>
      <w:r w:rsidR="00810DB3">
        <w:rPr>
          <w:rFonts w:ascii="Segoe UI" w:hAnsi="Segoe UI" w:cs="Segoe UI"/>
          <w:color w:val="014171"/>
        </w:rPr>
        <w:t>“</w:t>
      </w:r>
      <w:r w:rsidRPr="00E27BB3">
        <w:rPr>
          <w:rFonts w:ascii="Segoe UI" w:hAnsi="Segoe UI" w:cs="Segoe UI"/>
          <w:color w:val="014171"/>
        </w:rPr>
        <w:t>MTM</w:t>
      </w:r>
      <w:r w:rsidR="00810DB3">
        <w:rPr>
          <w:rFonts w:ascii="Segoe UI" w:hAnsi="Segoe UI" w:cs="Segoe UI"/>
          <w:color w:val="014171"/>
        </w:rPr>
        <w:t>”</w:t>
      </w:r>
      <w:r w:rsidRPr="00E27BB3">
        <w:rPr>
          <w:rFonts w:ascii="Segoe UI" w:hAnsi="Segoe UI" w:cs="Segoe UI"/>
          <w:color w:val="014171"/>
        </w:rPr>
        <w:t>) exposure and potential future exposure (</w:t>
      </w:r>
      <w:r w:rsidR="00810DB3">
        <w:rPr>
          <w:rFonts w:ascii="Segoe UI" w:hAnsi="Segoe UI" w:cs="Segoe UI"/>
          <w:color w:val="014171"/>
        </w:rPr>
        <w:t>“</w:t>
      </w:r>
      <w:r w:rsidRPr="00E27BB3">
        <w:rPr>
          <w:rFonts w:ascii="Segoe UI" w:hAnsi="Segoe UI" w:cs="Segoe UI"/>
          <w:color w:val="014171"/>
        </w:rPr>
        <w:t>PFE</w:t>
      </w:r>
      <w:r w:rsidR="00810DB3">
        <w:rPr>
          <w:rFonts w:ascii="Segoe UI" w:hAnsi="Segoe UI" w:cs="Segoe UI"/>
          <w:color w:val="014171"/>
        </w:rPr>
        <w:t>”</w:t>
      </w:r>
      <w:r w:rsidRPr="00E27BB3">
        <w:rPr>
          <w:rFonts w:ascii="Segoe UI" w:hAnsi="Segoe UI" w:cs="Segoe UI"/>
          <w:color w:val="014171"/>
        </w:rPr>
        <w:t>) which is a calculation of additional risk inherent in all open and unsettled transactions, considering netting agreements and ancillary risk associated with any inability to call additional collateral during close out.</w:t>
      </w:r>
    </w:p>
    <w:p w14:paraId="35D549A7" w14:textId="38420B57" w:rsidR="00A64E0E" w:rsidRPr="00E27BB3" w:rsidRDefault="00A64E0E" w:rsidP="00E27BB3">
      <w:pPr>
        <w:pStyle w:val="Heading4"/>
      </w:pPr>
      <w:r w:rsidRPr="00E27BB3">
        <w:t>Limits &amp; Exposure Monitoring</w:t>
      </w:r>
    </w:p>
    <w:p w14:paraId="5277691A" w14:textId="45E5C01D" w:rsidR="00A64E0E" w:rsidRDefault="00A64E0E" w:rsidP="00E27BB3">
      <w:pPr>
        <w:spacing w:after="0"/>
        <w:jc w:val="both"/>
        <w:rPr>
          <w:rFonts w:ascii="Segoe UI" w:hAnsi="Segoe UI" w:cs="Segoe UI"/>
          <w:color w:val="014171"/>
        </w:rPr>
      </w:pPr>
      <w:r w:rsidRPr="00E27BB3">
        <w:rPr>
          <w:rFonts w:ascii="Segoe UI" w:hAnsi="Segoe UI" w:cs="Segoe UI"/>
          <w:color w:val="014171"/>
        </w:rPr>
        <w:t>Internal Credit Ratings (</w:t>
      </w:r>
      <w:r w:rsidR="0024004B" w:rsidRPr="00370CC2">
        <w:rPr>
          <w:rFonts w:ascii="Segoe UI" w:hAnsi="Segoe UI" w:cs="Segoe UI"/>
          <w:color w:val="014171"/>
        </w:rPr>
        <w:t>“</w:t>
      </w:r>
      <w:r w:rsidRPr="00E27BB3">
        <w:rPr>
          <w:rFonts w:ascii="Segoe UI" w:hAnsi="Segoe UI" w:cs="Segoe UI"/>
          <w:color w:val="014171"/>
        </w:rPr>
        <w:t>ICR</w:t>
      </w:r>
      <w:r w:rsidR="0024004B" w:rsidRPr="00370CC2">
        <w:rPr>
          <w:rFonts w:ascii="Segoe UI" w:hAnsi="Segoe UI" w:cs="Segoe UI"/>
          <w:color w:val="014171"/>
        </w:rPr>
        <w:t>”</w:t>
      </w:r>
      <w:r w:rsidRPr="00E27BB3">
        <w:rPr>
          <w:rFonts w:ascii="Segoe UI" w:hAnsi="Segoe UI" w:cs="Segoe UI"/>
          <w:color w:val="014171"/>
        </w:rPr>
        <w:t>) are assigned to counterparties, which are integrated into the overall limitation of credit risk. Credit rating reviews are conducted periodically based on a formal review cycle. Limits are established for each independent legal entity, and at counterparty group level.</w:t>
      </w:r>
    </w:p>
    <w:p w14:paraId="1A07EA22" w14:textId="77777777" w:rsidR="001F173B" w:rsidRPr="00E27BB3" w:rsidRDefault="001F173B" w:rsidP="00E27BB3">
      <w:pPr>
        <w:spacing w:after="0"/>
        <w:jc w:val="both"/>
        <w:rPr>
          <w:rFonts w:ascii="Segoe UI" w:hAnsi="Segoe UI" w:cs="Segoe UI"/>
          <w:color w:val="014171"/>
        </w:rPr>
      </w:pPr>
    </w:p>
    <w:p w14:paraId="4A07F7B1" w14:textId="69DF4057" w:rsidR="00A64E0E" w:rsidRDefault="00A64E0E" w:rsidP="00E27BB3">
      <w:pPr>
        <w:spacing w:after="0"/>
        <w:jc w:val="both"/>
        <w:rPr>
          <w:rFonts w:ascii="Segoe UI" w:hAnsi="Segoe UI" w:cs="Segoe UI"/>
          <w:color w:val="014171"/>
        </w:rPr>
      </w:pPr>
      <w:r w:rsidRPr="00E27BB3">
        <w:rPr>
          <w:rFonts w:ascii="Segoe UI" w:hAnsi="Segoe UI" w:cs="Segoe UI"/>
          <w:color w:val="014171"/>
        </w:rPr>
        <w:t>Exposures against all credit risk limits are calculated and reviewed on a daily basis. This includes monitoring of risk concentrations in regard to counterparty rating, counterparty type, counterparty country of risk and counterparty country of risk rating. Additionally, ad-hoc analyses can be performed as required to provide further understanding of individual credit risks and the Firm’s overall risk profile.</w:t>
      </w:r>
    </w:p>
    <w:p w14:paraId="2EB614B3" w14:textId="77777777" w:rsidR="00A64E0E" w:rsidRPr="00E27BB3" w:rsidRDefault="00A64E0E" w:rsidP="00E27BB3">
      <w:pPr>
        <w:pStyle w:val="Heading4"/>
      </w:pPr>
      <w:r w:rsidRPr="00E27BB3">
        <w:t>Reporting</w:t>
      </w:r>
    </w:p>
    <w:p w14:paraId="1A44D0E0" w14:textId="7AA17D15" w:rsidR="00A64E0E" w:rsidRDefault="00A64E0E" w:rsidP="00E27BB3">
      <w:pPr>
        <w:spacing w:after="0"/>
        <w:jc w:val="both"/>
        <w:rPr>
          <w:rFonts w:ascii="Segoe UI" w:hAnsi="Segoe UI" w:cs="Segoe UI"/>
          <w:color w:val="014171"/>
        </w:rPr>
      </w:pPr>
      <w:r w:rsidRPr="00E27BB3">
        <w:rPr>
          <w:rFonts w:ascii="Segoe UI" w:hAnsi="Segoe UI" w:cs="Segoe UI"/>
          <w:color w:val="014171"/>
        </w:rPr>
        <w:t>Daily reports at granular levels (e.g. exposure by division) are distributed to front office business areas and include details necessary to enable front office to manage their exposures against allocated limits.</w:t>
      </w:r>
    </w:p>
    <w:p w14:paraId="20487E80" w14:textId="77777777" w:rsidR="001F173B" w:rsidRPr="00E27BB3" w:rsidRDefault="001F173B" w:rsidP="00E27BB3">
      <w:pPr>
        <w:spacing w:after="0"/>
        <w:jc w:val="both"/>
        <w:rPr>
          <w:rFonts w:ascii="Segoe UI" w:hAnsi="Segoe UI" w:cs="Segoe UI"/>
          <w:color w:val="014171"/>
        </w:rPr>
      </w:pPr>
    </w:p>
    <w:p w14:paraId="5D0DDD8A" w14:textId="3931CB59" w:rsidR="00A64E0E" w:rsidRDefault="00A64E0E" w:rsidP="00E27BB3">
      <w:pPr>
        <w:spacing w:after="0"/>
        <w:jc w:val="both"/>
        <w:rPr>
          <w:rFonts w:ascii="Segoe UI" w:hAnsi="Segoe UI" w:cs="Segoe UI"/>
          <w:color w:val="014171"/>
        </w:rPr>
      </w:pPr>
      <w:r w:rsidRPr="00E27BB3">
        <w:rPr>
          <w:rFonts w:ascii="Segoe UI" w:hAnsi="Segoe UI" w:cs="Segoe UI"/>
          <w:color w:val="014171"/>
        </w:rPr>
        <w:t>Summary reports are also prepared on a daily basis and distributed to DCMD senior management, including the Managing Directors.</w:t>
      </w:r>
    </w:p>
    <w:p w14:paraId="4652DCAA" w14:textId="77777777" w:rsidR="001F173B" w:rsidRPr="00E27BB3" w:rsidRDefault="001F173B" w:rsidP="00E27BB3">
      <w:pPr>
        <w:spacing w:after="0"/>
        <w:jc w:val="both"/>
        <w:rPr>
          <w:rFonts w:ascii="Segoe UI" w:hAnsi="Segoe UI" w:cs="Segoe UI"/>
          <w:color w:val="014171"/>
        </w:rPr>
      </w:pPr>
    </w:p>
    <w:p w14:paraId="77F8F1DD" w14:textId="2B54676A"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Monthly reporting is prepared for the Risk Committee, Executive Committee and Management Board, respectively. Reporting and escalation procedures have been established in accordance with Daiwa standards and </w:t>
      </w:r>
      <w:r w:rsidR="0024004B" w:rsidRPr="00370CC2">
        <w:rPr>
          <w:rFonts w:ascii="Segoe UI" w:hAnsi="Segoe UI" w:cs="Segoe UI"/>
          <w:color w:val="014171"/>
        </w:rPr>
        <w:t>requirements of BaFin’s Minimum Requirements for Risk Management (</w:t>
      </w:r>
      <w:r w:rsidR="0024004B" w:rsidRPr="00E27BB3">
        <w:rPr>
          <w:rFonts w:ascii="Segoe UI" w:hAnsi="Segoe UI" w:cs="Segoe UI"/>
          <w:i/>
          <w:color w:val="014171"/>
        </w:rPr>
        <w:t>Mindestanforderungen an das Risikomanagement</w:t>
      </w:r>
      <w:r w:rsidR="0024004B" w:rsidRPr="00370CC2">
        <w:rPr>
          <w:rFonts w:ascii="Segoe UI" w:hAnsi="Segoe UI" w:cs="Segoe UI"/>
          <w:color w:val="014171"/>
        </w:rPr>
        <w:t>, “</w:t>
      </w:r>
      <w:r w:rsidRPr="00E27BB3">
        <w:rPr>
          <w:rFonts w:ascii="Segoe UI" w:hAnsi="Segoe UI" w:cs="Segoe UI"/>
          <w:color w:val="014171"/>
        </w:rPr>
        <w:t>MaRisk</w:t>
      </w:r>
      <w:r w:rsidR="0024004B" w:rsidRPr="00370CC2">
        <w:rPr>
          <w:rFonts w:ascii="Segoe UI" w:hAnsi="Segoe UI" w:cs="Segoe UI"/>
          <w:color w:val="014171"/>
        </w:rPr>
        <w:t>”).</w:t>
      </w:r>
    </w:p>
    <w:p w14:paraId="6010125E" w14:textId="77777777" w:rsidR="001F173B" w:rsidRPr="00E27BB3" w:rsidRDefault="001F173B" w:rsidP="00E27BB3">
      <w:pPr>
        <w:spacing w:after="0"/>
        <w:jc w:val="both"/>
        <w:rPr>
          <w:rFonts w:ascii="Segoe UI" w:hAnsi="Segoe UI" w:cs="Segoe UI"/>
          <w:color w:val="014171"/>
        </w:rPr>
      </w:pPr>
    </w:p>
    <w:p w14:paraId="2463995B" w14:textId="0FA04B3A" w:rsidR="00A64E0E" w:rsidRDefault="00A64E0E" w:rsidP="00E27BB3">
      <w:pPr>
        <w:spacing w:after="0"/>
        <w:jc w:val="both"/>
        <w:rPr>
          <w:rFonts w:ascii="Segoe UI" w:hAnsi="Segoe UI" w:cs="Segoe UI"/>
          <w:color w:val="014171"/>
        </w:rPr>
      </w:pPr>
      <w:r w:rsidRPr="00E27BB3">
        <w:rPr>
          <w:rFonts w:ascii="Segoe UI" w:hAnsi="Segoe UI" w:cs="Segoe UI"/>
          <w:color w:val="014171"/>
        </w:rPr>
        <w:t>Ad-hoc reporting procedures for timely escalation of important matters, e.g. for limit changes or breaches, are in place and have been formalised and documented in DCMD’s policies and procedures.</w:t>
      </w:r>
    </w:p>
    <w:p w14:paraId="13729730" w14:textId="77777777" w:rsidR="000F26E7" w:rsidRPr="00E27BB3" w:rsidRDefault="000F26E7" w:rsidP="00E27BB3">
      <w:pPr>
        <w:spacing w:after="0"/>
        <w:jc w:val="both"/>
        <w:rPr>
          <w:rFonts w:ascii="Segoe UI" w:hAnsi="Segoe UI" w:cs="Segoe UI"/>
          <w:color w:val="014171"/>
        </w:rPr>
      </w:pPr>
    </w:p>
    <w:p w14:paraId="1BFF0B75" w14:textId="77777777" w:rsidR="00A64E0E" w:rsidRPr="00E27BB3" w:rsidRDefault="00A64E0E" w:rsidP="00E27BB3">
      <w:pPr>
        <w:pStyle w:val="Heading3"/>
        <w:rPr>
          <w:b w:val="0"/>
        </w:rPr>
      </w:pPr>
      <w:r w:rsidRPr="00E27BB3">
        <w:lastRenderedPageBreak/>
        <w:t>Funding and Liquidity Risk</w:t>
      </w:r>
    </w:p>
    <w:p w14:paraId="2267415A" w14:textId="77777777" w:rsidR="00A64E0E" w:rsidRPr="00E27BB3" w:rsidRDefault="00A64E0E" w:rsidP="00E27BB3">
      <w:pPr>
        <w:pStyle w:val="Heading4"/>
      </w:pPr>
      <w:r w:rsidRPr="00E27BB3">
        <w:t>Definition</w:t>
      </w:r>
    </w:p>
    <w:p w14:paraId="6E42D5DC" w14:textId="4014E9FE" w:rsidR="00A64E0E" w:rsidRDefault="00A64E0E" w:rsidP="00E27BB3">
      <w:pPr>
        <w:spacing w:after="0"/>
        <w:jc w:val="both"/>
        <w:rPr>
          <w:rFonts w:ascii="Segoe UI" w:hAnsi="Segoe UI" w:cs="Segoe UI"/>
          <w:color w:val="014171"/>
        </w:rPr>
      </w:pPr>
      <w:r w:rsidRPr="00E27BB3">
        <w:rPr>
          <w:rFonts w:ascii="Segoe UI" w:hAnsi="Segoe UI" w:cs="Segoe UI"/>
          <w:color w:val="014171"/>
        </w:rPr>
        <w:t>Liquidity risk is defi</w:t>
      </w:r>
      <w:r w:rsidRPr="00742C2C">
        <w:rPr>
          <w:rFonts w:ascii="Segoe UI" w:hAnsi="Segoe UI" w:cs="Segoe UI"/>
          <w:color w:val="014171"/>
        </w:rPr>
        <w:t xml:space="preserve">ned as the risk that a company is unable to meet its obligations as they fall due, leading to an inability to support </w:t>
      </w:r>
      <w:r w:rsidRPr="00E27BB3">
        <w:rPr>
          <w:rFonts w:ascii="Segoe UI" w:hAnsi="Segoe UI" w:cs="Segoe UI"/>
          <w:color w:val="014171"/>
        </w:rPr>
        <w:t>normal business activity and meet liquidity regulatory requirements.</w:t>
      </w:r>
    </w:p>
    <w:p w14:paraId="7D618837" w14:textId="77777777" w:rsidR="001F173B" w:rsidRPr="00E27BB3" w:rsidRDefault="001F173B" w:rsidP="00E27BB3">
      <w:pPr>
        <w:spacing w:after="0"/>
        <w:jc w:val="both"/>
        <w:rPr>
          <w:rFonts w:ascii="Segoe UI" w:hAnsi="Segoe UI" w:cs="Segoe UI"/>
          <w:color w:val="014171"/>
        </w:rPr>
      </w:pPr>
    </w:p>
    <w:p w14:paraId="0F467851" w14:textId="1E6BC05E" w:rsidR="00FA2278" w:rsidRDefault="00A64E0E" w:rsidP="00E27BB3">
      <w:pPr>
        <w:spacing w:after="0"/>
        <w:jc w:val="both"/>
        <w:rPr>
          <w:rFonts w:ascii="Segoe UI" w:hAnsi="Segoe UI" w:cs="Segoe UI"/>
          <w:color w:val="014171"/>
        </w:rPr>
      </w:pPr>
      <w:r w:rsidRPr="00E27BB3">
        <w:rPr>
          <w:rFonts w:ascii="Segoe UI" w:hAnsi="Segoe UI" w:cs="Segoe UI"/>
          <w:color w:val="014171"/>
        </w:rPr>
        <w:t xml:space="preserve">Funding risk is defined as the risk that a firm is unable to meet efficiently both expected and unexpected current and future cash flow and collateral needs without affecting either daily operations or the financial condition of </w:t>
      </w:r>
      <w:r w:rsidR="00796C55">
        <w:rPr>
          <w:rFonts w:ascii="Segoe UI" w:hAnsi="Segoe UI" w:cs="Segoe UI"/>
          <w:color w:val="014171"/>
        </w:rPr>
        <w:t>a</w:t>
      </w:r>
      <w:r w:rsidR="00796C55" w:rsidRPr="00E27BB3">
        <w:rPr>
          <w:rFonts w:ascii="Segoe UI" w:hAnsi="Segoe UI" w:cs="Segoe UI"/>
          <w:color w:val="014171"/>
        </w:rPr>
        <w:t xml:space="preserve"> </w:t>
      </w:r>
      <w:r w:rsidRPr="00E27BB3">
        <w:rPr>
          <w:rFonts w:ascii="Segoe UI" w:hAnsi="Segoe UI" w:cs="Segoe UI"/>
          <w:color w:val="014171"/>
        </w:rPr>
        <w:t>firm.</w:t>
      </w:r>
    </w:p>
    <w:p w14:paraId="217D1BE4" w14:textId="156CF02C" w:rsidR="00A64E0E" w:rsidRPr="00E27BB3" w:rsidRDefault="00A64E0E" w:rsidP="00E27BB3">
      <w:pPr>
        <w:pStyle w:val="Heading4"/>
      </w:pPr>
      <w:r w:rsidRPr="00E27BB3">
        <w:t>Strategy</w:t>
      </w:r>
    </w:p>
    <w:p w14:paraId="53C30190" w14:textId="7377C6C6" w:rsidR="000F119A" w:rsidRPr="00E27BB3" w:rsidRDefault="00A64E0E" w:rsidP="00E27BB3">
      <w:pPr>
        <w:spacing w:after="0"/>
        <w:jc w:val="both"/>
        <w:rPr>
          <w:rFonts w:ascii="Segoe UI" w:hAnsi="Segoe UI" w:cs="Segoe UI"/>
          <w:color w:val="014171"/>
        </w:rPr>
      </w:pPr>
      <w:r w:rsidRPr="00E27BB3">
        <w:rPr>
          <w:rFonts w:ascii="Segoe UI" w:hAnsi="Segoe UI" w:cs="Segoe UI"/>
          <w:color w:val="014171"/>
        </w:rPr>
        <w:t xml:space="preserve">Liquidity risk is limited and managed through a combination of controls including a Liquid Asset Buffer </w:t>
      </w:r>
      <w:r w:rsidR="00810DB3">
        <w:rPr>
          <w:rFonts w:ascii="Segoe UI" w:hAnsi="Segoe UI" w:cs="Segoe UI"/>
          <w:color w:val="014171"/>
        </w:rPr>
        <w:t xml:space="preserve">(“LAB”) </w:t>
      </w:r>
      <w:r w:rsidRPr="00E27BB3">
        <w:rPr>
          <w:rFonts w:ascii="Segoe UI" w:hAnsi="Segoe UI" w:cs="Segoe UI"/>
          <w:color w:val="014171"/>
        </w:rPr>
        <w:t>calibrated to stressed cash outflows, maturity gap mismatch management, as well as cash flow and balance sheet management processes.</w:t>
      </w:r>
    </w:p>
    <w:p w14:paraId="3E58EE34" w14:textId="77777777" w:rsidR="00A64E0E" w:rsidRPr="00E27BB3" w:rsidRDefault="00A64E0E" w:rsidP="00E27BB3">
      <w:pPr>
        <w:pStyle w:val="Heading4"/>
      </w:pPr>
      <w:r w:rsidRPr="00E27BB3">
        <w:t>Risk Identification &amp; Assessment</w:t>
      </w:r>
    </w:p>
    <w:p w14:paraId="74B7284A" w14:textId="3B6A5AF4"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Risks </w:t>
      </w:r>
      <w:r w:rsidR="00E50961" w:rsidRPr="00E27BB3">
        <w:rPr>
          <w:rFonts w:ascii="Segoe UI" w:hAnsi="Segoe UI" w:cs="Segoe UI"/>
          <w:color w:val="014171"/>
        </w:rPr>
        <w:t>are</w:t>
      </w:r>
      <w:r w:rsidRPr="00E27BB3">
        <w:rPr>
          <w:rFonts w:ascii="Segoe UI" w:hAnsi="Segoe UI" w:cs="Segoe UI"/>
          <w:color w:val="014171"/>
        </w:rPr>
        <w:t xml:space="preserve"> identified through a series of liquidity and funding risk drivers, such as intra-day liquidity and funding concentration risk.</w:t>
      </w:r>
    </w:p>
    <w:p w14:paraId="7A3008FF" w14:textId="77777777" w:rsidR="001F173B" w:rsidRPr="00E27BB3" w:rsidRDefault="001F173B" w:rsidP="00E27BB3">
      <w:pPr>
        <w:spacing w:after="0"/>
        <w:jc w:val="both"/>
        <w:rPr>
          <w:rFonts w:ascii="Segoe UI" w:hAnsi="Segoe UI" w:cs="Segoe UI"/>
          <w:color w:val="014171"/>
        </w:rPr>
      </w:pPr>
    </w:p>
    <w:p w14:paraId="2D074743" w14:textId="4119A5CA" w:rsidR="00BB66DD" w:rsidRDefault="00A64E0E" w:rsidP="00E27BB3">
      <w:pPr>
        <w:spacing w:after="0"/>
        <w:jc w:val="both"/>
        <w:rPr>
          <w:rFonts w:ascii="Segoe UI" w:hAnsi="Segoe UI" w:cs="Segoe UI"/>
          <w:color w:val="014171"/>
        </w:rPr>
      </w:pPr>
      <w:r w:rsidRPr="00E27BB3">
        <w:rPr>
          <w:rFonts w:ascii="Segoe UI" w:hAnsi="Segoe UI" w:cs="Segoe UI"/>
          <w:color w:val="014171"/>
        </w:rPr>
        <w:t>Risks are assessed on a periodic basis utilising tools and methodologies, such as cash flow and balance sheet size management, as well as contingency funding planning. The main tool for mitigation of liquidity risk in D</w:t>
      </w:r>
      <w:r w:rsidR="00810DB3">
        <w:rPr>
          <w:rFonts w:ascii="Segoe UI" w:hAnsi="Segoe UI" w:cs="Segoe UI"/>
          <w:color w:val="014171"/>
        </w:rPr>
        <w:t>CMD is the Liquid Asset Buffer</w:t>
      </w:r>
      <w:r w:rsidRPr="00E27BB3">
        <w:rPr>
          <w:rFonts w:ascii="Segoe UI" w:hAnsi="Segoe UI" w:cs="Segoe UI"/>
          <w:color w:val="014171"/>
        </w:rPr>
        <w:t>. The LAB is set on the basis of DCMD’s failed trades history is re-calibrated on an annual basis in line with business activity and any changing regulatory requirements.</w:t>
      </w:r>
    </w:p>
    <w:p w14:paraId="38A276FC" w14:textId="44F60414" w:rsidR="00A64E0E" w:rsidRPr="00E27BB3" w:rsidRDefault="00A64E0E" w:rsidP="00E27BB3">
      <w:pPr>
        <w:pStyle w:val="Heading4"/>
      </w:pPr>
      <w:r w:rsidRPr="00E27BB3">
        <w:t>Limits &amp; Exposure Monitoring</w:t>
      </w:r>
    </w:p>
    <w:p w14:paraId="4BBB6DD3" w14:textId="3755F3E0"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A framework of risk limits and early warning indicators has been established in regard to regulatory liquidity requirements as well as the profile of secured and unsecured funding.</w:t>
      </w:r>
    </w:p>
    <w:p w14:paraId="007328AC" w14:textId="77799D62" w:rsidR="000F119A" w:rsidRPr="00E27BB3" w:rsidRDefault="00A64E0E" w:rsidP="00E27BB3">
      <w:pPr>
        <w:spacing w:after="0"/>
        <w:jc w:val="both"/>
        <w:rPr>
          <w:rFonts w:ascii="Segoe UI" w:hAnsi="Segoe UI" w:cs="Segoe UI"/>
          <w:color w:val="014171"/>
        </w:rPr>
      </w:pPr>
      <w:r w:rsidRPr="00E27BB3">
        <w:rPr>
          <w:rFonts w:ascii="Segoe UI" w:hAnsi="Segoe UI" w:cs="Segoe UI"/>
          <w:color w:val="014171"/>
        </w:rPr>
        <w:t>Exposure against all approved limits is calculated on a daily basis. Due to the outsourced Operation function, the intraday custodian liquidity is managed and controlled by DCME Operations, with oversight from DCMD.</w:t>
      </w:r>
    </w:p>
    <w:p w14:paraId="3C34A665" w14:textId="0FC8CFD1" w:rsidR="00A64E0E" w:rsidRPr="00E27BB3" w:rsidRDefault="00A64E0E" w:rsidP="00E27BB3">
      <w:pPr>
        <w:pStyle w:val="Heading4"/>
      </w:pPr>
      <w:r w:rsidRPr="00E27BB3">
        <w:t>Reporting</w:t>
      </w:r>
    </w:p>
    <w:p w14:paraId="4AE047D5" w14:textId="0EEB7DDB" w:rsidR="00A64E0E" w:rsidRDefault="00A64E0E" w:rsidP="00E27BB3">
      <w:pPr>
        <w:spacing w:after="0"/>
        <w:jc w:val="both"/>
        <w:rPr>
          <w:rFonts w:ascii="Segoe UI" w:hAnsi="Segoe UI" w:cs="Segoe UI"/>
          <w:color w:val="014171"/>
        </w:rPr>
      </w:pPr>
      <w:r w:rsidRPr="00E27BB3">
        <w:rPr>
          <w:rFonts w:ascii="Segoe UI" w:hAnsi="Segoe UI" w:cs="Segoe UI"/>
          <w:color w:val="014171"/>
        </w:rPr>
        <w:t>Summary reports are be</w:t>
      </w:r>
      <w:r w:rsidR="00D5055F">
        <w:rPr>
          <w:rFonts w:ascii="Segoe UI" w:hAnsi="Segoe UI" w:cs="Segoe UI"/>
          <w:color w:val="014171"/>
        </w:rPr>
        <w:t>ing</w:t>
      </w:r>
      <w:r w:rsidRPr="00E27BB3">
        <w:rPr>
          <w:rFonts w:ascii="Segoe UI" w:hAnsi="Segoe UI" w:cs="Segoe UI"/>
          <w:color w:val="014171"/>
        </w:rPr>
        <w:t xml:space="preserve"> prepared on a daily basis and distributed to DCMD’s senior management.</w:t>
      </w:r>
    </w:p>
    <w:p w14:paraId="7B47E677" w14:textId="77777777" w:rsidR="001F173B" w:rsidRPr="00E27BB3" w:rsidRDefault="001F173B" w:rsidP="00E27BB3">
      <w:pPr>
        <w:spacing w:after="0"/>
        <w:jc w:val="both"/>
        <w:rPr>
          <w:rFonts w:ascii="Segoe UI" w:hAnsi="Segoe UI" w:cs="Segoe UI"/>
          <w:color w:val="014171"/>
        </w:rPr>
      </w:pPr>
    </w:p>
    <w:p w14:paraId="193099BD" w14:textId="434B5401" w:rsidR="00A64E0E" w:rsidRDefault="00A64E0E" w:rsidP="00E27BB3">
      <w:pPr>
        <w:spacing w:after="0"/>
        <w:jc w:val="both"/>
        <w:rPr>
          <w:rFonts w:ascii="Segoe UI" w:hAnsi="Segoe UI" w:cs="Segoe UI"/>
          <w:color w:val="014171"/>
        </w:rPr>
      </w:pPr>
      <w:r w:rsidRPr="00E27BB3">
        <w:rPr>
          <w:rFonts w:ascii="Segoe UI" w:hAnsi="Segoe UI" w:cs="Segoe UI"/>
          <w:color w:val="014171"/>
        </w:rPr>
        <w:t>Monthly reporting is prepared for the Risk Committee, Executive Committee and Management Board respectively (as applicable).</w:t>
      </w:r>
    </w:p>
    <w:p w14:paraId="3BE27C43" w14:textId="77777777" w:rsidR="001F173B" w:rsidRPr="00E27BB3" w:rsidRDefault="001F173B" w:rsidP="00E27BB3">
      <w:pPr>
        <w:spacing w:after="0"/>
        <w:jc w:val="both"/>
        <w:rPr>
          <w:rFonts w:ascii="Segoe UI" w:hAnsi="Segoe UI" w:cs="Segoe UI"/>
          <w:color w:val="014171"/>
        </w:rPr>
      </w:pPr>
    </w:p>
    <w:p w14:paraId="78869597" w14:textId="3565DC6E" w:rsidR="00A64E0E" w:rsidRDefault="00A64E0E" w:rsidP="00E27BB3">
      <w:pPr>
        <w:spacing w:after="0"/>
        <w:jc w:val="both"/>
        <w:rPr>
          <w:rFonts w:ascii="Segoe UI" w:hAnsi="Segoe UI" w:cs="Segoe UI"/>
          <w:color w:val="014171"/>
        </w:rPr>
      </w:pPr>
      <w:r w:rsidRPr="00E27BB3">
        <w:rPr>
          <w:rFonts w:ascii="Segoe UI" w:hAnsi="Segoe UI" w:cs="Segoe UI"/>
          <w:color w:val="014171"/>
        </w:rPr>
        <w:lastRenderedPageBreak/>
        <w:t>Any limit breaches are escalated as and when they occur in accordance with DCMD’s established processes and procedures.</w:t>
      </w:r>
    </w:p>
    <w:p w14:paraId="1FC63A9C" w14:textId="77777777" w:rsidR="001201B9" w:rsidRPr="00E27BB3" w:rsidRDefault="001201B9" w:rsidP="00E27BB3">
      <w:pPr>
        <w:spacing w:after="0"/>
        <w:jc w:val="both"/>
        <w:rPr>
          <w:rFonts w:ascii="Segoe UI" w:hAnsi="Segoe UI" w:cs="Segoe UI"/>
          <w:color w:val="014171"/>
        </w:rPr>
      </w:pPr>
    </w:p>
    <w:p w14:paraId="5E25A8F5" w14:textId="77777777" w:rsidR="00A64E0E" w:rsidRPr="00E27BB3" w:rsidRDefault="00A64E0E" w:rsidP="00E27BB3">
      <w:pPr>
        <w:pStyle w:val="Heading3"/>
        <w:rPr>
          <w:b w:val="0"/>
        </w:rPr>
      </w:pPr>
      <w:r w:rsidRPr="00E27BB3">
        <w:t>Operational Risk</w:t>
      </w:r>
    </w:p>
    <w:p w14:paraId="65CF9671" w14:textId="77777777" w:rsidR="00A64E0E" w:rsidRPr="00E27BB3" w:rsidRDefault="00A64E0E" w:rsidP="00E27BB3">
      <w:pPr>
        <w:pStyle w:val="Heading4"/>
      </w:pPr>
      <w:r w:rsidRPr="00E27BB3">
        <w:t>Definition</w:t>
      </w:r>
    </w:p>
    <w:p w14:paraId="7385DC64" w14:textId="0F979D9C" w:rsidR="000F119A" w:rsidRPr="00E27BB3" w:rsidRDefault="00A64E0E" w:rsidP="00E27BB3">
      <w:pPr>
        <w:spacing w:after="0"/>
        <w:jc w:val="both"/>
        <w:rPr>
          <w:rFonts w:ascii="Segoe UI" w:hAnsi="Segoe UI" w:cs="Segoe UI"/>
          <w:color w:val="014171"/>
        </w:rPr>
      </w:pPr>
      <w:r w:rsidRPr="00E27BB3">
        <w:rPr>
          <w:rFonts w:ascii="Segoe UI" w:hAnsi="Segoe UI" w:cs="Segoe UI"/>
          <w:color w:val="014171"/>
        </w:rPr>
        <w:t>Operational risk is defined as the risk of losses arising from failed internal processes, people and systems, and from external events. Operational risk notably includes outsourcing &amp; vendor risk, financial crim risk, model and legal risks as material sub-categories.</w:t>
      </w:r>
    </w:p>
    <w:p w14:paraId="0205C9F8" w14:textId="436323AA" w:rsidR="00A64E0E" w:rsidRPr="00E27BB3" w:rsidRDefault="00A64E0E" w:rsidP="00E27BB3">
      <w:pPr>
        <w:pStyle w:val="Heading4"/>
      </w:pPr>
      <w:r w:rsidRPr="00E27BB3">
        <w:t>Strategy</w:t>
      </w:r>
    </w:p>
    <w:p w14:paraId="3321F155" w14:textId="565FB12D" w:rsidR="00A64E0E" w:rsidRDefault="00A64E0E" w:rsidP="00E27BB3">
      <w:pPr>
        <w:spacing w:after="0"/>
        <w:jc w:val="both"/>
        <w:rPr>
          <w:rFonts w:ascii="Segoe UI" w:hAnsi="Segoe UI" w:cs="Segoe UI"/>
          <w:color w:val="014171"/>
        </w:rPr>
      </w:pPr>
      <w:r w:rsidRPr="00E27BB3">
        <w:rPr>
          <w:rFonts w:ascii="Segoe UI" w:hAnsi="Segoe UI" w:cs="Segoe UI"/>
          <w:color w:val="014171"/>
        </w:rPr>
        <w:t>DCMD’s primary aims are the early identification, recording, assessment, monitoring, prevention and mitigation of operational risk, as well as timely and meaningful management reporting.</w:t>
      </w:r>
    </w:p>
    <w:p w14:paraId="3834133D" w14:textId="77777777" w:rsidR="00A64E0E" w:rsidRPr="00E27BB3" w:rsidRDefault="00A64E0E" w:rsidP="00E27BB3">
      <w:pPr>
        <w:pStyle w:val="Heading4"/>
      </w:pPr>
      <w:r w:rsidRPr="00E27BB3">
        <w:t>Risk Identification &amp; Assessment</w:t>
      </w:r>
    </w:p>
    <w:p w14:paraId="40D2CEF8" w14:textId="798C74AD"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 xml:space="preserve">The components of the operational risk framework have been designed to identify risks from both a top-down and bottom-up perspective. The Operational Risk function has a number of tools and methodologies at its disposal to help identify key operational risks to the </w:t>
      </w:r>
      <w:r w:rsidR="00796C55">
        <w:rPr>
          <w:rFonts w:ascii="Segoe UI" w:hAnsi="Segoe UI" w:cs="Segoe UI"/>
          <w:color w:val="014171"/>
        </w:rPr>
        <w:t>F</w:t>
      </w:r>
      <w:r w:rsidRPr="00E27BB3">
        <w:rPr>
          <w:rFonts w:ascii="Segoe UI" w:hAnsi="Segoe UI" w:cs="Segoe UI"/>
          <w:color w:val="014171"/>
        </w:rPr>
        <w:t xml:space="preserve">irm, including scenario analysis, business disruption risk assessment, information security threat analysis, </w:t>
      </w:r>
      <w:r w:rsidR="008749A6" w:rsidRPr="00370CC2">
        <w:rPr>
          <w:rFonts w:ascii="Segoe UI" w:hAnsi="Segoe UI" w:cs="Segoe UI"/>
          <w:color w:val="014171"/>
        </w:rPr>
        <w:t>R</w:t>
      </w:r>
      <w:r w:rsidRPr="00E27BB3">
        <w:rPr>
          <w:rFonts w:ascii="Segoe UI" w:hAnsi="Segoe UI" w:cs="Segoe UI"/>
          <w:color w:val="014171"/>
        </w:rPr>
        <w:t xml:space="preserve">isk &amp; </w:t>
      </w:r>
      <w:r w:rsidR="008749A6" w:rsidRPr="00370CC2">
        <w:rPr>
          <w:rFonts w:ascii="Segoe UI" w:hAnsi="Segoe UI" w:cs="Segoe UI"/>
          <w:color w:val="014171"/>
        </w:rPr>
        <w:t>C</w:t>
      </w:r>
      <w:r w:rsidRPr="00E27BB3">
        <w:rPr>
          <w:rFonts w:ascii="Segoe UI" w:hAnsi="Segoe UI" w:cs="Segoe UI"/>
          <w:color w:val="014171"/>
        </w:rPr>
        <w:t xml:space="preserve">ontrol </w:t>
      </w:r>
      <w:r w:rsidR="008749A6" w:rsidRPr="00370CC2">
        <w:rPr>
          <w:rFonts w:ascii="Segoe UI" w:hAnsi="Segoe UI" w:cs="Segoe UI"/>
          <w:color w:val="014171"/>
        </w:rPr>
        <w:t>S</w:t>
      </w:r>
      <w:r w:rsidRPr="00E27BB3">
        <w:rPr>
          <w:rFonts w:ascii="Segoe UI" w:hAnsi="Segoe UI" w:cs="Segoe UI"/>
          <w:color w:val="014171"/>
        </w:rPr>
        <w:t>elf-</w:t>
      </w:r>
      <w:r w:rsidR="008749A6" w:rsidRPr="00370CC2">
        <w:rPr>
          <w:rFonts w:ascii="Segoe UI" w:hAnsi="Segoe UI" w:cs="Segoe UI"/>
          <w:color w:val="014171"/>
        </w:rPr>
        <w:t>A</w:t>
      </w:r>
      <w:r w:rsidRPr="00E27BB3">
        <w:rPr>
          <w:rFonts w:ascii="Segoe UI" w:hAnsi="Segoe UI" w:cs="Segoe UI"/>
          <w:color w:val="014171"/>
        </w:rPr>
        <w:t>ssessment (</w:t>
      </w:r>
      <w:r w:rsidR="008749A6" w:rsidRPr="00370CC2">
        <w:rPr>
          <w:rFonts w:ascii="Segoe UI" w:hAnsi="Segoe UI" w:cs="Segoe UI"/>
          <w:color w:val="014171"/>
        </w:rPr>
        <w:t>“</w:t>
      </w:r>
      <w:r w:rsidRPr="00E27BB3">
        <w:rPr>
          <w:rFonts w:ascii="Segoe UI" w:hAnsi="Segoe UI" w:cs="Segoe UI"/>
          <w:color w:val="014171"/>
        </w:rPr>
        <w:t>RCSA</w:t>
      </w:r>
      <w:r w:rsidR="008749A6" w:rsidRPr="00370CC2">
        <w:rPr>
          <w:rFonts w:ascii="Segoe UI" w:hAnsi="Segoe UI" w:cs="Segoe UI"/>
          <w:color w:val="014171"/>
        </w:rPr>
        <w:t>”</w:t>
      </w:r>
      <w:r w:rsidRPr="00E27BB3">
        <w:rPr>
          <w:rFonts w:ascii="Segoe UI" w:hAnsi="Segoe UI" w:cs="Segoe UI"/>
          <w:color w:val="014171"/>
        </w:rPr>
        <w:t>), capturing and analysing internal and external risk events (where deemed necessary) and targeted risk reviews.</w:t>
      </w:r>
    </w:p>
    <w:p w14:paraId="725AE8B1" w14:textId="69F4863C" w:rsidR="00A64E0E" w:rsidRDefault="00A64E0E" w:rsidP="00E27BB3">
      <w:pPr>
        <w:spacing w:after="0"/>
        <w:jc w:val="both"/>
        <w:rPr>
          <w:rFonts w:ascii="Segoe UI" w:hAnsi="Segoe UI" w:cs="Segoe UI"/>
          <w:color w:val="014171"/>
        </w:rPr>
      </w:pPr>
      <w:r w:rsidRPr="00E27BB3">
        <w:rPr>
          <w:rFonts w:ascii="Segoe UI" w:hAnsi="Segoe UI" w:cs="Segoe UI"/>
          <w:color w:val="014171"/>
        </w:rPr>
        <w:t>Utilising these tools and methodologies, risks are assessed on a periodic basis based upon a standard probability and impact assessment.</w:t>
      </w:r>
    </w:p>
    <w:p w14:paraId="249DBE05" w14:textId="77777777" w:rsidR="00A64E0E" w:rsidRPr="00E27BB3" w:rsidRDefault="00A64E0E" w:rsidP="00E27BB3">
      <w:pPr>
        <w:pStyle w:val="Heading4"/>
      </w:pPr>
      <w:r w:rsidRPr="00E27BB3">
        <w:t>Limits &amp; Exposure Monitoring</w:t>
      </w:r>
    </w:p>
    <w:p w14:paraId="528F9910" w14:textId="1C64FC4C"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 xml:space="preserve">In comparison to market and credit risk, the sources of operational risk are difficult to identify comprehensively and the amount of risk is also inherently difficult to measure. In this respect, risk mitigation or limitation methods for operational risk vary accordingly. The RAS measures provide a framework for limiting the net risk the </w:t>
      </w:r>
      <w:r w:rsidR="00796C55" w:rsidRPr="00370CC2">
        <w:rPr>
          <w:rFonts w:ascii="Segoe UI" w:hAnsi="Segoe UI" w:cs="Segoe UI"/>
          <w:color w:val="014171"/>
        </w:rPr>
        <w:t>F</w:t>
      </w:r>
      <w:r w:rsidR="00796C55" w:rsidRPr="00E27BB3">
        <w:rPr>
          <w:rFonts w:ascii="Segoe UI" w:hAnsi="Segoe UI" w:cs="Segoe UI"/>
          <w:color w:val="014171"/>
        </w:rPr>
        <w:t xml:space="preserve">irm </w:t>
      </w:r>
      <w:r w:rsidRPr="00E27BB3">
        <w:rPr>
          <w:rFonts w:ascii="Segoe UI" w:hAnsi="Segoe UI" w:cs="Segoe UI"/>
          <w:color w:val="014171"/>
        </w:rPr>
        <w:t>tolerates in relation to operational risks, as assessed through the other components of the framework including the RCSA and Key Performance Indicator (</w:t>
      </w:r>
      <w:r w:rsidR="00C61EE4" w:rsidRPr="00370CC2">
        <w:rPr>
          <w:rFonts w:ascii="Segoe UI" w:hAnsi="Segoe UI" w:cs="Segoe UI"/>
          <w:color w:val="014171"/>
        </w:rPr>
        <w:t>“</w:t>
      </w:r>
      <w:r w:rsidRPr="00E27BB3">
        <w:rPr>
          <w:rFonts w:ascii="Segoe UI" w:hAnsi="Segoe UI" w:cs="Segoe UI"/>
          <w:color w:val="014171"/>
        </w:rPr>
        <w:t>KPI</w:t>
      </w:r>
      <w:r w:rsidR="00C61EE4" w:rsidRPr="00370CC2">
        <w:rPr>
          <w:rFonts w:ascii="Segoe UI" w:hAnsi="Segoe UI" w:cs="Segoe UI"/>
          <w:color w:val="014171"/>
        </w:rPr>
        <w:t>”</w:t>
      </w:r>
      <w:r w:rsidRPr="00E27BB3">
        <w:rPr>
          <w:rFonts w:ascii="Segoe UI" w:hAnsi="Segoe UI" w:cs="Segoe UI"/>
          <w:color w:val="014171"/>
        </w:rPr>
        <w:t>) reports for outsourcing.</w:t>
      </w:r>
    </w:p>
    <w:p w14:paraId="6DA14645" w14:textId="692FB55E" w:rsidR="002F026E" w:rsidRPr="00E27BB3" w:rsidRDefault="00A64E0E" w:rsidP="00E27BB3">
      <w:pPr>
        <w:spacing w:after="0"/>
        <w:jc w:val="both"/>
        <w:rPr>
          <w:rFonts w:ascii="Segoe UI" w:hAnsi="Segoe UI" w:cs="Segoe UI"/>
          <w:color w:val="014171"/>
        </w:rPr>
      </w:pPr>
      <w:r w:rsidRPr="00E27BB3">
        <w:rPr>
          <w:rFonts w:ascii="Segoe UI" w:hAnsi="Segoe UI" w:cs="Segoe UI"/>
          <w:color w:val="014171"/>
        </w:rPr>
        <w:t>Risks in regards to outsourcing are monitored on a monthly basis via an established KPI reporting process and any breaches to the agreed thresholds and service level agreements escalated, as appropriate. Additionally, the RCSA process provides an annual review and monitoring opportunit</w:t>
      </w:r>
      <w:r w:rsidR="006F02AD" w:rsidRPr="00E27BB3">
        <w:rPr>
          <w:rFonts w:ascii="Segoe UI" w:hAnsi="Segoe UI" w:cs="Segoe UI"/>
          <w:color w:val="014171"/>
        </w:rPr>
        <w:t>y for the key risks identified.</w:t>
      </w:r>
    </w:p>
    <w:p w14:paraId="2F9B8967" w14:textId="3BE57AB5" w:rsidR="00A64E0E" w:rsidRPr="00E27BB3" w:rsidRDefault="00A64E0E" w:rsidP="00E27BB3">
      <w:pPr>
        <w:pStyle w:val="Heading4"/>
      </w:pPr>
      <w:r w:rsidRPr="00E27BB3">
        <w:t>Reporting</w:t>
      </w:r>
    </w:p>
    <w:p w14:paraId="7CF30809" w14:textId="0C9AE6AA"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Monthly reporting is prepared for the Risk Committee providing qualitative and quantitative operational risk information including details about notable risk events/losses, operational risk </w:t>
      </w:r>
      <w:r w:rsidRPr="00E27BB3">
        <w:rPr>
          <w:rFonts w:ascii="Segoe UI" w:hAnsi="Segoe UI" w:cs="Segoe UI"/>
          <w:color w:val="014171"/>
        </w:rPr>
        <w:lastRenderedPageBreak/>
        <w:t>RAS measures as well as outsourcing performance measured against agreed KPIs (including details of breaches).</w:t>
      </w:r>
    </w:p>
    <w:p w14:paraId="2D8FB7B7" w14:textId="77777777" w:rsidR="001F173B" w:rsidRPr="00E27BB3" w:rsidRDefault="001F173B" w:rsidP="00E27BB3">
      <w:pPr>
        <w:spacing w:after="0"/>
        <w:jc w:val="both"/>
        <w:rPr>
          <w:rFonts w:ascii="Segoe UI" w:hAnsi="Segoe UI" w:cs="Segoe UI"/>
          <w:color w:val="014171"/>
        </w:rPr>
      </w:pPr>
    </w:p>
    <w:p w14:paraId="12883663" w14:textId="77777777"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Additionally, any operational risk incidents are reported as and when they arise in line with the reporting process formalised and documented in DCMD’s policies and procedures.</w:t>
      </w:r>
    </w:p>
    <w:p w14:paraId="6777FFE4" w14:textId="77777777" w:rsidR="006F02AD" w:rsidRPr="00E27BB3" w:rsidRDefault="006F02AD" w:rsidP="00E27BB3">
      <w:pPr>
        <w:spacing w:after="0"/>
        <w:jc w:val="both"/>
        <w:rPr>
          <w:rFonts w:ascii="Segoe UI" w:hAnsi="Segoe UI" w:cs="Segoe UI"/>
          <w:color w:val="014171"/>
        </w:rPr>
      </w:pPr>
    </w:p>
    <w:p w14:paraId="0E9B23D9" w14:textId="5E57C045" w:rsidR="00A64E0E" w:rsidRPr="00E27BB3" w:rsidRDefault="00A64E0E" w:rsidP="00E27BB3">
      <w:pPr>
        <w:pStyle w:val="Heading3"/>
        <w:rPr>
          <w:b w:val="0"/>
        </w:rPr>
      </w:pPr>
      <w:r w:rsidRPr="00E27BB3">
        <w:t>Conduct Risk</w:t>
      </w:r>
    </w:p>
    <w:p w14:paraId="70BAF1ED" w14:textId="77777777" w:rsidR="00A64E0E" w:rsidRPr="00E27BB3" w:rsidRDefault="00A64E0E" w:rsidP="00E27BB3">
      <w:pPr>
        <w:pStyle w:val="Heading4"/>
      </w:pPr>
      <w:r w:rsidRPr="00E27BB3">
        <w:t>Definition</w:t>
      </w:r>
    </w:p>
    <w:p w14:paraId="6171E653" w14:textId="3830FB3B" w:rsidR="000F119A" w:rsidRPr="00E27BB3" w:rsidRDefault="006D4DA9" w:rsidP="00E27BB3">
      <w:pPr>
        <w:spacing w:after="0"/>
        <w:jc w:val="both"/>
        <w:rPr>
          <w:rFonts w:ascii="Segoe UI" w:hAnsi="Segoe UI" w:cs="Segoe UI"/>
          <w:color w:val="014171"/>
        </w:rPr>
      </w:pPr>
      <w:r w:rsidRPr="006D4DA9">
        <w:rPr>
          <w:rFonts w:ascii="Segoe UI" w:hAnsi="Segoe UI" w:cs="Segoe UI"/>
          <w:color w:val="014171"/>
        </w:rPr>
        <w:t xml:space="preserve">Conduct Risk </w:t>
      </w:r>
      <w:r>
        <w:rPr>
          <w:rFonts w:ascii="Segoe UI" w:hAnsi="Segoe UI" w:cs="Segoe UI"/>
          <w:color w:val="014171"/>
        </w:rPr>
        <w:t xml:space="preserve">is defined as </w:t>
      </w:r>
      <w:r w:rsidRPr="006D4DA9">
        <w:rPr>
          <w:rFonts w:ascii="Segoe UI" w:hAnsi="Segoe UI" w:cs="Segoe UI"/>
          <w:color w:val="014171"/>
        </w:rPr>
        <w:t xml:space="preserve">the risk that the behaviour of employees or the firm itself causes detriment to clients, counterparties or to the integrity of </w:t>
      </w:r>
      <w:r>
        <w:rPr>
          <w:rFonts w:ascii="Segoe UI" w:hAnsi="Segoe UI" w:cs="Segoe UI"/>
          <w:color w:val="014171"/>
        </w:rPr>
        <w:t>the markets where DCMD operates</w:t>
      </w:r>
      <w:r w:rsidRPr="006D4DA9">
        <w:rPr>
          <w:rFonts w:ascii="Segoe UI" w:hAnsi="Segoe UI" w:cs="Segoe UI"/>
          <w:color w:val="014171"/>
        </w:rPr>
        <w:t>.</w:t>
      </w:r>
    </w:p>
    <w:p w14:paraId="05D93F27" w14:textId="77777777" w:rsidR="00A64E0E" w:rsidRPr="00E27BB3" w:rsidRDefault="00A64E0E" w:rsidP="00E27BB3">
      <w:pPr>
        <w:pStyle w:val="Heading4"/>
      </w:pPr>
      <w:r w:rsidRPr="00E27BB3">
        <w:t>Strategy</w:t>
      </w:r>
    </w:p>
    <w:p w14:paraId="3A9D9DF1" w14:textId="4A22E930" w:rsidR="000F119A" w:rsidRPr="00E27BB3" w:rsidRDefault="00A64E0E" w:rsidP="00E27BB3">
      <w:pPr>
        <w:spacing w:after="0"/>
        <w:jc w:val="both"/>
        <w:rPr>
          <w:rFonts w:ascii="Segoe UI" w:hAnsi="Segoe UI" w:cs="Segoe UI"/>
          <w:color w:val="014171"/>
        </w:rPr>
      </w:pPr>
      <w:r w:rsidRPr="00E27BB3">
        <w:rPr>
          <w:rFonts w:ascii="Segoe UI" w:hAnsi="Segoe UI" w:cs="Segoe UI"/>
          <w:color w:val="014171"/>
        </w:rPr>
        <w:t>Conduct Risk is inherent in most aspects of DCMD’s activities, however DCMD seeks to avoid conduct risk and have preventative measures in place to mitigate against conduct risk.</w:t>
      </w:r>
    </w:p>
    <w:p w14:paraId="2EDE5300" w14:textId="77777777" w:rsidR="00A64E0E" w:rsidRPr="00E27BB3" w:rsidRDefault="00A64E0E" w:rsidP="00E27BB3">
      <w:pPr>
        <w:pStyle w:val="Heading4"/>
      </w:pPr>
      <w:r w:rsidRPr="00E27BB3">
        <w:t>Risk Identification &amp; Assessment</w:t>
      </w:r>
    </w:p>
    <w:p w14:paraId="2222FB26" w14:textId="3858BFB6"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 xml:space="preserve">DCMD utilises a number of tools and methodologies to help identify (potential) conduct risk within the </w:t>
      </w:r>
      <w:r w:rsidR="00796C55">
        <w:rPr>
          <w:rFonts w:ascii="Segoe UI" w:hAnsi="Segoe UI" w:cs="Segoe UI"/>
          <w:color w:val="014171"/>
        </w:rPr>
        <w:t>F</w:t>
      </w:r>
      <w:r w:rsidRPr="00E27BB3">
        <w:rPr>
          <w:rFonts w:ascii="Segoe UI" w:hAnsi="Segoe UI" w:cs="Segoe UI"/>
          <w:color w:val="014171"/>
        </w:rPr>
        <w:t>irm including pre-employment staff screening, trade surveillance and monitoring of electronic communications.</w:t>
      </w:r>
    </w:p>
    <w:p w14:paraId="3309939B" w14:textId="323D9519"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The collection, reporting and analysis of internal conduct risk events data enables the </w:t>
      </w:r>
      <w:r w:rsidR="00796C55">
        <w:rPr>
          <w:rFonts w:ascii="Segoe UI" w:hAnsi="Segoe UI" w:cs="Segoe UI"/>
          <w:color w:val="014171"/>
        </w:rPr>
        <w:t>F</w:t>
      </w:r>
      <w:r w:rsidR="00796C55" w:rsidRPr="00E27BB3">
        <w:rPr>
          <w:rFonts w:ascii="Segoe UI" w:hAnsi="Segoe UI" w:cs="Segoe UI"/>
          <w:color w:val="014171"/>
        </w:rPr>
        <w:t xml:space="preserve">irm </w:t>
      </w:r>
      <w:r w:rsidRPr="00E27BB3">
        <w:rPr>
          <w:rFonts w:ascii="Segoe UI" w:hAnsi="Segoe UI" w:cs="Segoe UI"/>
          <w:color w:val="014171"/>
        </w:rPr>
        <w:t xml:space="preserve">to identify weak controls, ineffective processes or activities and ensures that the </w:t>
      </w:r>
      <w:r w:rsidR="00796C55">
        <w:rPr>
          <w:rFonts w:ascii="Segoe UI" w:hAnsi="Segoe UI" w:cs="Segoe UI"/>
          <w:color w:val="014171"/>
        </w:rPr>
        <w:t>F</w:t>
      </w:r>
      <w:r w:rsidRPr="00E27BB3">
        <w:rPr>
          <w:rFonts w:ascii="Segoe UI" w:hAnsi="Segoe UI" w:cs="Segoe UI"/>
          <w:color w:val="014171"/>
        </w:rPr>
        <w:t>irm takes appropriate and mitigating action.</w:t>
      </w:r>
    </w:p>
    <w:p w14:paraId="117080FF" w14:textId="77777777" w:rsidR="00A64E0E" w:rsidRPr="00E27BB3" w:rsidRDefault="00A64E0E" w:rsidP="00E27BB3">
      <w:pPr>
        <w:pStyle w:val="Heading4"/>
      </w:pPr>
      <w:r w:rsidRPr="00E27BB3">
        <w:t>Limits &amp; Exposure Monitoring</w:t>
      </w:r>
    </w:p>
    <w:p w14:paraId="24116864" w14:textId="7F8DAEC1"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 xml:space="preserve">In comparison to market and credit risk, the sources of conduct risk are difficult to identify comprehensively and the amount of risk is also inherently difficult to measure. In this respect, risk mitigation or limitation methods for conduct risk vary accordingly. The RAS measures provide a framework for limiting the net risk the </w:t>
      </w:r>
      <w:r w:rsidR="00796C55">
        <w:rPr>
          <w:rFonts w:ascii="Segoe UI" w:hAnsi="Segoe UI" w:cs="Segoe UI"/>
          <w:color w:val="014171"/>
        </w:rPr>
        <w:t>F</w:t>
      </w:r>
      <w:r w:rsidRPr="00E27BB3">
        <w:rPr>
          <w:rFonts w:ascii="Segoe UI" w:hAnsi="Segoe UI" w:cs="Segoe UI"/>
          <w:color w:val="014171"/>
        </w:rPr>
        <w:t>irm will tolerate in relation to conduct risk.</w:t>
      </w:r>
    </w:p>
    <w:p w14:paraId="4ADE8F2E" w14:textId="77777777"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Conduct risk events are captured, reported and mitigated as they arise. Mitigation will consider enhancement of both first line of defence (operational) processes and second line of defence risk management processes.</w:t>
      </w:r>
    </w:p>
    <w:p w14:paraId="5727C328" w14:textId="77777777" w:rsidR="00A64E0E" w:rsidRPr="00E27BB3" w:rsidRDefault="00A64E0E" w:rsidP="00E27BB3">
      <w:pPr>
        <w:pStyle w:val="Heading4"/>
      </w:pPr>
      <w:r w:rsidRPr="00E27BB3">
        <w:t>Reporting</w:t>
      </w:r>
    </w:p>
    <w:p w14:paraId="05EA41E4" w14:textId="42DECCDE"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The conduct risk report forms part of the monthly reporting at the Risk and Executive Committee. The report provides qualitative and quantitative conduct risk information, including details of notable conduct risk events and the historic development of the number conduct risk incidents.</w:t>
      </w:r>
    </w:p>
    <w:p w14:paraId="78662E0C" w14:textId="77777777" w:rsidR="002F026E" w:rsidRPr="00E27BB3" w:rsidRDefault="002F026E" w:rsidP="00E27BB3">
      <w:pPr>
        <w:spacing w:after="0"/>
        <w:jc w:val="both"/>
        <w:rPr>
          <w:rFonts w:ascii="Segoe UI" w:hAnsi="Segoe UI" w:cs="Segoe UI"/>
          <w:color w:val="014171"/>
        </w:rPr>
      </w:pPr>
    </w:p>
    <w:p w14:paraId="06EE7B02" w14:textId="77777777" w:rsidR="00A64E0E" w:rsidRPr="00FA2278" w:rsidRDefault="00A64E0E" w:rsidP="00E27BB3">
      <w:pPr>
        <w:pStyle w:val="Heading3"/>
      </w:pPr>
      <w:r w:rsidRPr="00FA2278">
        <w:lastRenderedPageBreak/>
        <w:t>Other Material Risks</w:t>
      </w:r>
    </w:p>
    <w:p w14:paraId="05F1B187" w14:textId="77777777" w:rsidR="00A64E0E" w:rsidRPr="00E27BB3" w:rsidRDefault="00A64E0E" w:rsidP="00E27BB3">
      <w:pPr>
        <w:pStyle w:val="Heading4"/>
      </w:pPr>
      <w:r w:rsidRPr="00E27BB3">
        <w:t>Definition</w:t>
      </w:r>
    </w:p>
    <w:p w14:paraId="769CB609" w14:textId="37BB3017" w:rsidR="001201B9" w:rsidRDefault="00A64E0E" w:rsidP="00E27BB3">
      <w:pPr>
        <w:spacing w:after="0"/>
        <w:jc w:val="both"/>
        <w:rPr>
          <w:rFonts w:ascii="Segoe UI" w:hAnsi="Segoe UI" w:cs="Segoe UI"/>
          <w:color w:val="014171"/>
        </w:rPr>
      </w:pPr>
      <w:r w:rsidRPr="00E27BB3">
        <w:rPr>
          <w:rFonts w:ascii="Segoe UI" w:hAnsi="Segoe UI" w:cs="Segoe UI"/>
          <w:color w:val="014171"/>
        </w:rPr>
        <w:t>The other material risks section comprises risk types which have been identified as material to DCMD but which are not already included in any of the above categories. These are:</w:t>
      </w:r>
    </w:p>
    <w:p w14:paraId="2330ABDD" w14:textId="77777777" w:rsidR="00D97521" w:rsidRPr="00E27BB3" w:rsidRDefault="00D97521" w:rsidP="00E27BB3">
      <w:pPr>
        <w:spacing w:after="0"/>
        <w:jc w:val="both"/>
        <w:rPr>
          <w:rFonts w:ascii="Segoe UI" w:hAnsi="Segoe UI" w:cs="Segoe UI"/>
          <w:color w:val="014171"/>
        </w:rPr>
      </w:pPr>
    </w:p>
    <w:p w14:paraId="05435351" w14:textId="77777777" w:rsidR="00A64E0E" w:rsidRPr="00E27BB3" w:rsidRDefault="00A64E0E" w:rsidP="00E27BB3">
      <w:pPr>
        <w:pStyle w:val="ListParagraph"/>
        <w:numPr>
          <w:ilvl w:val="0"/>
          <w:numId w:val="60"/>
        </w:numPr>
        <w:spacing w:after="0"/>
        <w:jc w:val="both"/>
        <w:rPr>
          <w:rFonts w:ascii="Segoe UI" w:hAnsi="Segoe UI" w:cs="Segoe UI"/>
          <w:color w:val="014171"/>
        </w:rPr>
      </w:pPr>
      <w:r w:rsidRPr="00E27BB3">
        <w:rPr>
          <w:rFonts w:ascii="Segoe UI" w:hAnsi="Segoe UI" w:cs="Segoe UI"/>
          <w:color w:val="014171"/>
        </w:rPr>
        <w:t>Group Risk</w:t>
      </w:r>
    </w:p>
    <w:p w14:paraId="02DFFDE8" w14:textId="77777777" w:rsidR="00A64E0E" w:rsidRPr="00E27BB3" w:rsidRDefault="00A64E0E" w:rsidP="00E27BB3">
      <w:pPr>
        <w:pStyle w:val="ListParagraph"/>
        <w:numPr>
          <w:ilvl w:val="0"/>
          <w:numId w:val="60"/>
        </w:numPr>
        <w:spacing w:after="0"/>
        <w:jc w:val="both"/>
        <w:rPr>
          <w:rFonts w:ascii="Segoe UI" w:hAnsi="Segoe UI" w:cs="Segoe UI"/>
          <w:color w:val="014171"/>
        </w:rPr>
      </w:pPr>
      <w:r w:rsidRPr="00E27BB3">
        <w:rPr>
          <w:rFonts w:ascii="Segoe UI" w:hAnsi="Segoe UI" w:cs="Segoe UI"/>
          <w:color w:val="014171"/>
        </w:rPr>
        <w:t>Capital Risk</w:t>
      </w:r>
    </w:p>
    <w:p w14:paraId="661C5896" w14:textId="77777777" w:rsidR="00A64E0E" w:rsidRPr="00E27BB3" w:rsidRDefault="00A64E0E" w:rsidP="00E27BB3">
      <w:pPr>
        <w:pStyle w:val="ListParagraph"/>
        <w:numPr>
          <w:ilvl w:val="0"/>
          <w:numId w:val="60"/>
        </w:numPr>
        <w:spacing w:after="0"/>
        <w:jc w:val="both"/>
        <w:rPr>
          <w:rFonts w:ascii="Segoe UI" w:hAnsi="Segoe UI" w:cs="Segoe UI"/>
          <w:color w:val="014171"/>
        </w:rPr>
      </w:pPr>
      <w:r w:rsidRPr="00E27BB3">
        <w:rPr>
          <w:rFonts w:ascii="Segoe UI" w:hAnsi="Segoe UI" w:cs="Segoe UI"/>
          <w:color w:val="014171"/>
        </w:rPr>
        <w:t>Business Risk</w:t>
      </w:r>
    </w:p>
    <w:p w14:paraId="687F723F" w14:textId="77777777" w:rsidR="00A64E0E" w:rsidRPr="00E27BB3" w:rsidRDefault="00A64E0E" w:rsidP="00E27BB3">
      <w:pPr>
        <w:pStyle w:val="ListParagraph"/>
        <w:numPr>
          <w:ilvl w:val="0"/>
          <w:numId w:val="60"/>
        </w:numPr>
        <w:spacing w:after="0"/>
        <w:jc w:val="both"/>
        <w:rPr>
          <w:rFonts w:ascii="Segoe UI" w:hAnsi="Segoe UI" w:cs="Segoe UI"/>
          <w:color w:val="014171"/>
        </w:rPr>
      </w:pPr>
      <w:r w:rsidRPr="00E27BB3">
        <w:rPr>
          <w:rFonts w:ascii="Segoe UI" w:hAnsi="Segoe UI" w:cs="Segoe UI"/>
          <w:color w:val="014171"/>
        </w:rPr>
        <w:t>Regulatory Compliance Risk</w:t>
      </w:r>
    </w:p>
    <w:p w14:paraId="7C4EC01D" w14:textId="77777777" w:rsidR="00A64E0E" w:rsidRPr="00E27BB3" w:rsidRDefault="00A64E0E" w:rsidP="00E27BB3">
      <w:pPr>
        <w:pStyle w:val="ListParagraph"/>
        <w:numPr>
          <w:ilvl w:val="0"/>
          <w:numId w:val="60"/>
        </w:numPr>
        <w:spacing w:after="0"/>
        <w:jc w:val="both"/>
        <w:rPr>
          <w:rFonts w:ascii="Segoe UI" w:hAnsi="Segoe UI" w:cs="Segoe UI"/>
          <w:color w:val="014171"/>
        </w:rPr>
      </w:pPr>
      <w:r w:rsidRPr="00E27BB3">
        <w:rPr>
          <w:rFonts w:ascii="Segoe UI" w:hAnsi="Segoe UI" w:cs="Segoe UI"/>
          <w:color w:val="014171"/>
        </w:rPr>
        <w:t>Governance Risk</w:t>
      </w:r>
    </w:p>
    <w:p w14:paraId="4EEC1F0A" w14:textId="3B45F23D" w:rsidR="00D97521" w:rsidRDefault="00A64E0E" w:rsidP="00D97521">
      <w:pPr>
        <w:pStyle w:val="ListParagraph"/>
        <w:numPr>
          <w:ilvl w:val="0"/>
          <w:numId w:val="60"/>
        </w:numPr>
        <w:spacing w:after="0"/>
        <w:jc w:val="both"/>
        <w:rPr>
          <w:rFonts w:ascii="Segoe UI" w:hAnsi="Segoe UI" w:cs="Segoe UI"/>
          <w:color w:val="014171"/>
        </w:rPr>
      </w:pPr>
      <w:r w:rsidRPr="00E27BB3">
        <w:rPr>
          <w:rFonts w:ascii="Segoe UI" w:hAnsi="Segoe UI" w:cs="Segoe UI"/>
          <w:color w:val="014171"/>
        </w:rPr>
        <w:t>Reputational Risk</w:t>
      </w:r>
    </w:p>
    <w:p w14:paraId="056AD5DF" w14:textId="77777777" w:rsidR="00D97521" w:rsidRPr="00D97521" w:rsidRDefault="00D97521" w:rsidP="00D97521">
      <w:pPr>
        <w:spacing w:after="0"/>
        <w:jc w:val="both"/>
        <w:rPr>
          <w:rFonts w:ascii="Segoe UI" w:hAnsi="Segoe UI" w:cs="Segoe UI"/>
          <w:color w:val="014171"/>
        </w:rPr>
      </w:pPr>
    </w:p>
    <w:p w14:paraId="7DA2A471" w14:textId="77777777" w:rsidR="00A64E0E" w:rsidRPr="00E27BB3" w:rsidRDefault="00A64E0E" w:rsidP="00E27BB3">
      <w:pPr>
        <w:pStyle w:val="Heading4"/>
      </w:pPr>
      <w:r w:rsidRPr="00E27BB3">
        <w:t>Group Risk</w:t>
      </w:r>
    </w:p>
    <w:p w14:paraId="61B889A2" w14:textId="6156B4F0" w:rsidR="001F173B" w:rsidRDefault="00A64E0E" w:rsidP="00E27BB3">
      <w:pPr>
        <w:spacing w:after="0"/>
        <w:jc w:val="both"/>
        <w:rPr>
          <w:rFonts w:ascii="Segoe UI" w:hAnsi="Segoe UI" w:cs="Segoe UI"/>
          <w:color w:val="014171"/>
        </w:rPr>
      </w:pPr>
      <w:r w:rsidRPr="00E27BB3">
        <w:rPr>
          <w:rFonts w:ascii="Segoe UI" w:hAnsi="Segoe UI" w:cs="Segoe UI"/>
          <w:color w:val="014171"/>
        </w:rPr>
        <w:t>Group Risk is the risk arising from being a member of the Daiwa Group with all the advantages and possible disadvantages.</w:t>
      </w:r>
    </w:p>
    <w:p w14:paraId="56684E5A" w14:textId="77777777" w:rsidR="00D97521" w:rsidRPr="00E27BB3" w:rsidRDefault="00D97521" w:rsidP="00E27BB3">
      <w:pPr>
        <w:spacing w:after="0"/>
        <w:jc w:val="both"/>
        <w:rPr>
          <w:rFonts w:ascii="Segoe UI" w:hAnsi="Segoe UI" w:cs="Segoe UI"/>
          <w:color w:val="014171"/>
        </w:rPr>
      </w:pPr>
    </w:p>
    <w:p w14:paraId="779C445C" w14:textId="34CF5824" w:rsidR="00A64E0E" w:rsidRDefault="00A64E0E" w:rsidP="00E27BB3">
      <w:pPr>
        <w:spacing w:after="0"/>
        <w:jc w:val="both"/>
        <w:rPr>
          <w:rFonts w:ascii="Segoe UI" w:hAnsi="Segoe UI" w:cs="Segoe UI"/>
          <w:color w:val="014171"/>
        </w:rPr>
      </w:pPr>
      <w:r w:rsidRPr="00E27BB3">
        <w:rPr>
          <w:rFonts w:ascii="Segoe UI" w:hAnsi="Segoe UI" w:cs="Segoe UI"/>
          <w:color w:val="014171"/>
        </w:rPr>
        <w:t>Group risk is limited and managed through a combination of controls including:</w:t>
      </w:r>
    </w:p>
    <w:p w14:paraId="11752E4E" w14:textId="77777777" w:rsidR="00D97521" w:rsidRPr="00E27BB3" w:rsidRDefault="00D97521" w:rsidP="00E27BB3">
      <w:pPr>
        <w:spacing w:after="0"/>
        <w:jc w:val="both"/>
        <w:rPr>
          <w:rFonts w:ascii="Segoe UI" w:hAnsi="Segoe UI" w:cs="Segoe UI"/>
          <w:color w:val="014171"/>
        </w:rPr>
      </w:pPr>
    </w:p>
    <w:p w14:paraId="40F78125" w14:textId="77777777" w:rsidR="00A64E0E" w:rsidRPr="00E27BB3" w:rsidRDefault="00A64E0E" w:rsidP="00E27BB3">
      <w:pPr>
        <w:pStyle w:val="ListParagraph"/>
        <w:numPr>
          <w:ilvl w:val="0"/>
          <w:numId w:val="62"/>
        </w:numPr>
        <w:spacing w:after="0"/>
        <w:jc w:val="both"/>
        <w:rPr>
          <w:rFonts w:ascii="Segoe UI" w:hAnsi="Segoe UI" w:cs="Segoe UI"/>
          <w:color w:val="014171"/>
        </w:rPr>
      </w:pPr>
      <w:r w:rsidRPr="00E27BB3">
        <w:rPr>
          <w:rFonts w:ascii="Segoe UI" w:hAnsi="Segoe UI" w:cs="Segoe UI"/>
          <w:color w:val="014171"/>
        </w:rPr>
        <w:t>DCMD has independent governance and decision-making.</w:t>
      </w:r>
    </w:p>
    <w:p w14:paraId="72224EDE" w14:textId="77777777" w:rsidR="00A64E0E" w:rsidRPr="00E27BB3" w:rsidRDefault="00A64E0E" w:rsidP="00E27BB3">
      <w:pPr>
        <w:pStyle w:val="ListParagraph"/>
        <w:numPr>
          <w:ilvl w:val="0"/>
          <w:numId w:val="62"/>
        </w:numPr>
        <w:spacing w:after="0"/>
        <w:jc w:val="both"/>
        <w:rPr>
          <w:rFonts w:ascii="Segoe UI" w:hAnsi="Segoe UI" w:cs="Segoe UI"/>
          <w:color w:val="014171"/>
        </w:rPr>
      </w:pPr>
      <w:r w:rsidRPr="00E27BB3">
        <w:rPr>
          <w:rFonts w:ascii="Segoe UI" w:hAnsi="Segoe UI" w:cs="Segoe UI"/>
          <w:color w:val="014171"/>
        </w:rPr>
        <w:t>DCMD’s capital resources, capital and liquidity adequacy are ensured on a standalone basis, and sufficient to ensure an orderly wind-down of the entity without the need for group support.</w:t>
      </w:r>
    </w:p>
    <w:p w14:paraId="2938801A" w14:textId="77777777" w:rsidR="00A64E0E" w:rsidRPr="00E27BB3" w:rsidRDefault="00A64E0E" w:rsidP="00E27BB3">
      <w:pPr>
        <w:pStyle w:val="ListParagraph"/>
        <w:numPr>
          <w:ilvl w:val="0"/>
          <w:numId w:val="62"/>
        </w:numPr>
        <w:spacing w:after="0"/>
        <w:jc w:val="both"/>
        <w:rPr>
          <w:rFonts w:ascii="Segoe UI" w:hAnsi="Segoe UI" w:cs="Segoe UI"/>
          <w:color w:val="014171"/>
        </w:rPr>
      </w:pPr>
      <w:r w:rsidRPr="00E27BB3">
        <w:rPr>
          <w:rFonts w:ascii="Segoe UI" w:hAnsi="Segoe UI" w:cs="Segoe UI"/>
          <w:color w:val="014171"/>
        </w:rPr>
        <w:t>Group dependency is considered when assessing risks to DCMD’s business for stress testing purposes.</w:t>
      </w:r>
    </w:p>
    <w:p w14:paraId="77973D2F" w14:textId="02DC0CB0" w:rsidR="00A64E0E" w:rsidRDefault="00A64E0E" w:rsidP="00E27BB3">
      <w:pPr>
        <w:pStyle w:val="ListParagraph"/>
        <w:numPr>
          <w:ilvl w:val="0"/>
          <w:numId w:val="62"/>
        </w:numPr>
        <w:spacing w:after="0"/>
        <w:jc w:val="both"/>
        <w:rPr>
          <w:rFonts w:ascii="Segoe UI" w:hAnsi="Segoe UI" w:cs="Segoe UI"/>
          <w:color w:val="014171"/>
        </w:rPr>
      </w:pPr>
      <w:r w:rsidRPr="00E27BB3">
        <w:rPr>
          <w:rFonts w:ascii="Segoe UI" w:hAnsi="Segoe UI" w:cs="Segoe UI"/>
          <w:color w:val="014171"/>
        </w:rPr>
        <w:t>Formal outsourcing control processes have been established to manage risks arising from associated services provided by the parent company.</w:t>
      </w:r>
    </w:p>
    <w:p w14:paraId="4EDF68F8" w14:textId="77777777" w:rsidR="00D97521" w:rsidRPr="00D97521" w:rsidRDefault="00D97521" w:rsidP="00D97521">
      <w:pPr>
        <w:spacing w:after="0"/>
        <w:jc w:val="both"/>
        <w:rPr>
          <w:rFonts w:ascii="Segoe UI" w:hAnsi="Segoe UI" w:cs="Segoe UI"/>
          <w:color w:val="014171"/>
        </w:rPr>
      </w:pPr>
    </w:p>
    <w:p w14:paraId="7A118D66" w14:textId="77777777" w:rsidR="00A64E0E" w:rsidRPr="00E27BB3" w:rsidRDefault="00A64E0E" w:rsidP="00E27BB3">
      <w:pPr>
        <w:pStyle w:val="Heading4"/>
      </w:pPr>
      <w:r w:rsidRPr="00E27BB3">
        <w:t>Capital Risk</w:t>
      </w:r>
    </w:p>
    <w:p w14:paraId="0E6A7A18" w14:textId="77777777"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Capital risk is defined as the risk of capital depletion resulting from losses or requirements to repatriate to group, resulting in insufficient resources to continue normal business activities.</w:t>
      </w:r>
    </w:p>
    <w:p w14:paraId="0740BFF8" w14:textId="77777777" w:rsidR="00D97521" w:rsidRDefault="00D97521" w:rsidP="00E27BB3">
      <w:pPr>
        <w:spacing w:after="0"/>
        <w:jc w:val="both"/>
        <w:rPr>
          <w:rFonts w:ascii="Segoe UI" w:hAnsi="Segoe UI" w:cs="Segoe UI"/>
          <w:color w:val="014171"/>
        </w:rPr>
      </w:pPr>
    </w:p>
    <w:p w14:paraId="25DAAB89" w14:textId="31A9479D" w:rsidR="00A64E0E" w:rsidRDefault="00A64E0E" w:rsidP="00E27BB3">
      <w:pPr>
        <w:spacing w:after="0"/>
        <w:jc w:val="both"/>
        <w:rPr>
          <w:rFonts w:ascii="Segoe UI" w:hAnsi="Segoe UI" w:cs="Segoe UI"/>
          <w:color w:val="014171"/>
        </w:rPr>
      </w:pPr>
      <w:r w:rsidRPr="00E27BB3">
        <w:rPr>
          <w:rFonts w:ascii="Segoe UI" w:hAnsi="Segoe UI" w:cs="Segoe UI"/>
          <w:color w:val="014171"/>
        </w:rPr>
        <w:t>Capital risk is limited and managed through a combination of controls and DCMD ensures adequate capital resources through:</w:t>
      </w:r>
    </w:p>
    <w:p w14:paraId="462D2355" w14:textId="77777777" w:rsidR="00D97521" w:rsidRPr="00E27BB3" w:rsidRDefault="00D97521" w:rsidP="00E27BB3">
      <w:pPr>
        <w:spacing w:after="0"/>
        <w:jc w:val="both"/>
        <w:rPr>
          <w:rFonts w:ascii="Segoe UI" w:hAnsi="Segoe UI" w:cs="Segoe UI"/>
          <w:color w:val="014171"/>
        </w:rPr>
      </w:pPr>
    </w:p>
    <w:p w14:paraId="50F35ED1" w14:textId="46466B83" w:rsidR="00A64E0E" w:rsidRPr="00E27BB3" w:rsidRDefault="00A64E0E" w:rsidP="00E27BB3">
      <w:pPr>
        <w:pStyle w:val="ListParagraph"/>
        <w:numPr>
          <w:ilvl w:val="0"/>
          <w:numId w:val="64"/>
        </w:numPr>
        <w:spacing w:after="0"/>
        <w:jc w:val="both"/>
        <w:rPr>
          <w:rFonts w:ascii="Segoe UI" w:hAnsi="Segoe UI" w:cs="Segoe UI"/>
          <w:color w:val="014171"/>
        </w:rPr>
      </w:pPr>
      <w:r w:rsidRPr="00E27BB3">
        <w:rPr>
          <w:rFonts w:ascii="Segoe UI" w:hAnsi="Segoe UI" w:cs="Segoe UI"/>
          <w:color w:val="014171"/>
        </w:rPr>
        <w:t xml:space="preserve">Prudent assessment of internal capital requirements within </w:t>
      </w:r>
      <w:r w:rsidR="00C61EE4" w:rsidRPr="00370CC2">
        <w:rPr>
          <w:rFonts w:ascii="Segoe UI" w:hAnsi="Segoe UI" w:cs="Segoe UI"/>
          <w:color w:val="014171"/>
        </w:rPr>
        <w:t>the Internal Capital Adequacy Assessment Process (“</w:t>
      </w:r>
      <w:r w:rsidRPr="00E27BB3">
        <w:rPr>
          <w:rFonts w:ascii="Segoe UI" w:hAnsi="Segoe UI" w:cs="Segoe UI"/>
          <w:color w:val="014171"/>
        </w:rPr>
        <w:t>ICAAP</w:t>
      </w:r>
      <w:r w:rsidR="00C61EE4" w:rsidRPr="00370CC2">
        <w:rPr>
          <w:rFonts w:ascii="Segoe UI" w:hAnsi="Segoe UI" w:cs="Segoe UI"/>
          <w:color w:val="014171"/>
        </w:rPr>
        <w:t>”)</w:t>
      </w:r>
      <w:r w:rsidRPr="00E27BB3">
        <w:rPr>
          <w:rFonts w:ascii="Segoe UI" w:hAnsi="Segoe UI" w:cs="Segoe UI"/>
          <w:color w:val="014171"/>
        </w:rPr>
        <w:t>.</w:t>
      </w:r>
    </w:p>
    <w:p w14:paraId="23894CAC" w14:textId="77777777" w:rsidR="00A64E0E" w:rsidRPr="00E27BB3" w:rsidRDefault="00A64E0E" w:rsidP="00E27BB3">
      <w:pPr>
        <w:pStyle w:val="ListParagraph"/>
        <w:numPr>
          <w:ilvl w:val="0"/>
          <w:numId w:val="64"/>
        </w:numPr>
        <w:spacing w:after="0"/>
        <w:jc w:val="both"/>
        <w:rPr>
          <w:rFonts w:ascii="Segoe UI" w:hAnsi="Segoe UI" w:cs="Segoe UI"/>
          <w:color w:val="014171"/>
        </w:rPr>
      </w:pPr>
      <w:r w:rsidRPr="00E27BB3">
        <w:rPr>
          <w:rFonts w:ascii="Segoe UI" w:hAnsi="Segoe UI" w:cs="Segoe UI"/>
          <w:color w:val="014171"/>
        </w:rPr>
        <w:t>Establishing a buffer above maximum capital requirement (higher of regulatory requirement and ICAAP) as risk appetite measure.</w:t>
      </w:r>
    </w:p>
    <w:p w14:paraId="654F26AB" w14:textId="75B839DB" w:rsidR="00A64E0E" w:rsidRPr="00E27BB3" w:rsidRDefault="00A64E0E" w:rsidP="00E27BB3">
      <w:pPr>
        <w:pStyle w:val="ListParagraph"/>
        <w:numPr>
          <w:ilvl w:val="0"/>
          <w:numId w:val="64"/>
        </w:numPr>
        <w:spacing w:after="0"/>
        <w:jc w:val="both"/>
        <w:rPr>
          <w:rFonts w:ascii="Segoe UI" w:hAnsi="Segoe UI" w:cs="Segoe UI"/>
          <w:color w:val="014171"/>
        </w:rPr>
      </w:pPr>
      <w:r w:rsidRPr="00E27BB3">
        <w:rPr>
          <w:rFonts w:ascii="Segoe UI" w:hAnsi="Segoe UI" w:cs="Segoe UI"/>
          <w:color w:val="014171"/>
        </w:rPr>
        <w:lastRenderedPageBreak/>
        <w:t>Regular stress testing to identify changes in risk profile requiring management action to mitigate.</w:t>
      </w:r>
    </w:p>
    <w:p w14:paraId="37906E09" w14:textId="77777777" w:rsidR="001201B9" w:rsidRPr="00E27BB3" w:rsidRDefault="001201B9" w:rsidP="00E27BB3">
      <w:pPr>
        <w:spacing w:after="0"/>
        <w:jc w:val="both"/>
        <w:rPr>
          <w:rFonts w:ascii="Segoe UI" w:hAnsi="Segoe UI" w:cs="Segoe UI"/>
          <w:color w:val="014171"/>
        </w:rPr>
      </w:pPr>
    </w:p>
    <w:p w14:paraId="288B5333" w14:textId="77777777" w:rsidR="00A64E0E" w:rsidRPr="00E27BB3" w:rsidRDefault="00A64E0E" w:rsidP="00E27BB3">
      <w:pPr>
        <w:pStyle w:val="Heading4"/>
      </w:pPr>
      <w:r w:rsidRPr="00E27BB3">
        <w:t>Business Risk</w:t>
      </w:r>
    </w:p>
    <w:p w14:paraId="54D9465F" w14:textId="596B699D" w:rsidR="001F173B" w:rsidRDefault="00A64E0E" w:rsidP="00E27BB3">
      <w:pPr>
        <w:spacing w:after="0"/>
        <w:jc w:val="both"/>
        <w:rPr>
          <w:rFonts w:ascii="Segoe UI" w:hAnsi="Segoe UI" w:cs="Segoe UI"/>
          <w:color w:val="014171"/>
        </w:rPr>
      </w:pPr>
      <w:r w:rsidRPr="00E27BB3">
        <w:rPr>
          <w:rFonts w:ascii="Segoe UI" w:hAnsi="Segoe UI" w:cs="Segoe UI"/>
          <w:color w:val="014171"/>
        </w:rPr>
        <w:t>Business risk is defined as the risk of loss of profits due to changes in the external business environment.</w:t>
      </w:r>
    </w:p>
    <w:p w14:paraId="08BF8952" w14:textId="77777777" w:rsidR="00D97521" w:rsidRPr="00E27BB3" w:rsidRDefault="00D97521" w:rsidP="00E27BB3">
      <w:pPr>
        <w:spacing w:after="0"/>
        <w:jc w:val="both"/>
        <w:rPr>
          <w:rFonts w:ascii="Segoe UI" w:hAnsi="Segoe UI" w:cs="Segoe UI"/>
          <w:color w:val="014171"/>
        </w:rPr>
      </w:pPr>
    </w:p>
    <w:p w14:paraId="1B1CB6A0" w14:textId="04C50714" w:rsidR="00A64E0E" w:rsidRDefault="00A64E0E" w:rsidP="00E27BB3">
      <w:pPr>
        <w:spacing w:after="0"/>
        <w:jc w:val="both"/>
        <w:rPr>
          <w:rFonts w:ascii="Segoe UI" w:hAnsi="Segoe UI" w:cs="Segoe UI"/>
          <w:color w:val="014171"/>
        </w:rPr>
      </w:pPr>
      <w:r w:rsidRPr="00E27BB3">
        <w:rPr>
          <w:rFonts w:ascii="Segoe UI" w:hAnsi="Segoe UI" w:cs="Segoe UI"/>
          <w:color w:val="014171"/>
        </w:rPr>
        <w:t>Business risk is limited and managed through a combination of controls including:</w:t>
      </w:r>
    </w:p>
    <w:p w14:paraId="15AD4071" w14:textId="77777777" w:rsidR="00D97521" w:rsidRPr="00E27BB3" w:rsidRDefault="00D97521" w:rsidP="00E27BB3">
      <w:pPr>
        <w:spacing w:after="0"/>
        <w:jc w:val="both"/>
        <w:rPr>
          <w:rFonts w:ascii="Segoe UI" w:hAnsi="Segoe UI" w:cs="Segoe UI"/>
          <w:color w:val="014171"/>
        </w:rPr>
      </w:pPr>
    </w:p>
    <w:p w14:paraId="3796D1D2" w14:textId="007C8812" w:rsidR="00A64E0E" w:rsidRPr="00E27BB3" w:rsidRDefault="00A64E0E" w:rsidP="00E27BB3">
      <w:pPr>
        <w:pStyle w:val="ListParagraph"/>
        <w:numPr>
          <w:ilvl w:val="0"/>
          <w:numId w:val="67"/>
        </w:numPr>
        <w:spacing w:after="0"/>
        <w:jc w:val="both"/>
        <w:rPr>
          <w:rFonts w:ascii="Segoe UI" w:hAnsi="Segoe UI" w:cs="Segoe UI"/>
          <w:color w:val="014171"/>
        </w:rPr>
      </w:pPr>
      <w:r w:rsidRPr="00E27BB3">
        <w:rPr>
          <w:rFonts w:ascii="Segoe UI" w:hAnsi="Segoe UI" w:cs="Segoe UI"/>
          <w:color w:val="014171"/>
        </w:rPr>
        <w:t xml:space="preserve">Vulnerability of the </w:t>
      </w:r>
      <w:r w:rsidR="00796C55">
        <w:rPr>
          <w:rFonts w:ascii="Segoe UI" w:hAnsi="Segoe UI" w:cs="Segoe UI"/>
          <w:color w:val="014171"/>
        </w:rPr>
        <w:t>F</w:t>
      </w:r>
      <w:r w:rsidRPr="00E27BB3">
        <w:rPr>
          <w:rFonts w:ascii="Segoe UI" w:hAnsi="Segoe UI" w:cs="Segoe UI"/>
          <w:color w:val="014171"/>
        </w:rPr>
        <w:t>irm’s business model to changes in the external business environment are assessed through:</w:t>
      </w:r>
    </w:p>
    <w:p w14:paraId="2FFC39E2" w14:textId="77777777" w:rsidR="00A64E0E" w:rsidRPr="00E27BB3" w:rsidRDefault="00A64E0E" w:rsidP="00E27BB3">
      <w:pPr>
        <w:pStyle w:val="ListParagraph"/>
        <w:numPr>
          <w:ilvl w:val="1"/>
          <w:numId w:val="67"/>
        </w:numPr>
        <w:spacing w:after="0"/>
        <w:jc w:val="both"/>
        <w:rPr>
          <w:rFonts w:ascii="Segoe UI" w:hAnsi="Segoe UI" w:cs="Segoe UI"/>
          <w:color w:val="014171"/>
        </w:rPr>
      </w:pPr>
      <w:r w:rsidRPr="00E27BB3">
        <w:rPr>
          <w:rFonts w:ascii="Segoe UI" w:hAnsi="Segoe UI" w:cs="Segoe UI"/>
          <w:color w:val="014171"/>
        </w:rPr>
        <w:t>Stress testing</w:t>
      </w:r>
    </w:p>
    <w:p w14:paraId="7A456FB6" w14:textId="77777777" w:rsidR="00A64E0E" w:rsidRPr="00E27BB3" w:rsidRDefault="00A64E0E" w:rsidP="00E27BB3">
      <w:pPr>
        <w:pStyle w:val="ListParagraph"/>
        <w:numPr>
          <w:ilvl w:val="1"/>
          <w:numId w:val="67"/>
        </w:numPr>
        <w:spacing w:after="0"/>
        <w:jc w:val="both"/>
        <w:rPr>
          <w:rFonts w:ascii="Segoe UI" w:hAnsi="Segoe UI" w:cs="Segoe UI"/>
          <w:color w:val="014171"/>
        </w:rPr>
      </w:pPr>
      <w:r w:rsidRPr="00E27BB3">
        <w:rPr>
          <w:rFonts w:ascii="Segoe UI" w:hAnsi="Segoe UI" w:cs="Segoe UI"/>
          <w:color w:val="014171"/>
        </w:rPr>
        <w:t>Business planning</w:t>
      </w:r>
    </w:p>
    <w:p w14:paraId="54DB8670" w14:textId="77777777" w:rsidR="00A64E0E" w:rsidRPr="00E27BB3" w:rsidRDefault="00A64E0E" w:rsidP="00E27BB3">
      <w:pPr>
        <w:pStyle w:val="ListParagraph"/>
        <w:numPr>
          <w:ilvl w:val="0"/>
          <w:numId w:val="67"/>
        </w:numPr>
        <w:spacing w:after="0"/>
        <w:jc w:val="both"/>
        <w:rPr>
          <w:rFonts w:ascii="Segoe UI" w:hAnsi="Segoe UI" w:cs="Segoe UI"/>
          <w:color w:val="014171"/>
        </w:rPr>
      </w:pPr>
      <w:r w:rsidRPr="00E27BB3">
        <w:rPr>
          <w:rFonts w:ascii="Segoe UI" w:hAnsi="Segoe UI" w:cs="Segoe UI"/>
          <w:color w:val="014171"/>
        </w:rPr>
        <w:t>Risks identified will be addressed by:</w:t>
      </w:r>
    </w:p>
    <w:p w14:paraId="04C15121" w14:textId="77777777" w:rsidR="00A64E0E" w:rsidRPr="00E27BB3" w:rsidRDefault="00A64E0E" w:rsidP="00E27BB3">
      <w:pPr>
        <w:pStyle w:val="ListParagraph"/>
        <w:numPr>
          <w:ilvl w:val="1"/>
          <w:numId w:val="67"/>
        </w:numPr>
        <w:spacing w:after="0"/>
        <w:jc w:val="both"/>
        <w:rPr>
          <w:rFonts w:ascii="Segoe UI" w:hAnsi="Segoe UI" w:cs="Segoe UI"/>
          <w:color w:val="014171"/>
        </w:rPr>
      </w:pPr>
      <w:r w:rsidRPr="00E27BB3">
        <w:rPr>
          <w:rFonts w:ascii="Segoe UI" w:hAnsi="Segoe UI" w:cs="Segoe UI"/>
          <w:color w:val="014171"/>
        </w:rPr>
        <w:t>Adjusting the business strategy accordingly</w:t>
      </w:r>
    </w:p>
    <w:p w14:paraId="6D2161E6" w14:textId="740B24A8" w:rsidR="001201B9" w:rsidRDefault="00A64E0E" w:rsidP="00E27BB3">
      <w:pPr>
        <w:pStyle w:val="ListParagraph"/>
        <w:numPr>
          <w:ilvl w:val="1"/>
          <w:numId w:val="67"/>
        </w:numPr>
        <w:spacing w:after="0"/>
        <w:jc w:val="both"/>
        <w:rPr>
          <w:rFonts w:ascii="Segoe UI" w:hAnsi="Segoe UI" w:cs="Segoe UI"/>
          <w:color w:val="014171"/>
        </w:rPr>
      </w:pPr>
      <w:r w:rsidRPr="00E27BB3">
        <w:rPr>
          <w:rFonts w:ascii="Segoe UI" w:hAnsi="Segoe UI" w:cs="Segoe UI"/>
          <w:color w:val="014171"/>
        </w:rPr>
        <w:t>Setting aside capital against downside risk within ICAAP assessment.</w:t>
      </w:r>
    </w:p>
    <w:p w14:paraId="6A8A38A7" w14:textId="77777777" w:rsidR="00D97521" w:rsidRPr="00D97521" w:rsidRDefault="00D97521" w:rsidP="00D97521">
      <w:pPr>
        <w:spacing w:after="0"/>
        <w:jc w:val="both"/>
        <w:rPr>
          <w:rFonts w:ascii="Segoe UI" w:hAnsi="Segoe UI" w:cs="Segoe UI"/>
          <w:color w:val="014171"/>
        </w:rPr>
      </w:pPr>
    </w:p>
    <w:p w14:paraId="73FCC0FE" w14:textId="77777777" w:rsidR="00A64E0E" w:rsidRPr="00E27BB3" w:rsidRDefault="00A64E0E" w:rsidP="00E27BB3">
      <w:pPr>
        <w:pStyle w:val="Heading4"/>
      </w:pPr>
      <w:r w:rsidRPr="00E27BB3">
        <w:t>Regulatory Compliance Risk</w:t>
      </w:r>
    </w:p>
    <w:p w14:paraId="6665F1A4" w14:textId="77777777" w:rsidR="00D97521" w:rsidRDefault="00A64E0E" w:rsidP="00E27BB3">
      <w:pPr>
        <w:spacing w:after="0"/>
        <w:jc w:val="both"/>
        <w:rPr>
          <w:rFonts w:ascii="Segoe UI" w:hAnsi="Segoe UI" w:cs="Segoe UI"/>
          <w:color w:val="014171"/>
        </w:rPr>
      </w:pPr>
      <w:r w:rsidRPr="00E27BB3">
        <w:rPr>
          <w:rFonts w:ascii="Segoe UI" w:hAnsi="Segoe UI" w:cs="Segoe UI"/>
          <w:color w:val="014171"/>
        </w:rPr>
        <w:t>Regulatory compliance risk is defined as the risk of non-compliance with regulatory requirements/ obligations.</w:t>
      </w:r>
    </w:p>
    <w:p w14:paraId="1A3FDC53" w14:textId="77777777" w:rsidR="00D97521" w:rsidRDefault="00D97521" w:rsidP="00E27BB3">
      <w:pPr>
        <w:spacing w:after="0"/>
        <w:jc w:val="both"/>
        <w:rPr>
          <w:rFonts w:ascii="Segoe UI" w:hAnsi="Segoe UI" w:cs="Segoe UI"/>
          <w:color w:val="014171"/>
        </w:rPr>
      </w:pPr>
    </w:p>
    <w:p w14:paraId="66519852" w14:textId="5A0F5D38" w:rsidR="00D32520" w:rsidRDefault="00A64E0E" w:rsidP="00E27BB3">
      <w:pPr>
        <w:spacing w:after="0"/>
        <w:jc w:val="both"/>
        <w:rPr>
          <w:rFonts w:ascii="Segoe UI" w:hAnsi="Segoe UI" w:cs="Segoe UI"/>
          <w:color w:val="014171"/>
        </w:rPr>
      </w:pPr>
      <w:r w:rsidRPr="00E27BB3">
        <w:rPr>
          <w:rFonts w:ascii="Segoe UI" w:hAnsi="Segoe UI" w:cs="Segoe UI"/>
          <w:color w:val="014171"/>
        </w:rPr>
        <w:t xml:space="preserve">Regulatory risk is limited and managed through a combination of </w:t>
      </w:r>
      <w:r w:rsidR="006F02AD" w:rsidRPr="00E27BB3">
        <w:rPr>
          <w:rFonts w:ascii="Segoe UI" w:hAnsi="Segoe UI" w:cs="Segoe UI"/>
          <w:color w:val="014171"/>
        </w:rPr>
        <w:t>controls including</w:t>
      </w:r>
      <w:r w:rsidR="001201B9">
        <w:rPr>
          <w:rFonts w:ascii="Segoe UI" w:hAnsi="Segoe UI" w:cs="Segoe UI"/>
          <w:color w:val="014171"/>
        </w:rPr>
        <w:t>:</w:t>
      </w:r>
    </w:p>
    <w:p w14:paraId="1A780E4E" w14:textId="77777777" w:rsidR="00D97521" w:rsidRPr="00E27BB3" w:rsidRDefault="00D97521" w:rsidP="00E27BB3">
      <w:pPr>
        <w:spacing w:after="0"/>
        <w:jc w:val="both"/>
        <w:rPr>
          <w:rFonts w:ascii="Segoe UI" w:hAnsi="Segoe UI" w:cs="Segoe UI"/>
          <w:color w:val="014171"/>
        </w:rPr>
      </w:pPr>
    </w:p>
    <w:p w14:paraId="76EA96D0" w14:textId="7796906D" w:rsidR="00A64E0E" w:rsidRPr="00E27BB3" w:rsidRDefault="00A64E0E" w:rsidP="00E27BB3">
      <w:pPr>
        <w:pStyle w:val="ListParagraph"/>
        <w:numPr>
          <w:ilvl w:val="0"/>
          <w:numId w:val="69"/>
        </w:numPr>
        <w:spacing w:after="0"/>
        <w:jc w:val="both"/>
        <w:rPr>
          <w:rFonts w:ascii="Segoe UI" w:hAnsi="Segoe UI" w:cs="Segoe UI"/>
          <w:color w:val="014171"/>
        </w:rPr>
      </w:pPr>
      <w:r w:rsidRPr="00E27BB3">
        <w:rPr>
          <w:rFonts w:ascii="Segoe UI" w:hAnsi="Segoe UI" w:cs="Segoe UI"/>
          <w:color w:val="014171"/>
        </w:rPr>
        <w:t>Risk and control self-assessment.</w:t>
      </w:r>
    </w:p>
    <w:p w14:paraId="20A8989C" w14:textId="77777777" w:rsidR="00A64E0E" w:rsidRPr="00E27BB3" w:rsidRDefault="00A64E0E" w:rsidP="00E27BB3">
      <w:pPr>
        <w:pStyle w:val="ListParagraph"/>
        <w:numPr>
          <w:ilvl w:val="0"/>
          <w:numId w:val="69"/>
        </w:numPr>
        <w:spacing w:after="0"/>
        <w:jc w:val="both"/>
        <w:rPr>
          <w:rFonts w:ascii="Segoe UI" w:hAnsi="Segoe UI" w:cs="Segoe UI"/>
          <w:color w:val="014171"/>
        </w:rPr>
      </w:pPr>
      <w:r w:rsidRPr="00E27BB3">
        <w:rPr>
          <w:rFonts w:ascii="Segoe UI" w:hAnsi="Segoe UI" w:cs="Segoe UI"/>
          <w:color w:val="014171"/>
        </w:rPr>
        <w:t>Regulatory Control Matrix.</w:t>
      </w:r>
    </w:p>
    <w:p w14:paraId="7EF35F07" w14:textId="3BB17520" w:rsidR="00A64E0E" w:rsidRPr="00E27BB3" w:rsidRDefault="00A64E0E" w:rsidP="00E27BB3">
      <w:pPr>
        <w:pStyle w:val="ListParagraph"/>
        <w:numPr>
          <w:ilvl w:val="0"/>
          <w:numId w:val="69"/>
        </w:numPr>
        <w:spacing w:after="0"/>
        <w:jc w:val="both"/>
        <w:rPr>
          <w:rFonts w:ascii="Segoe UI" w:hAnsi="Segoe UI" w:cs="Segoe UI"/>
          <w:color w:val="014171"/>
        </w:rPr>
      </w:pPr>
      <w:r w:rsidRPr="00E27BB3">
        <w:rPr>
          <w:rFonts w:ascii="Segoe UI" w:hAnsi="Segoe UI" w:cs="Segoe UI"/>
          <w:color w:val="014171"/>
        </w:rPr>
        <w:t>Experienced staff and external advice.</w:t>
      </w:r>
    </w:p>
    <w:p w14:paraId="21E70F3D" w14:textId="77777777" w:rsidR="001201B9" w:rsidRPr="00E27BB3" w:rsidRDefault="001201B9" w:rsidP="00E27BB3">
      <w:pPr>
        <w:spacing w:after="0"/>
        <w:jc w:val="both"/>
        <w:rPr>
          <w:rFonts w:ascii="Segoe UI" w:hAnsi="Segoe UI" w:cs="Segoe UI"/>
          <w:color w:val="014171"/>
        </w:rPr>
      </w:pPr>
    </w:p>
    <w:p w14:paraId="59917EE3" w14:textId="77777777" w:rsidR="00A64E0E" w:rsidRPr="00E27BB3" w:rsidRDefault="00A64E0E" w:rsidP="00E27BB3">
      <w:pPr>
        <w:pStyle w:val="Heading4"/>
      </w:pPr>
      <w:r w:rsidRPr="00E27BB3">
        <w:t>Governance Risk</w:t>
      </w:r>
    </w:p>
    <w:p w14:paraId="3DBDA14F" w14:textId="451C5B84" w:rsidR="00A64E0E" w:rsidRDefault="00A64E0E" w:rsidP="00E27BB3">
      <w:pPr>
        <w:spacing w:after="0"/>
        <w:jc w:val="both"/>
        <w:rPr>
          <w:rFonts w:ascii="Segoe UI" w:hAnsi="Segoe UI" w:cs="Segoe UI"/>
          <w:color w:val="014171"/>
        </w:rPr>
      </w:pPr>
      <w:r w:rsidRPr="00E27BB3">
        <w:rPr>
          <w:rFonts w:ascii="Segoe UI" w:hAnsi="Segoe UI" w:cs="Segoe UI"/>
          <w:color w:val="014171"/>
        </w:rPr>
        <w:t>Governance risk is defined as the risk of inadequate governance structures which do not enable an organization to reliably achieve objectives, address uncertainty and act with integrity.</w:t>
      </w:r>
    </w:p>
    <w:p w14:paraId="6BEFC279" w14:textId="77777777" w:rsidR="001F173B" w:rsidRPr="00E27BB3" w:rsidRDefault="001F173B" w:rsidP="00E27BB3">
      <w:pPr>
        <w:spacing w:after="0"/>
        <w:jc w:val="both"/>
        <w:rPr>
          <w:rFonts w:ascii="Segoe UI" w:hAnsi="Segoe UI" w:cs="Segoe UI"/>
          <w:color w:val="014171"/>
        </w:rPr>
      </w:pPr>
    </w:p>
    <w:p w14:paraId="2EE21B2F" w14:textId="19FF9E33" w:rsidR="00A64E0E" w:rsidRDefault="00A64E0E" w:rsidP="00E27BB3">
      <w:pPr>
        <w:spacing w:after="0"/>
        <w:jc w:val="both"/>
        <w:rPr>
          <w:rFonts w:ascii="Segoe UI" w:hAnsi="Segoe UI" w:cs="Segoe UI"/>
          <w:color w:val="014171"/>
        </w:rPr>
      </w:pPr>
      <w:r w:rsidRPr="00E27BB3">
        <w:rPr>
          <w:rFonts w:ascii="Segoe UI" w:hAnsi="Segoe UI" w:cs="Segoe UI"/>
          <w:color w:val="014171"/>
        </w:rPr>
        <w:t>Governance risk is limited and managed through a combination of controls including:</w:t>
      </w:r>
    </w:p>
    <w:p w14:paraId="7E64D84D" w14:textId="77777777" w:rsidR="00D97521" w:rsidRPr="00E27BB3" w:rsidRDefault="00D97521" w:rsidP="00E27BB3">
      <w:pPr>
        <w:spacing w:after="0"/>
        <w:jc w:val="both"/>
        <w:rPr>
          <w:rFonts w:ascii="Segoe UI" w:hAnsi="Segoe UI" w:cs="Segoe UI"/>
          <w:color w:val="014171"/>
        </w:rPr>
      </w:pPr>
    </w:p>
    <w:p w14:paraId="3339987E" w14:textId="77777777" w:rsidR="00A64E0E" w:rsidRPr="00E27BB3" w:rsidRDefault="00A64E0E" w:rsidP="00E27BB3">
      <w:pPr>
        <w:pStyle w:val="ListParagraph"/>
        <w:numPr>
          <w:ilvl w:val="0"/>
          <w:numId w:val="70"/>
        </w:numPr>
        <w:spacing w:after="0"/>
        <w:jc w:val="both"/>
        <w:rPr>
          <w:rFonts w:ascii="Segoe UI" w:hAnsi="Segoe UI" w:cs="Segoe UI"/>
          <w:color w:val="014171"/>
        </w:rPr>
      </w:pPr>
      <w:r w:rsidRPr="00E27BB3">
        <w:rPr>
          <w:rFonts w:ascii="Segoe UI" w:hAnsi="Segoe UI" w:cs="Segoe UI"/>
          <w:color w:val="014171"/>
        </w:rPr>
        <w:t>DCMD has adopted a Three Lines of Defence Model ensuring clear delineation of responsibilities between day-to-day operations, independent monitoring and oversight, and assurance.</w:t>
      </w:r>
    </w:p>
    <w:p w14:paraId="439BD903" w14:textId="780F9EAA" w:rsidR="00A64E0E" w:rsidRPr="00E27BB3" w:rsidRDefault="00A64E0E" w:rsidP="00E27BB3">
      <w:pPr>
        <w:pStyle w:val="ListParagraph"/>
        <w:numPr>
          <w:ilvl w:val="0"/>
          <w:numId w:val="70"/>
        </w:numPr>
        <w:spacing w:after="0"/>
        <w:jc w:val="both"/>
        <w:rPr>
          <w:rFonts w:ascii="Segoe UI" w:hAnsi="Segoe UI" w:cs="Segoe UI"/>
          <w:color w:val="014171"/>
        </w:rPr>
      </w:pPr>
      <w:r w:rsidRPr="00E27BB3">
        <w:rPr>
          <w:rFonts w:ascii="Segoe UI" w:hAnsi="Segoe UI" w:cs="Segoe UI"/>
          <w:color w:val="014171"/>
        </w:rPr>
        <w:lastRenderedPageBreak/>
        <w:t>DCMD has established several committees as part of the overall governance arrangements.</w:t>
      </w:r>
    </w:p>
    <w:p w14:paraId="0A46D2C7" w14:textId="77777777" w:rsidR="001201B9" w:rsidRPr="00E27BB3" w:rsidRDefault="001201B9" w:rsidP="00E27BB3">
      <w:pPr>
        <w:spacing w:after="0"/>
        <w:jc w:val="both"/>
        <w:rPr>
          <w:rFonts w:ascii="Segoe UI" w:hAnsi="Segoe UI" w:cs="Segoe UI"/>
          <w:color w:val="014171"/>
        </w:rPr>
      </w:pPr>
    </w:p>
    <w:p w14:paraId="4CE12D9E" w14:textId="77777777" w:rsidR="00A64E0E" w:rsidRPr="00E27BB3" w:rsidRDefault="00A64E0E" w:rsidP="00E27BB3">
      <w:pPr>
        <w:pStyle w:val="Heading4"/>
      </w:pPr>
      <w:r w:rsidRPr="00E27BB3">
        <w:t>Reputational Risk</w:t>
      </w:r>
    </w:p>
    <w:p w14:paraId="759FE4F4" w14:textId="683FFC5C"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Reputational risk is defined as the risk arising from adverse perception of the </w:t>
      </w:r>
      <w:r w:rsidR="00796C55">
        <w:rPr>
          <w:rFonts w:ascii="Segoe UI" w:hAnsi="Segoe UI" w:cs="Segoe UI"/>
          <w:color w:val="014171"/>
        </w:rPr>
        <w:t>F</w:t>
      </w:r>
      <w:r w:rsidRPr="00E27BB3">
        <w:rPr>
          <w:rFonts w:ascii="Segoe UI" w:hAnsi="Segoe UI" w:cs="Segoe UI"/>
          <w:color w:val="014171"/>
        </w:rPr>
        <w:t>irm on the part of customers, counterparties, shareholders, investors, or regulators, reputational issues and unfavourable public opinion.</w:t>
      </w:r>
    </w:p>
    <w:p w14:paraId="79C13C85" w14:textId="77777777" w:rsidR="001F173B" w:rsidRPr="00E27BB3" w:rsidRDefault="001F173B" w:rsidP="00E27BB3">
      <w:pPr>
        <w:spacing w:after="0"/>
        <w:jc w:val="both"/>
        <w:rPr>
          <w:rFonts w:ascii="Segoe UI" w:hAnsi="Segoe UI" w:cs="Segoe UI"/>
          <w:color w:val="014171"/>
        </w:rPr>
      </w:pPr>
    </w:p>
    <w:p w14:paraId="121F6DB0" w14:textId="51057883" w:rsidR="00A64E0E" w:rsidRDefault="00A64E0E" w:rsidP="00E27BB3">
      <w:pPr>
        <w:spacing w:after="0"/>
        <w:jc w:val="both"/>
        <w:rPr>
          <w:rFonts w:ascii="Segoe UI" w:hAnsi="Segoe UI" w:cs="Segoe UI"/>
          <w:color w:val="014171"/>
        </w:rPr>
      </w:pPr>
      <w:r w:rsidRPr="00E27BB3">
        <w:rPr>
          <w:rFonts w:ascii="Segoe UI" w:hAnsi="Segoe UI" w:cs="Segoe UI"/>
          <w:color w:val="014171"/>
        </w:rPr>
        <w:t>Reputational risk is limited and managed through a combination of controls including:</w:t>
      </w:r>
    </w:p>
    <w:p w14:paraId="59ED1FF1" w14:textId="77777777" w:rsidR="00D97521" w:rsidRPr="00E27BB3" w:rsidRDefault="00D97521" w:rsidP="00E27BB3">
      <w:pPr>
        <w:spacing w:after="0"/>
        <w:jc w:val="both"/>
        <w:rPr>
          <w:rFonts w:ascii="Segoe UI" w:hAnsi="Segoe UI" w:cs="Segoe UI"/>
          <w:color w:val="014171"/>
        </w:rPr>
      </w:pPr>
    </w:p>
    <w:p w14:paraId="5ABFB4F4" w14:textId="77777777" w:rsidR="00A64E0E" w:rsidRPr="00E27BB3" w:rsidRDefault="00A64E0E" w:rsidP="00E27BB3">
      <w:pPr>
        <w:pStyle w:val="ListParagraph"/>
        <w:numPr>
          <w:ilvl w:val="0"/>
          <w:numId w:val="72"/>
        </w:numPr>
        <w:spacing w:after="0"/>
        <w:jc w:val="both"/>
        <w:rPr>
          <w:rFonts w:ascii="Segoe UI" w:hAnsi="Segoe UI" w:cs="Segoe UI"/>
          <w:color w:val="014171"/>
        </w:rPr>
      </w:pPr>
      <w:r w:rsidRPr="00E27BB3">
        <w:rPr>
          <w:rFonts w:ascii="Segoe UI" w:hAnsi="Segoe UI" w:cs="Segoe UI"/>
          <w:color w:val="014171"/>
        </w:rPr>
        <w:t>Internal Compliance and Credit Risk counterparty checks to avoid undertaking business in high-risk or sanctioned jurisdictions, or with high-risk counterparties.</w:t>
      </w:r>
    </w:p>
    <w:p w14:paraId="078DE171" w14:textId="77777777" w:rsidR="00A64E0E" w:rsidRPr="00E27BB3" w:rsidRDefault="00A64E0E" w:rsidP="00E27BB3">
      <w:pPr>
        <w:pStyle w:val="ListParagraph"/>
        <w:numPr>
          <w:ilvl w:val="0"/>
          <w:numId w:val="72"/>
        </w:numPr>
        <w:spacing w:after="0"/>
        <w:jc w:val="both"/>
        <w:rPr>
          <w:rFonts w:ascii="Segoe UI" w:hAnsi="Segoe UI" w:cs="Segoe UI"/>
          <w:color w:val="014171"/>
        </w:rPr>
      </w:pPr>
      <w:r w:rsidRPr="00E27BB3">
        <w:rPr>
          <w:rFonts w:ascii="Segoe UI" w:hAnsi="Segoe UI" w:cs="Segoe UI"/>
          <w:color w:val="014171"/>
        </w:rPr>
        <w:t>A comprehensive set of clearly written policies and procedures reducing the likelihood of any reputational risk events.</w:t>
      </w:r>
    </w:p>
    <w:p w14:paraId="690E55A2" w14:textId="51CB07F2" w:rsidR="00A64E0E" w:rsidRPr="00E27BB3" w:rsidRDefault="00A64E0E" w:rsidP="00E27BB3">
      <w:pPr>
        <w:pStyle w:val="ListParagraph"/>
        <w:numPr>
          <w:ilvl w:val="0"/>
          <w:numId w:val="72"/>
        </w:numPr>
        <w:spacing w:after="0"/>
        <w:jc w:val="both"/>
        <w:rPr>
          <w:rFonts w:ascii="Segoe UI" w:hAnsi="Segoe UI" w:cs="Segoe UI"/>
          <w:color w:val="014171"/>
        </w:rPr>
      </w:pPr>
      <w:r w:rsidRPr="00E27BB3">
        <w:rPr>
          <w:rFonts w:ascii="Segoe UI" w:hAnsi="Segoe UI" w:cs="Segoe UI"/>
          <w:color w:val="014171"/>
        </w:rPr>
        <w:t>Any proposed transaction or business activity which poses a reputational risk higher than that normally associated with DCMD’s core business activities will be formally considered by the Risk or Executive Committee.</w:t>
      </w:r>
    </w:p>
    <w:p w14:paraId="74FCB8A3" w14:textId="77777777" w:rsidR="00807020" w:rsidRPr="00E27BB3" w:rsidRDefault="00807020" w:rsidP="00E27BB3">
      <w:pPr>
        <w:spacing w:after="0"/>
        <w:jc w:val="both"/>
        <w:rPr>
          <w:rFonts w:ascii="Segoe UI" w:hAnsi="Segoe UI" w:cs="Segoe UI"/>
          <w:color w:val="014171"/>
        </w:rPr>
      </w:pPr>
    </w:p>
    <w:p w14:paraId="65F820C9" w14:textId="77777777" w:rsidR="00A64E0E" w:rsidRPr="00E27BB3" w:rsidRDefault="00A64E0E" w:rsidP="00E27BB3">
      <w:pPr>
        <w:pStyle w:val="Heading2"/>
        <w:rPr>
          <w:b w:val="0"/>
        </w:rPr>
      </w:pPr>
      <w:bookmarkStart w:id="41" w:name="_Toc122626057"/>
      <w:r w:rsidRPr="00E27BB3">
        <w:t>Climate Risk</w:t>
      </w:r>
      <w:bookmarkEnd w:id="41"/>
    </w:p>
    <w:p w14:paraId="7B0E9F4D" w14:textId="439A6069"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DCMD acknowledges that climate change, and society’s response to it, presents potential risks relevant to its business strategy and presents unique challenges not normally faced by financial institutions. </w:t>
      </w:r>
    </w:p>
    <w:p w14:paraId="3CC27076" w14:textId="77777777" w:rsidR="00807020" w:rsidRPr="00E27BB3" w:rsidRDefault="00807020" w:rsidP="00E27BB3">
      <w:pPr>
        <w:spacing w:after="0"/>
        <w:jc w:val="both"/>
        <w:rPr>
          <w:rFonts w:ascii="Segoe UI" w:hAnsi="Segoe UI" w:cs="Segoe UI"/>
          <w:color w:val="014171"/>
        </w:rPr>
      </w:pPr>
    </w:p>
    <w:p w14:paraId="7B023678" w14:textId="6A02CB60" w:rsidR="00A64E0E" w:rsidRDefault="00A64E0E" w:rsidP="00E27BB3">
      <w:pPr>
        <w:spacing w:after="0"/>
        <w:jc w:val="both"/>
        <w:rPr>
          <w:rFonts w:ascii="Segoe UI" w:hAnsi="Segoe UI" w:cs="Segoe UI"/>
          <w:color w:val="014171"/>
        </w:rPr>
      </w:pPr>
      <w:r w:rsidRPr="00E27BB3">
        <w:rPr>
          <w:rFonts w:ascii="Segoe UI" w:hAnsi="Segoe UI" w:cs="Segoe UI"/>
          <w:color w:val="014171"/>
        </w:rPr>
        <w:t xml:space="preserve">In recognition of current guidance, the </w:t>
      </w:r>
      <w:r w:rsidR="00796C55">
        <w:rPr>
          <w:rFonts w:ascii="Segoe UI" w:hAnsi="Segoe UI" w:cs="Segoe UI"/>
          <w:color w:val="014171"/>
        </w:rPr>
        <w:t>F</w:t>
      </w:r>
      <w:r w:rsidRPr="00E27BB3">
        <w:rPr>
          <w:rFonts w:ascii="Segoe UI" w:hAnsi="Segoe UI" w:cs="Segoe UI"/>
          <w:color w:val="014171"/>
        </w:rPr>
        <w:t>irm is developing its own response in relation to governance, risk management, scenario analysis and disclosures. DCMD does not propose to treat climate change as a risk in its own right but rather a driver affecting risks already captured in the inventory to varying degrees. These may then be managed through those established risk processes or may result in some modified treatment following assessment.</w:t>
      </w:r>
    </w:p>
    <w:p w14:paraId="49F74DA8" w14:textId="77777777" w:rsidR="00807020" w:rsidRPr="00E27BB3" w:rsidRDefault="00807020" w:rsidP="00E27BB3">
      <w:pPr>
        <w:spacing w:after="0"/>
        <w:jc w:val="both"/>
        <w:rPr>
          <w:rFonts w:ascii="Segoe UI" w:hAnsi="Segoe UI" w:cs="Segoe UI"/>
          <w:color w:val="014171"/>
        </w:rPr>
      </w:pPr>
    </w:p>
    <w:p w14:paraId="1EF09035" w14:textId="77777777" w:rsidR="00A64E0E" w:rsidRPr="00E27BB3" w:rsidRDefault="00A64E0E" w:rsidP="00E27BB3">
      <w:pPr>
        <w:pStyle w:val="Heading2"/>
        <w:rPr>
          <w:b w:val="0"/>
        </w:rPr>
      </w:pPr>
      <w:bookmarkStart w:id="42" w:name="_Toc122626058"/>
      <w:r w:rsidRPr="00E27BB3">
        <w:t>Stress Testing</w:t>
      </w:r>
      <w:bookmarkEnd w:id="42"/>
    </w:p>
    <w:p w14:paraId="0DD9096A" w14:textId="074920F2" w:rsidR="00A64E0E" w:rsidRDefault="00A64E0E" w:rsidP="00E27BB3">
      <w:pPr>
        <w:spacing w:after="0"/>
        <w:jc w:val="both"/>
        <w:rPr>
          <w:rFonts w:ascii="Segoe UI" w:hAnsi="Segoe UI" w:cs="Segoe UI"/>
          <w:color w:val="014171"/>
        </w:rPr>
      </w:pPr>
      <w:r w:rsidRPr="00E27BB3">
        <w:rPr>
          <w:rFonts w:ascii="Segoe UI" w:hAnsi="Segoe UI" w:cs="Segoe UI"/>
          <w:color w:val="014171"/>
        </w:rPr>
        <w:t>DCMD has formalised a Stress Testing Policy which is reviewed and approved on an annual basis by DCMD’s Managing Directors. The policy outlines DCMD’s approach to stress and reverse stress testing.</w:t>
      </w:r>
    </w:p>
    <w:p w14:paraId="1B819A04" w14:textId="77777777" w:rsidR="001F173B" w:rsidRPr="00E27BB3" w:rsidRDefault="001F173B" w:rsidP="00E27BB3">
      <w:pPr>
        <w:spacing w:after="0"/>
        <w:jc w:val="both"/>
        <w:rPr>
          <w:rFonts w:ascii="Segoe UI" w:hAnsi="Segoe UI" w:cs="Segoe UI"/>
          <w:color w:val="014171"/>
        </w:rPr>
      </w:pPr>
    </w:p>
    <w:p w14:paraId="5A4AD7E9" w14:textId="60FD3504" w:rsidR="00A64E0E" w:rsidRPr="00E27BB3" w:rsidRDefault="00A64E0E" w:rsidP="00E27BB3">
      <w:pPr>
        <w:spacing w:after="0"/>
        <w:jc w:val="both"/>
        <w:rPr>
          <w:rFonts w:ascii="Segoe UI" w:hAnsi="Segoe UI" w:cs="Segoe UI"/>
          <w:color w:val="014171"/>
        </w:rPr>
      </w:pPr>
      <w:r w:rsidRPr="00E27BB3">
        <w:rPr>
          <w:rFonts w:ascii="Segoe UI" w:hAnsi="Segoe UI" w:cs="Segoe UI"/>
          <w:color w:val="014171"/>
        </w:rPr>
        <w:t xml:space="preserve">Stress tests are performed </w:t>
      </w:r>
      <w:r w:rsidR="009225CA" w:rsidRPr="00E27BB3">
        <w:rPr>
          <w:rFonts w:ascii="Segoe UI" w:hAnsi="Segoe UI" w:cs="Segoe UI"/>
          <w:color w:val="014171"/>
        </w:rPr>
        <w:t>monthly and t</w:t>
      </w:r>
      <w:r w:rsidRPr="00E27BB3">
        <w:rPr>
          <w:rFonts w:ascii="Segoe UI" w:hAnsi="Segoe UI" w:cs="Segoe UI"/>
          <w:color w:val="014171"/>
        </w:rPr>
        <w:t xml:space="preserve">he results are reported to the </w:t>
      </w:r>
      <w:r w:rsidR="009225CA" w:rsidRPr="00E27BB3">
        <w:rPr>
          <w:rFonts w:ascii="Segoe UI" w:hAnsi="Segoe UI" w:cs="Segoe UI"/>
          <w:color w:val="014171"/>
        </w:rPr>
        <w:t>relevant</w:t>
      </w:r>
      <w:r w:rsidRPr="00E27BB3">
        <w:rPr>
          <w:rFonts w:ascii="Segoe UI" w:hAnsi="Segoe UI" w:cs="Segoe UI"/>
          <w:color w:val="014171"/>
        </w:rPr>
        <w:t xml:space="preserve"> Committee</w:t>
      </w:r>
      <w:r w:rsidR="009225CA" w:rsidRPr="00E27BB3">
        <w:rPr>
          <w:rFonts w:ascii="Segoe UI" w:hAnsi="Segoe UI" w:cs="Segoe UI"/>
          <w:color w:val="014171"/>
        </w:rPr>
        <w:t>s</w:t>
      </w:r>
      <w:r w:rsidRPr="00E27BB3">
        <w:rPr>
          <w:rFonts w:ascii="Segoe UI" w:hAnsi="Segoe UI" w:cs="Segoe UI"/>
          <w:color w:val="014171"/>
        </w:rPr>
        <w:t>.</w:t>
      </w:r>
    </w:p>
    <w:p w14:paraId="0449EC86" w14:textId="43874B48" w:rsidR="00A64E0E" w:rsidRDefault="00A64E0E" w:rsidP="00E27BB3">
      <w:pPr>
        <w:spacing w:after="0"/>
        <w:jc w:val="both"/>
        <w:rPr>
          <w:rFonts w:ascii="Segoe UI" w:hAnsi="Segoe UI" w:cs="Segoe UI"/>
          <w:color w:val="014171"/>
        </w:rPr>
      </w:pPr>
      <w:r w:rsidRPr="00E27BB3">
        <w:rPr>
          <w:rFonts w:ascii="Segoe UI" w:hAnsi="Segoe UI" w:cs="Segoe UI"/>
          <w:color w:val="014171"/>
        </w:rPr>
        <w:t>Where appropriate, calculations are combined with qualitative techniques/assessment to support and complement the use of models and to extend stress testing to areas where effective risk management requires greater use of expert judgement.</w:t>
      </w:r>
    </w:p>
    <w:p w14:paraId="385FD775" w14:textId="77777777" w:rsidR="001F173B" w:rsidRPr="00E27BB3" w:rsidRDefault="001F173B" w:rsidP="00E27BB3">
      <w:pPr>
        <w:spacing w:after="0"/>
        <w:jc w:val="both"/>
        <w:rPr>
          <w:rFonts w:ascii="Segoe UI" w:hAnsi="Segoe UI" w:cs="Segoe UI"/>
          <w:color w:val="014171"/>
        </w:rPr>
      </w:pPr>
    </w:p>
    <w:p w14:paraId="255BF72C" w14:textId="7953F544" w:rsidR="002E546E" w:rsidRPr="00E27BB3" w:rsidRDefault="0034753D" w:rsidP="00E27BB3">
      <w:pPr>
        <w:spacing w:after="0"/>
        <w:jc w:val="both"/>
        <w:rPr>
          <w:rFonts w:ascii="Segoe UI" w:hAnsi="Segoe UI" w:cs="Segoe UI"/>
          <w:color w:val="014171"/>
        </w:rPr>
      </w:pPr>
      <w:r w:rsidRPr="00E27BB3">
        <w:rPr>
          <w:rFonts w:ascii="Segoe UI" w:hAnsi="Segoe UI" w:cs="Segoe UI"/>
          <w:color w:val="014171"/>
        </w:rPr>
        <w:t>A Reverse Stress Test is carried out on a semi-annually basis and reported to the relevant Committees.</w:t>
      </w:r>
    </w:p>
    <w:p w14:paraId="3A099A56" w14:textId="24E8783A" w:rsidR="00AC51F9" w:rsidRDefault="00AC51F9" w:rsidP="00E27BB3">
      <w:pPr>
        <w:spacing w:after="0"/>
        <w:jc w:val="both"/>
        <w:rPr>
          <w:rFonts w:ascii="Segoe UI" w:hAnsi="Segoe UI" w:cs="Segoe UI"/>
          <w:color w:val="014171"/>
        </w:rPr>
      </w:pPr>
      <w:bookmarkStart w:id="43" w:name="_Toc102121157"/>
    </w:p>
    <w:p w14:paraId="127388E5" w14:textId="2989CEFA" w:rsidR="00AC51F9" w:rsidRPr="00E27BB3" w:rsidRDefault="00AC51F9" w:rsidP="00E27BB3">
      <w:pPr>
        <w:spacing w:after="0"/>
        <w:jc w:val="both"/>
        <w:rPr>
          <w:rFonts w:ascii="Segoe UI" w:hAnsi="Segoe UI" w:cs="Segoe UI"/>
          <w:color w:val="014171"/>
        </w:rPr>
        <w:sectPr w:rsidR="00AC51F9" w:rsidRPr="00E27BB3" w:rsidSect="007C0415">
          <w:pgSz w:w="11906" w:h="16838"/>
          <w:pgMar w:top="1702" w:right="1440" w:bottom="1134" w:left="1440" w:header="708" w:footer="380" w:gutter="0"/>
          <w:cols w:space="720"/>
          <w:titlePg/>
          <w:docGrid w:linePitch="360"/>
        </w:sectPr>
      </w:pPr>
      <w:r>
        <w:rPr>
          <w:rFonts w:ascii="Segoe UI" w:hAnsi="Segoe UI" w:cs="Segoe UI"/>
          <w:color w:val="014171"/>
        </w:rPr>
        <w:t xml:space="preserve">As a summary comment by Management the overall risk profile of DCMD is </w:t>
      </w:r>
      <w:r w:rsidR="006A0C44">
        <w:rPr>
          <w:rFonts w:ascii="Segoe UI" w:hAnsi="Segoe UI" w:cs="Segoe UI"/>
          <w:color w:val="014171"/>
        </w:rPr>
        <w:t xml:space="preserve">considered </w:t>
      </w:r>
      <w:r w:rsidR="00114616">
        <w:rPr>
          <w:rFonts w:ascii="Segoe UI" w:hAnsi="Segoe UI" w:cs="Segoe UI"/>
          <w:color w:val="014171"/>
        </w:rPr>
        <w:t>“</w:t>
      </w:r>
      <w:r w:rsidR="006A0C44">
        <w:rPr>
          <w:rFonts w:ascii="Segoe UI" w:hAnsi="Segoe UI" w:cs="Segoe UI"/>
          <w:color w:val="014171"/>
        </w:rPr>
        <w:t>low</w:t>
      </w:r>
      <w:r w:rsidR="00114616">
        <w:rPr>
          <w:rFonts w:ascii="Segoe UI" w:hAnsi="Segoe UI" w:cs="Segoe UI"/>
          <w:color w:val="014171"/>
        </w:rPr>
        <w:t>”</w:t>
      </w:r>
      <w:r w:rsidR="006A0C44">
        <w:rPr>
          <w:rFonts w:ascii="Segoe UI" w:hAnsi="Segoe UI" w:cs="Segoe UI"/>
          <w:color w:val="014171"/>
        </w:rPr>
        <w:t xml:space="preserve"> based on the </w:t>
      </w:r>
      <w:r w:rsidRPr="00E27BB3">
        <w:rPr>
          <w:rFonts w:ascii="Segoe UI" w:hAnsi="Segoe UI" w:cs="Segoe UI"/>
          <w:color w:val="014171"/>
        </w:rPr>
        <w:t>back-to-back booking model</w:t>
      </w:r>
      <w:r w:rsidR="006A0C44">
        <w:rPr>
          <w:rFonts w:ascii="Segoe UI" w:hAnsi="Segoe UI" w:cs="Segoe UI"/>
          <w:color w:val="014171"/>
        </w:rPr>
        <w:t xml:space="preserve"> approach in combination with the plain vanilla product offer</w:t>
      </w:r>
      <w:r w:rsidR="00114616">
        <w:rPr>
          <w:rFonts w:ascii="Segoe UI" w:hAnsi="Segoe UI" w:cs="Segoe UI"/>
          <w:color w:val="014171"/>
        </w:rPr>
        <w:t>ed</w:t>
      </w:r>
      <w:r w:rsidR="006A0C44">
        <w:rPr>
          <w:rFonts w:ascii="Segoe UI" w:hAnsi="Segoe UI" w:cs="Segoe UI"/>
          <w:color w:val="014171"/>
        </w:rPr>
        <w:t xml:space="preserve">.   </w:t>
      </w:r>
    </w:p>
    <w:p w14:paraId="5C632679" w14:textId="76C589F4" w:rsidR="00206AE6" w:rsidRPr="00E27BB3" w:rsidRDefault="00206AE6" w:rsidP="00C43D6A">
      <w:pPr>
        <w:pStyle w:val="Heading1"/>
        <w:ind w:left="431" w:hanging="431"/>
      </w:pPr>
      <w:bookmarkStart w:id="44" w:name="_Toc122626059"/>
      <w:r w:rsidRPr="00E27BB3">
        <w:lastRenderedPageBreak/>
        <w:t>Governance</w:t>
      </w:r>
      <w:r w:rsidR="007C03E6" w:rsidRPr="00E27BB3">
        <w:t xml:space="preserve"> Arrangements (Article 48 IFR</w:t>
      </w:r>
      <w:r w:rsidRPr="00E27BB3">
        <w:t>)</w:t>
      </w:r>
      <w:bookmarkEnd w:id="43"/>
      <w:bookmarkEnd w:id="44"/>
    </w:p>
    <w:p w14:paraId="0442AFE6" w14:textId="490FB605" w:rsidR="00206AE6" w:rsidRPr="00E27BB3" w:rsidRDefault="00206AE6" w:rsidP="00E27BB3">
      <w:pPr>
        <w:pStyle w:val="Heading2"/>
      </w:pPr>
      <w:bookmarkStart w:id="45" w:name="_Toc122626060"/>
      <w:bookmarkStart w:id="46" w:name="_Toc102121158"/>
      <w:bookmarkStart w:id="47" w:name="_Toc297039265"/>
      <w:bookmarkStart w:id="48" w:name="_Toc297189978"/>
      <w:bookmarkStart w:id="49" w:name="_Toc422754616"/>
      <w:r w:rsidRPr="00E27BB3">
        <w:t xml:space="preserve">Oversight of </w:t>
      </w:r>
      <w:r w:rsidR="00807020" w:rsidRPr="00377C35">
        <w:t>G</w:t>
      </w:r>
      <w:r w:rsidRPr="00E27BB3">
        <w:t xml:space="preserve">overnance </w:t>
      </w:r>
      <w:r w:rsidR="00807020" w:rsidRPr="00377C35">
        <w:t>A</w:t>
      </w:r>
      <w:r w:rsidR="00807020" w:rsidRPr="00E27BB3">
        <w:t xml:space="preserve">rrangements </w:t>
      </w:r>
      <w:r w:rsidRPr="00E27BB3">
        <w:t xml:space="preserve">by the </w:t>
      </w:r>
      <w:r w:rsidR="00807020" w:rsidRPr="00377C35">
        <w:t>M</w:t>
      </w:r>
      <w:r w:rsidR="00807020" w:rsidRPr="00E27BB3">
        <w:t xml:space="preserve">anagement </w:t>
      </w:r>
      <w:r w:rsidR="00807020" w:rsidRPr="00377C35">
        <w:t>B</w:t>
      </w:r>
      <w:r w:rsidRPr="00E27BB3">
        <w:t>ody</w:t>
      </w:r>
      <w:bookmarkEnd w:id="45"/>
      <w:r w:rsidRPr="00E27BB3">
        <w:t xml:space="preserve"> </w:t>
      </w:r>
      <w:bookmarkEnd w:id="46"/>
    </w:p>
    <w:p w14:paraId="03A01126" w14:textId="28F3C31E" w:rsidR="00757056" w:rsidRPr="00E27BB3" w:rsidRDefault="00F7154B" w:rsidP="00E27BB3">
      <w:pPr>
        <w:pStyle w:val="Heading3"/>
      </w:pPr>
      <w:r w:rsidRPr="00E27BB3">
        <w:t>Governance Structure</w:t>
      </w:r>
      <w:bookmarkEnd w:id="47"/>
      <w:bookmarkEnd w:id="48"/>
      <w:bookmarkEnd w:id="49"/>
    </w:p>
    <w:p w14:paraId="7A90BE46" w14:textId="76266FA0" w:rsidR="00373788" w:rsidRPr="00E27BB3" w:rsidRDefault="007C03E6" w:rsidP="00E27BB3">
      <w:pPr>
        <w:spacing w:after="0"/>
        <w:jc w:val="both"/>
        <w:rPr>
          <w:rFonts w:ascii="Segoe UI" w:hAnsi="Segoe UI" w:cs="Segoe UI"/>
          <w:color w:val="014171"/>
        </w:rPr>
      </w:pPr>
      <w:r w:rsidRPr="00E27BB3">
        <w:rPr>
          <w:rFonts w:ascii="Segoe UI" w:hAnsi="Segoe UI" w:cs="Segoe UI"/>
          <w:color w:val="014171"/>
        </w:rPr>
        <w:t xml:space="preserve">The </w:t>
      </w:r>
      <w:r w:rsidR="006D4DA9">
        <w:rPr>
          <w:rFonts w:ascii="Segoe UI" w:hAnsi="Segoe UI" w:cs="Segoe UI"/>
          <w:color w:val="014171"/>
        </w:rPr>
        <w:t>M</w:t>
      </w:r>
      <w:r w:rsidRPr="00E27BB3">
        <w:rPr>
          <w:rFonts w:ascii="Segoe UI" w:hAnsi="Segoe UI" w:cs="Segoe UI"/>
          <w:color w:val="014171"/>
        </w:rPr>
        <w:t>anagement body of DCMD (i.e. the Managing Directors) have</w:t>
      </w:r>
      <w:r w:rsidR="00373788" w:rsidRPr="00E27BB3">
        <w:rPr>
          <w:rFonts w:ascii="Segoe UI" w:hAnsi="Segoe UI" w:cs="Segoe UI"/>
          <w:color w:val="014171"/>
        </w:rPr>
        <w:t xml:space="preserve"> ultimate responsibility for the overall management of the Fi</w:t>
      </w:r>
      <w:r w:rsidRPr="00E27BB3">
        <w:rPr>
          <w:rFonts w:ascii="Segoe UI" w:hAnsi="Segoe UI" w:cs="Segoe UI"/>
          <w:color w:val="014171"/>
        </w:rPr>
        <w:t xml:space="preserve">rm in accordance with the policies set out by </w:t>
      </w:r>
      <w:r w:rsidR="006D4DA9">
        <w:rPr>
          <w:rFonts w:ascii="Segoe UI" w:hAnsi="Segoe UI" w:cs="Segoe UI"/>
          <w:color w:val="014171"/>
        </w:rPr>
        <w:t>Daiwa</w:t>
      </w:r>
      <w:r w:rsidR="006D4DA9" w:rsidRPr="00E27BB3">
        <w:rPr>
          <w:rFonts w:ascii="Segoe UI" w:hAnsi="Segoe UI" w:cs="Segoe UI"/>
          <w:color w:val="014171"/>
        </w:rPr>
        <w:t xml:space="preserve"> </w:t>
      </w:r>
      <w:r w:rsidRPr="00E27BB3">
        <w:rPr>
          <w:rFonts w:ascii="Segoe UI" w:hAnsi="Segoe UI" w:cs="Segoe UI"/>
          <w:color w:val="014171"/>
        </w:rPr>
        <w:t>group.</w:t>
      </w:r>
      <w:r w:rsidR="00D0736D" w:rsidRPr="00E27BB3">
        <w:rPr>
          <w:rFonts w:ascii="Segoe UI" w:hAnsi="Segoe UI" w:cs="Segoe UI"/>
          <w:color w:val="014171"/>
        </w:rPr>
        <w:t xml:space="preserve"> </w:t>
      </w:r>
    </w:p>
    <w:p w14:paraId="381E2BFF" w14:textId="77777777" w:rsidR="00BA1A84" w:rsidRDefault="00BA1A84" w:rsidP="00E27BB3">
      <w:pPr>
        <w:spacing w:after="0"/>
        <w:jc w:val="both"/>
        <w:rPr>
          <w:rFonts w:ascii="Segoe UI" w:hAnsi="Segoe UI" w:cs="Segoe UI"/>
          <w:color w:val="014171"/>
        </w:rPr>
      </w:pPr>
    </w:p>
    <w:p w14:paraId="3050A296" w14:textId="5107ED0F" w:rsidR="00473CDB" w:rsidRPr="00E27BB3" w:rsidRDefault="0010670F" w:rsidP="00E27BB3">
      <w:pPr>
        <w:spacing w:after="0"/>
        <w:jc w:val="both"/>
        <w:rPr>
          <w:rFonts w:ascii="Segoe UI" w:hAnsi="Segoe UI" w:cs="Segoe UI"/>
          <w:color w:val="014171"/>
        </w:rPr>
      </w:pPr>
      <w:r w:rsidRPr="00E27BB3">
        <w:rPr>
          <w:rFonts w:ascii="Segoe UI" w:hAnsi="Segoe UI" w:cs="Segoe UI"/>
          <w:color w:val="014171"/>
        </w:rPr>
        <w:t>The MDs are</w:t>
      </w:r>
      <w:r w:rsidR="006B00B0" w:rsidRPr="00E27BB3">
        <w:rPr>
          <w:rFonts w:ascii="Segoe UI" w:hAnsi="Segoe UI" w:cs="Segoe UI"/>
          <w:color w:val="014171"/>
        </w:rPr>
        <w:t xml:space="preserve"> also responsible for establishing and monitoring the effectiveness of the Firm’s corporate governance framework </w:t>
      </w:r>
      <w:r w:rsidR="004D6268" w:rsidRPr="00E27BB3">
        <w:rPr>
          <w:rFonts w:ascii="Segoe UI" w:hAnsi="Segoe UI" w:cs="Segoe UI"/>
          <w:color w:val="014171"/>
        </w:rPr>
        <w:t xml:space="preserve">and </w:t>
      </w:r>
      <w:r w:rsidR="006B00B0" w:rsidRPr="00E27BB3">
        <w:rPr>
          <w:rFonts w:ascii="Segoe UI" w:hAnsi="Segoe UI" w:cs="Segoe UI"/>
          <w:color w:val="014171"/>
        </w:rPr>
        <w:t>approv</w:t>
      </w:r>
      <w:r w:rsidR="004D6268" w:rsidRPr="00E27BB3">
        <w:rPr>
          <w:rFonts w:ascii="Segoe UI" w:hAnsi="Segoe UI" w:cs="Segoe UI"/>
          <w:color w:val="014171"/>
        </w:rPr>
        <w:t xml:space="preserve">ing </w:t>
      </w:r>
      <w:r w:rsidR="006B00B0" w:rsidRPr="00E27BB3">
        <w:rPr>
          <w:rFonts w:ascii="Segoe UI" w:hAnsi="Segoe UI" w:cs="Segoe UI"/>
          <w:color w:val="014171"/>
        </w:rPr>
        <w:t xml:space="preserve">the </w:t>
      </w:r>
      <w:r w:rsidR="004D6268" w:rsidRPr="00E27BB3">
        <w:rPr>
          <w:rFonts w:ascii="Segoe UI" w:hAnsi="Segoe UI" w:cs="Segoe UI"/>
          <w:color w:val="014171"/>
        </w:rPr>
        <w:t>F</w:t>
      </w:r>
      <w:r w:rsidR="006B00B0" w:rsidRPr="00E27BB3">
        <w:rPr>
          <w:rFonts w:ascii="Segoe UI" w:hAnsi="Segoe UI" w:cs="Segoe UI"/>
          <w:color w:val="014171"/>
        </w:rPr>
        <w:t>irm’s Corporate Governance Policy</w:t>
      </w:r>
      <w:r w:rsidR="004D6268" w:rsidRPr="00E27BB3">
        <w:rPr>
          <w:rFonts w:ascii="Segoe UI" w:hAnsi="Segoe UI" w:cs="Segoe UI"/>
          <w:color w:val="014171"/>
        </w:rPr>
        <w:t xml:space="preserve"> and</w:t>
      </w:r>
      <w:r w:rsidR="00473CDB" w:rsidRPr="00E27BB3">
        <w:rPr>
          <w:rFonts w:ascii="Segoe UI" w:hAnsi="Segoe UI" w:cs="Segoe UI"/>
          <w:color w:val="014171"/>
        </w:rPr>
        <w:t xml:space="preserve"> </w:t>
      </w:r>
      <w:r w:rsidR="006B00B0" w:rsidRPr="00E27BB3">
        <w:rPr>
          <w:rFonts w:ascii="Segoe UI" w:hAnsi="Segoe UI" w:cs="Segoe UI"/>
          <w:color w:val="014171"/>
        </w:rPr>
        <w:t xml:space="preserve">the Firm’s strategic direction and risk appetite. </w:t>
      </w:r>
    </w:p>
    <w:p w14:paraId="76A35410" w14:textId="77777777" w:rsidR="00473CDB" w:rsidRPr="00E27BB3" w:rsidRDefault="00473CDB" w:rsidP="00E27BB3">
      <w:pPr>
        <w:spacing w:after="0"/>
        <w:jc w:val="both"/>
        <w:rPr>
          <w:rFonts w:ascii="Segoe UI" w:hAnsi="Segoe UI" w:cs="Segoe UI"/>
          <w:color w:val="014171"/>
        </w:rPr>
      </w:pPr>
    </w:p>
    <w:p w14:paraId="0629387A" w14:textId="6AB81AA2" w:rsidR="00807020" w:rsidRDefault="006B00B0" w:rsidP="00E27BB3">
      <w:pPr>
        <w:spacing w:after="0"/>
        <w:jc w:val="both"/>
        <w:rPr>
          <w:rFonts w:ascii="Segoe UI" w:hAnsi="Segoe UI" w:cs="Segoe UI"/>
          <w:color w:val="014171"/>
        </w:rPr>
      </w:pPr>
      <w:r w:rsidRPr="00E27BB3">
        <w:rPr>
          <w:rFonts w:ascii="Segoe UI" w:hAnsi="Segoe UI" w:cs="Segoe UI"/>
          <w:color w:val="014171"/>
        </w:rPr>
        <w:t>The</w:t>
      </w:r>
      <w:r w:rsidR="00A90CA8" w:rsidRPr="00E27BB3">
        <w:rPr>
          <w:rFonts w:ascii="Segoe UI" w:hAnsi="Segoe UI" w:cs="Segoe UI"/>
          <w:color w:val="014171"/>
        </w:rPr>
        <w:t xml:space="preserve"> MDs have the duty to</w:t>
      </w:r>
    </w:p>
    <w:p w14:paraId="37108245" w14:textId="1C1DE194" w:rsidR="00D32520" w:rsidRPr="00E27BB3" w:rsidRDefault="00D32520" w:rsidP="00E27BB3">
      <w:pPr>
        <w:spacing w:after="0"/>
        <w:jc w:val="both"/>
        <w:rPr>
          <w:rFonts w:ascii="Segoe UI" w:hAnsi="Segoe UI" w:cs="Segoe UI"/>
          <w:color w:val="014171"/>
        </w:rPr>
      </w:pPr>
    </w:p>
    <w:p w14:paraId="0504BC1F" w14:textId="176461C0" w:rsidR="006B00B0" w:rsidRPr="00E27BB3" w:rsidRDefault="00807020" w:rsidP="00E27BB3">
      <w:pPr>
        <w:pStyle w:val="ListParagraph"/>
        <w:numPr>
          <w:ilvl w:val="0"/>
          <w:numId w:val="73"/>
        </w:numPr>
        <w:spacing w:after="0"/>
        <w:jc w:val="both"/>
        <w:rPr>
          <w:rFonts w:ascii="Segoe UI" w:hAnsi="Segoe UI" w:cs="Segoe UI"/>
          <w:color w:val="014171"/>
        </w:rPr>
      </w:pPr>
      <w:r>
        <w:rPr>
          <w:rFonts w:ascii="Segoe UI" w:hAnsi="Segoe UI" w:cs="Segoe UI"/>
          <w:color w:val="014171"/>
        </w:rPr>
        <w:t>a</w:t>
      </w:r>
      <w:r w:rsidR="006B00B0" w:rsidRPr="00E27BB3">
        <w:rPr>
          <w:rFonts w:ascii="Segoe UI" w:hAnsi="Segoe UI" w:cs="Segoe UI"/>
          <w:color w:val="014171"/>
        </w:rPr>
        <w:t xml:space="preserve">ct in accordance with the </w:t>
      </w:r>
      <w:r w:rsidR="00D32520">
        <w:rPr>
          <w:rFonts w:ascii="Segoe UI" w:hAnsi="Segoe UI" w:cs="Segoe UI"/>
          <w:color w:val="014171"/>
        </w:rPr>
        <w:t>Firm</w:t>
      </w:r>
      <w:r w:rsidR="00D32520" w:rsidRPr="00E27BB3">
        <w:rPr>
          <w:rFonts w:ascii="Segoe UI" w:hAnsi="Segoe UI" w:cs="Segoe UI"/>
          <w:color w:val="014171"/>
        </w:rPr>
        <w:t xml:space="preserve">’s </w:t>
      </w:r>
      <w:r w:rsidR="006B00B0" w:rsidRPr="00E27BB3">
        <w:rPr>
          <w:rFonts w:ascii="Segoe UI" w:hAnsi="Segoe UI" w:cs="Segoe UI"/>
          <w:color w:val="014171"/>
        </w:rPr>
        <w:t>constitution, and</w:t>
      </w:r>
    </w:p>
    <w:p w14:paraId="21B1B6F2" w14:textId="4524086C" w:rsidR="006B00B0" w:rsidRPr="00E27BB3" w:rsidRDefault="005D11A5" w:rsidP="00E27BB3">
      <w:pPr>
        <w:pStyle w:val="ListParagraph"/>
        <w:numPr>
          <w:ilvl w:val="0"/>
          <w:numId w:val="73"/>
        </w:numPr>
        <w:spacing w:after="0"/>
        <w:jc w:val="both"/>
        <w:rPr>
          <w:rFonts w:ascii="Segoe UI" w:hAnsi="Segoe UI" w:cs="Segoe UI"/>
          <w:color w:val="014171"/>
        </w:rPr>
      </w:pPr>
      <w:r w:rsidRPr="00E27BB3">
        <w:rPr>
          <w:rFonts w:ascii="Segoe UI" w:hAnsi="Segoe UI" w:cs="Segoe UI"/>
          <w:color w:val="014171"/>
        </w:rPr>
        <w:t>o</w:t>
      </w:r>
      <w:r w:rsidR="006B00B0" w:rsidRPr="00E27BB3">
        <w:rPr>
          <w:rFonts w:ascii="Segoe UI" w:hAnsi="Segoe UI" w:cs="Segoe UI"/>
          <w:color w:val="014171"/>
        </w:rPr>
        <w:t>nly exercise powers for the purposes for which they are conferred</w:t>
      </w:r>
      <w:r w:rsidRPr="00E27BB3">
        <w:rPr>
          <w:rFonts w:ascii="Segoe UI" w:hAnsi="Segoe UI" w:cs="Segoe UI"/>
          <w:color w:val="014171"/>
        </w:rPr>
        <w:t>.</w:t>
      </w:r>
    </w:p>
    <w:p w14:paraId="7C810884" w14:textId="65821C1E" w:rsidR="00CF78E4" w:rsidRPr="00E27BB3" w:rsidRDefault="00CF78E4" w:rsidP="00E27BB3">
      <w:pPr>
        <w:spacing w:after="0"/>
        <w:jc w:val="both"/>
        <w:rPr>
          <w:rFonts w:ascii="Segoe UI" w:hAnsi="Segoe UI" w:cs="Segoe UI"/>
          <w:color w:val="014171"/>
        </w:rPr>
      </w:pPr>
    </w:p>
    <w:p w14:paraId="5877502F" w14:textId="6901457A" w:rsidR="00373788" w:rsidRDefault="00D0736D" w:rsidP="00E27BB3">
      <w:pPr>
        <w:spacing w:after="0"/>
        <w:jc w:val="both"/>
        <w:rPr>
          <w:rFonts w:ascii="Segoe UI" w:hAnsi="Segoe UI" w:cs="Segoe UI"/>
          <w:color w:val="014171"/>
        </w:rPr>
      </w:pPr>
      <w:r w:rsidRPr="00E27BB3">
        <w:rPr>
          <w:rFonts w:ascii="Segoe UI" w:hAnsi="Segoe UI" w:cs="Segoe UI"/>
          <w:color w:val="014171"/>
        </w:rPr>
        <w:t xml:space="preserve">The allocation of tasks is governed </w:t>
      </w:r>
      <w:r w:rsidR="00807020" w:rsidRPr="00370CC2">
        <w:rPr>
          <w:rFonts w:ascii="Segoe UI" w:hAnsi="Segoe UI" w:cs="Segoe UI"/>
          <w:color w:val="014171"/>
        </w:rPr>
        <w:t>by</w:t>
      </w:r>
      <w:r w:rsidR="00807020" w:rsidRPr="00E27BB3">
        <w:rPr>
          <w:rFonts w:ascii="Segoe UI" w:hAnsi="Segoe UI" w:cs="Segoe UI"/>
          <w:color w:val="014171"/>
        </w:rPr>
        <w:t xml:space="preserve"> </w:t>
      </w:r>
      <w:r w:rsidRPr="00E27BB3">
        <w:rPr>
          <w:rFonts w:ascii="Segoe UI" w:hAnsi="Segoe UI" w:cs="Segoe UI"/>
          <w:color w:val="014171"/>
        </w:rPr>
        <w:t>DCMD</w:t>
      </w:r>
      <w:r w:rsidR="00C61EE4" w:rsidRPr="00370CC2">
        <w:rPr>
          <w:rFonts w:ascii="Segoe UI" w:hAnsi="Segoe UI" w:cs="Segoe UI"/>
          <w:color w:val="014171"/>
        </w:rPr>
        <w:t>’s</w:t>
      </w:r>
      <w:r w:rsidRPr="00E27BB3">
        <w:rPr>
          <w:rFonts w:ascii="Segoe UI" w:hAnsi="Segoe UI" w:cs="Segoe UI"/>
          <w:color w:val="014171"/>
        </w:rPr>
        <w:t xml:space="preserve"> Business Ass</w:t>
      </w:r>
      <w:r w:rsidR="001A54F1" w:rsidRPr="00E27BB3">
        <w:rPr>
          <w:rFonts w:ascii="Segoe UI" w:hAnsi="Segoe UI" w:cs="Segoe UI"/>
          <w:color w:val="014171"/>
        </w:rPr>
        <w:t>i</w:t>
      </w:r>
      <w:r w:rsidRPr="00E27BB3">
        <w:rPr>
          <w:rFonts w:ascii="Segoe UI" w:hAnsi="Segoe UI" w:cs="Segoe UI"/>
          <w:color w:val="014171"/>
        </w:rPr>
        <w:t xml:space="preserve">gnment Plan. </w:t>
      </w:r>
      <w:r w:rsidR="00373788" w:rsidRPr="00E27BB3">
        <w:rPr>
          <w:rFonts w:ascii="Segoe UI" w:hAnsi="Segoe UI" w:cs="Segoe UI"/>
          <w:color w:val="014171"/>
        </w:rPr>
        <w:t xml:space="preserve">In order to meet </w:t>
      </w:r>
      <w:r w:rsidR="00C61EE4" w:rsidRPr="00370CC2">
        <w:rPr>
          <w:rFonts w:ascii="Segoe UI" w:hAnsi="Segoe UI" w:cs="Segoe UI"/>
          <w:color w:val="014171"/>
        </w:rPr>
        <w:t>their</w:t>
      </w:r>
      <w:r w:rsidR="00373788" w:rsidRPr="00E27BB3">
        <w:rPr>
          <w:rFonts w:ascii="Segoe UI" w:hAnsi="Segoe UI" w:cs="Segoe UI"/>
          <w:color w:val="014171"/>
        </w:rPr>
        <w:t xml:space="preserve"> res</w:t>
      </w:r>
      <w:r w:rsidR="00A90CA8" w:rsidRPr="00E27BB3">
        <w:rPr>
          <w:rFonts w:ascii="Segoe UI" w:hAnsi="Segoe UI" w:cs="Segoe UI"/>
          <w:color w:val="014171"/>
        </w:rPr>
        <w:t>ponsibilities, the MDs have delegated</w:t>
      </w:r>
      <w:r w:rsidR="00373788" w:rsidRPr="00E27BB3">
        <w:rPr>
          <w:rFonts w:ascii="Segoe UI" w:hAnsi="Segoe UI" w:cs="Segoe UI"/>
          <w:color w:val="014171"/>
        </w:rPr>
        <w:t xml:space="preserve"> the day-to-da</w:t>
      </w:r>
      <w:r w:rsidR="00A90CA8" w:rsidRPr="00E27BB3">
        <w:rPr>
          <w:rFonts w:ascii="Segoe UI" w:hAnsi="Segoe UI" w:cs="Segoe UI"/>
          <w:color w:val="014171"/>
        </w:rPr>
        <w:t xml:space="preserve">y running of the Firm to the </w:t>
      </w:r>
      <w:r w:rsidR="00174CDA" w:rsidRPr="00E27BB3">
        <w:rPr>
          <w:rFonts w:ascii="Segoe UI" w:hAnsi="Segoe UI" w:cs="Segoe UI"/>
          <w:color w:val="014171"/>
        </w:rPr>
        <w:t>business unit managers,</w:t>
      </w:r>
      <w:r w:rsidR="00D97314" w:rsidRPr="00E27BB3">
        <w:rPr>
          <w:rFonts w:ascii="Segoe UI" w:hAnsi="Segoe UI" w:cs="Segoe UI"/>
          <w:color w:val="014171"/>
        </w:rPr>
        <w:t xml:space="preserve"> divisional heads</w:t>
      </w:r>
      <w:r w:rsidR="00174CDA" w:rsidRPr="00E27BB3">
        <w:rPr>
          <w:rFonts w:ascii="Segoe UI" w:hAnsi="Segoe UI" w:cs="Segoe UI"/>
          <w:color w:val="014171"/>
        </w:rPr>
        <w:t xml:space="preserve"> or senior staff within the organisation.</w:t>
      </w:r>
      <w:r w:rsidR="00373788" w:rsidRPr="00E27BB3">
        <w:rPr>
          <w:rFonts w:ascii="Segoe UI" w:hAnsi="Segoe UI" w:cs="Segoe UI"/>
          <w:color w:val="014171"/>
        </w:rPr>
        <w:t xml:space="preserve"> The </w:t>
      </w:r>
      <w:r w:rsidR="00D97314" w:rsidRPr="00E27BB3">
        <w:rPr>
          <w:rFonts w:ascii="Segoe UI" w:hAnsi="Segoe UI" w:cs="Segoe UI"/>
          <w:color w:val="014171"/>
        </w:rPr>
        <w:t xml:space="preserve">allocation and </w:t>
      </w:r>
      <w:r w:rsidR="00373788" w:rsidRPr="00E27BB3">
        <w:rPr>
          <w:rFonts w:ascii="Segoe UI" w:hAnsi="Segoe UI" w:cs="Segoe UI"/>
          <w:color w:val="014171"/>
        </w:rPr>
        <w:t>segregation of</w:t>
      </w:r>
      <w:r w:rsidR="00D97314" w:rsidRPr="00E27BB3">
        <w:rPr>
          <w:rFonts w:ascii="Segoe UI" w:hAnsi="Segoe UI" w:cs="Segoe UI"/>
          <w:color w:val="014171"/>
        </w:rPr>
        <w:t xml:space="preserve"> duties allocated in the various functions</w:t>
      </w:r>
      <w:r w:rsidR="00373788" w:rsidRPr="00E27BB3">
        <w:rPr>
          <w:rFonts w:ascii="Segoe UI" w:hAnsi="Segoe UI" w:cs="Segoe UI"/>
          <w:color w:val="014171"/>
        </w:rPr>
        <w:t xml:space="preserve"> is documented and recorded in accordance with the </w:t>
      </w:r>
      <w:r w:rsidR="00D97314" w:rsidRPr="00E27BB3">
        <w:rPr>
          <w:rFonts w:ascii="Segoe UI" w:hAnsi="Segoe UI" w:cs="Segoe UI"/>
          <w:color w:val="014171"/>
        </w:rPr>
        <w:t>Firm</w:t>
      </w:r>
      <w:r w:rsidR="0048121F" w:rsidRPr="00370CC2">
        <w:rPr>
          <w:rFonts w:ascii="Segoe UI" w:hAnsi="Segoe UI" w:cs="Segoe UI"/>
          <w:color w:val="014171"/>
        </w:rPr>
        <w:t>’</w:t>
      </w:r>
      <w:r w:rsidR="00D97314" w:rsidRPr="00E27BB3">
        <w:rPr>
          <w:rFonts w:ascii="Segoe UI" w:hAnsi="Segoe UI" w:cs="Segoe UI"/>
          <w:color w:val="014171"/>
        </w:rPr>
        <w:t>s organisation handbook</w:t>
      </w:r>
      <w:r w:rsidR="005C0940">
        <w:rPr>
          <w:rFonts w:ascii="Segoe UI" w:hAnsi="Segoe UI" w:cs="Segoe UI"/>
          <w:color w:val="014171"/>
        </w:rPr>
        <w:t xml:space="preserve"> and goes </w:t>
      </w:r>
      <w:r w:rsidR="001E0E7B">
        <w:rPr>
          <w:rFonts w:ascii="Segoe UI" w:hAnsi="Segoe UI" w:cs="Segoe UI"/>
          <w:color w:val="014171"/>
        </w:rPr>
        <w:t xml:space="preserve">right </w:t>
      </w:r>
      <w:r w:rsidR="005C0940">
        <w:rPr>
          <w:rFonts w:ascii="Segoe UI" w:hAnsi="Segoe UI" w:cs="Segoe UI"/>
          <w:color w:val="014171"/>
        </w:rPr>
        <w:t>up to the MD level</w:t>
      </w:r>
      <w:r w:rsidR="00D97314" w:rsidRPr="00E27BB3">
        <w:rPr>
          <w:rFonts w:ascii="Segoe UI" w:hAnsi="Segoe UI" w:cs="Segoe UI"/>
          <w:color w:val="014171"/>
        </w:rPr>
        <w:t>.</w:t>
      </w:r>
      <w:r w:rsidR="00CE5E3E">
        <w:rPr>
          <w:rFonts w:ascii="Segoe UI" w:hAnsi="Segoe UI" w:cs="Segoe UI"/>
          <w:color w:val="014171"/>
        </w:rPr>
        <w:t xml:space="preserve"> </w:t>
      </w:r>
      <w:r w:rsidRPr="00E27BB3">
        <w:rPr>
          <w:rFonts w:ascii="Segoe UI" w:hAnsi="Segoe UI" w:cs="Segoe UI"/>
          <w:color w:val="014171"/>
        </w:rPr>
        <w:t>The Firm</w:t>
      </w:r>
      <w:r w:rsidR="00796C55" w:rsidRPr="00370CC2">
        <w:rPr>
          <w:rFonts w:ascii="Segoe UI" w:hAnsi="Segoe UI" w:cs="Segoe UI"/>
          <w:color w:val="014171"/>
        </w:rPr>
        <w:t>’</w:t>
      </w:r>
      <w:r w:rsidRPr="00E27BB3">
        <w:rPr>
          <w:rFonts w:ascii="Segoe UI" w:hAnsi="Segoe UI" w:cs="Segoe UI"/>
          <w:color w:val="014171"/>
        </w:rPr>
        <w:t xml:space="preserve">s MDs do not hold </w:t>
      </w:r>
      <w:r w:rsidR="005C0940">
        <w:rPr>
          <w:rFonts w:ascii="Segoe UI" w:hAnsi="Segoe UI" w:cs="Segoe UI"/>
          <w:color w:val="014171"/>
        </w:rPr>
        <w:t xml:space="preserve">any </w:t>
      </w:r>
      <w:r w:rsidRPr="00E27BB3">
        <w:rPr>
          <w:rFonts w:ascii="Segoe UI" w:hAnsi="Segoe UI" w:cs="Segoe UI"/>
          <w:color w:val="014171"/>
        </w:rPr>
        <w:t xml:space="preserve">additional directorships </w:t>
      </w:r>
      <w:r w:rsidR="005C0940">
        <w:rPr>
          <w:rFonts w:ascii="Segoe UI" w:hAnsi="Segoe UI" w:cs="Segoe UI"/>
          <w:color w:val="014171"/>
        </w:rPr>
        <w:t xml:space="preserve">beside </w:t>
      </w:r>
      <w:r w:rsidRPr="00E27BB3">
        <w:rPr>
          <w:rFonts w:ascii="Segoe UI" w:hAnsi="Segoe UI" w:cs="Segoe UI"/>
          <w:color w:val="014171"/>
        </w:rPr>
        <w:t>their role as Managing Director.</w:t>
      </w:r>
    </w:p>
    <w:p w14:paraId="61B9843D" w14:textId="0ED64B51" w:rsidR="001E0E7B" w:rsidRDefault="001E0E7B" w:rsidP="00E27BB3">
      <w:pPr>
        <w:spacing w:after="0"/>
        <w:jc w:val="both"/>
        <w:rPr>
          <w:rFonts w:ascii="Segoe UI" w:hAnsi="Segoe UI" w:cs="Segoe UI"/>
          <w:color w:val="014171"/>
        </w:rPr>
      </w:pPr>
      <w:r>
        <w:rPr>
          <w:rFonts w:ascii="Segoe UI" w:hAnsi="Segoe UI" w:cs="Segoe UI"/>
          <w:color w:val="014171"/>
        </w:rPr>
        <w:t>Due to the size of DCMD in combination with the new setup of DCMD there is currently only one diversity strategy element which is that the two MD’s should have a different nationality.</w:t>
      </w:r>
    </w:p>
    <w:p w14:paraId="380DC632" w14:textId="0A9F2F7C" w:rsidR="002F55B5" w:rsidRDefault="002F55B5" w:rsidP="00E27BB3">
      <w:pPr>
        <w:spacing w:after="0"/>
        <w:jc w:val="both"/>
        <w:rPr>
          <w:rFonts w:ascii="Segoe UI" w:hAnsi="Segoe UI" w:cs="Segoe UI"/>
          <w:color w:val="014171"/>
        </w:rPr>
      </w:pPr>
    </w:p>
    <w:p w14:paraId="17ED5FA5" w14:textId="05022D64" w:rsidR="002F55B5" w:rsidRPr="00E27BB3" w:rsidRDefault="002F55B5" w:rsidP="00E27BB3">
      <w:pPr>
        <w:pStyle w:val="Heading3"/>
      </w:pPr>
      <w:r w:rsidRPr="00E27BB3">
        <w:t>Committee Structure</w:t>
      </w:r>
    </w:p>
    <w:p w14:paraId="7D0CDB83" w14:textId="369FF32C" w:rsidR="002F55B5" w:rsidRPr="002F55B5" w:rsidRDefault="002F55B5" w:rsidP="002F55B5">
      <w:pPr>
        <w:spacing w:after="0"/>
        <w:jc w:val="both"/>
        <w:rPr>
          <w:rFonts w:ascii="Segoe UI" w:hAnsi="Segoe UI" w:cs="Segoe UI"/>
          <w:color w:val="014171"/>
        </w:rPr>
      </w:pPr>
      <w:r w:rsidRPr="002F55B5">
        <w:rPr>
          <w:rFonts w:ascii="Segoe UI" w:hAnsi="Segoe UI" w:cs="Segoe UI"/>
          <w:color w:val="014171"/>
        </w:rPr>
        <w:t>DCMD Management has established several committees to assist it with detailed review/analysis of key topics, including the oversight of risk and regulatory matters, financia</w:t>
      </w:r>
      <w:r>
        <w:rPr>
          <w:rFonts w:ascii="Segoe UI" w:hAnsi="Segoe UI" w:cs="Segoe UI"/>
          <w:color w:val="014171"/>
        </w:rPr>
        <w:t>l and internal control adequacy,</w:t>
      </w:r>
      <w:r w:rsidRPr="002F55B5">
        <w:rPr>
          <w:rFonts w:ascii="Segoe UI" w:hAnsi="Segoe UI" w:cs="Segoe UI"/>
          <w:color w:val="014171"/>
        </w:rPr>
        <w:t xml:space="preserve"> and conduct, culture and reputational matters.</w:t>
      </w:r>
    </w:p>
    <w:p w14:paraId="714E2B9F" w14:textId="77777777" w:rsidR="002F55B5" w:rsidRPr="002F55B5" w:rsidRDefault="002F55B5" w:rsidP="002F55B5">
      <w:pPr>
        <w:spacing w:after="0"/>
        <w:jc w:val="both"/>
        <w:rPr>
          <w:rFonts w:ascii="Segoe UI" w:hAnsi="Segoe UI" w:cs="Segoe UI"/>
          <w:color w:val="014171"/>
        </w:rPr>
      </w:pPr>
    </w:p>
    <w:p w14:paraId="2E868ACC" w14:textId="5EEC567D" w:rsidR="002F55B5" w:rsidRPr="00E27BB3" w:rsidRDefault="002F55B5" w:rsidP="00E27BB3">
      <w:pPr>
        <w:spacing w:after="0"/>
        <w:jc w:val="both"/>
        <w:rPr>
          <w:rFonts w:ascii="Segoe UI" w:hAnsi="Segoe UI" w:cs="Segoe UI"/>
          <w:color w:val="014171"/>
        </w:rPr>
      </w:pPr>
      <w:r w:rsidRPr="002F55B5">
        <w:rPr>
          <w:rFonts w:ascii="Segoe UI" w:hAnsi="Segoe UI" w:cs="Segoe UI"/>
          <w:color w:val="014171"/>
        </w:rPr>
        <w:t>Each committee is governed by its own terms of reference, which are reviewed periodically, setting out the individual responsibilities of the committee. Action points are established and tracked and formal minutes are taken documenting discussions and challenges during the meetings.</w:t>
      </w:r>
    </w:p>
    <w:p w14:paraId="58A9F669" w14:textId="77777777" w:rsidR="002F1B92" w:rsidRPr="00E27BB3" w:rsidRDefault="002F1B92" w:rsidP="00E27BB3">
      <w:pPr>
        <w:spacing w:after="0"/>
        <w:jc w:val="both"/>
        <w:rPr>
          <w:rFonts w:ascii="Segoe UI" w:hAnsi="Segoe UI" w:cs="Segoe UI"/>
          <w:color w:val="014171"/>
        </w:rPr>
      </w:pPr>
    </w:p>
    <w:p w14:paraId="5A428447" w14:textId="2EF78092" w:rsidR="00807020" w:rsidRPr="00370CC2" w:rsidRDefault="00203580" w:rsidP="00E27BB3">
      <w:pPr>
        <w:spacing w:after="0"/>
        <w:jc w:val="both"/>
        <w:rPr>
          <w:rFonts w:ascii="Segoe UI" w:hAnsi="Segoe UI" w:cs="Segoe UI"/>
          <w:color w:val="014171"/>
        </w:rPr>
      </w:pPr>
      <w:r w:rsidRPr="00E27BB3">
        <w:rPr>
          <w:rFonts w:ascii="Segoe UI" w:hAnsi="Segoe UI" w:cs="Segoe UI"/>
          <w:color w:val="014171"/>
        </w:rPr>
        <w:t xml:space="preserve">DCMD has an </w:t>
      </w:r>
      <w:r w:rsidRPr="00E27BB3">
        <w:rPr>
          <w:rFonts w:ascii="Segoe UI" w:hAnsi="Segoe UI" w:cs="Segoe UI"/>
          <w:b/>
          <w:color w:val="014171"/>
        </w:rPr>
        <w:t>Executive Management Committee</w:t>
      </w:r>
      <w:r w:rsidRPr="00E27BB3">
        <w:rPr>
          <w:rFonts w:ascii="Segoe UI" w:hAnsi="Segoe UI" w:cs="Segoe UI"/>
          <w:color w:val="014171"/>
        </w:rPr>
        <w:t xml:space="preserve"> </w:t>
      </w:r>
      <w:r w:rsidR="00807020" w:rsidRPr="00370CC2">
        <w:rPr>
          <w:rFonts w:ascii="Segoe UI" w:hAnsi="Segoe UI" w:cs="Segoe UI"/>
          <w:color w:val="014171"/>
        </w:rPr>
        <w:t>(</w:t>
      </w:r>
      <w:r w:rsidR="00A668CC" w:rsidRPr="00370CC2">
        <w:rPr>
          <w:rFonts w:ascii="Segoe UI" w:hAnsi="Segoe UI" w:cs="Segoe UI"/>
          <w:color w:val="014171"/>
        </w:rPr>
        <w:t>“</w:t>
      </w:r>
      <w:r w:rsidR="00807020" w:rsidRPr="00370CC2">
        <w:rPr>
          <w:rFonts w:ascii="Segoe UI" w:hAnsi="Segoe UI" w:cs="Segoe UI"/>
          <w:color w:val="014171"/>
        </w:rPr>
        <w:t>ExCo</w:t>
      </w:r>
      <w:r w:rsidR="00A668CC" w:rsidRPr="00370CC2">
        <w:rPr>
          <w:rFonts w:ascii="Segoe UI" w:hAnsi="Segoe UI" w:cs="Segoe UI"/>
          <w:color w:val="014171"/>
        </w:rPr>
        <w:t>”</w:t>
      </w:r>
      <w:r w:rsidR="00807020" w:rsidRPr="00370CC2">
        <w:rPr>
          <w:rFonts w:ascii="Segoe UI" w:hAnsi="Segoe UI" w:cs="Segoe UI"/>
          <w:color w:val="014171"/>
        </w:rPr>
        <w:t xml:space="preserve">) </w:t>
      </w:r>
      <w:r w:rsidRPr="00E27BB3">
        <w:rPr>
          <w:rFonts w:ascii="Segoe UI" w:hAnsi="Segoe UI" w:cs="Segoe UI"/>
          <w:color w:val="014171"/>
        </w:rPr>
        <w:t>which acts as DCMD´s management committee and has the objective of assisting DCMD</w:t>
      </w:r>
      <w:r w:rsidR="006D4DA9">
        <w:rPr>
          <w:rFonts w:ascii="Segoe UI" w:hAnsi="Segoe UI" w:cs="Segoe UI"/>
          <w:color w:val="014171"/>
        </w:rPr>
        <w:t>’s Management</w:t>
      </w:r>
      <w:r w:rsidRPr="00E27BB3">
        <w:rPr>
          <w:rFonts w:ascii="Segoe UI" w:hAnsi="Segoe UI" w:cs="Segoe UI"/>
          <w:color w:val="014171"/>
        </w:rPr>
        <w:t xml:space="preserve"> with the task of providing continuous oversight of key business areas in the context of approved budgets and business plans.</w:t>
      </w:r>
    </w:p>
    <w:p w14:paraId="25A048F2" w14:textId="77777777" w:rsidR="00807020" w:rsidRPr="00370CC2" w:rsidRDefault="00807020" w:rsidP="00E27BB3">
      <w:pPr>
        <w:spacing w:after="0"/>
        <w:jc w:val="both"/>
        <w:rPr>
          <w:rFonts w:ascii="Segoe UI" w:hAnsi="Segoe UI" w:cs="Segoe UI"/>
          <w:color w:val="014171"/>
        </w:rPr>
      </w:pPr>
    </w:p>
    <w:p w14:paraId="389FA4E7" w14:textId="6EB531B3" w:rsidR="008A6B7E" w:rsidRDefault="00331DDB" w:rsidP="00E27BB3">
      <w:pPr>
        <w:spacing w:after="0"/>
        <w:jc w:val="both"/>
        <w:rPr>
          <w:rFonts w:ascii="Segoe UI" w:hAnsi="Segoe UI" w:cs="Segoe UI"/>
          <w:color w:val="014171"/>
        </w:rPr>
      </w:pPr>
      <w:r w:rsidRPr="00E27BB3">
        <w:rPr>
          <w:rFonts w:ascii="Segoe UI" w:hAnsi="Segoe UI" w:cs="Segoe UI"/>
          <w:color w:val="014171"/>
        </w:rPr>
        <w:t>DCMD</w:t>
      </w:r>
      <w:r w:rsidR="00807020" w:rsidRPr="00370CC2">
        <w:rPr>
          <w:rFonts w:ascii="Segoe UI" w:hAnsi="Segoe UI" w:cs="Segoe UI"/>
          <w:color w:val="014171"/>
        </w:rPr>
        <w:t>’</w:t>
      </w:r>
      <w:r w:rsidRPr="00E27BB3">
        <w:rPr>
          <w:rFonts w:ascii="Segoe UI" w:hAnsi="Segoe UI" w:cs="Segoe UI"/>
          <w:color w:val="014171"/>
        </w:rPr>
        <w:t xml:space="preserve">s </w:t>
      </w:r>
      <w:r w:rsidRPr="00E27BB3">
        <w:rPr>
          <w:rFonts w:ascii="Segoe UI" w:hAnsi="Segoe UI" w:cs="Segoe UI"/>
          <w:b/>
          <w:color w:val="014171"/>
        </w:rPr>
        <w:t>Risk Management Committee</w:t>
      </w:r>
      <w:r w:rsidRPr="00E27BB3">
        <w:rPr>
          <w:rFonts w:ascii="Segoe UI" w:hAnsi="Segoe UI" w:cs="Segoe UI"/>
          <w:color w:val="014171"/>
        </w:rPr>
        <w:t xml:space="preserve"> </w:t>
      </w:r>
      <w:r w:rsidR="00807020" w:rsidRPr="00370CC2">
        <w:rPr>
          <w:rFonts w:ascii="Segoe UI" w:hAnsi="Segoe UI" w:cs="Segoe UI"/>
          <w:color w:val="014171"/>
        </w:rPr>
        <w:t>(</w:t>
      </w:r>
      <w:r w:rsidR="00A668CC" w:rsidRPr="00370CC2">
        <w:rPr>
          <w:rFonts w:ascii="Segoe UI" w:hAnsi="Segoe UI" w:cs="Segoe UI"/>
          <w:color w:val="014171"/>
        </w:rPr>
        <w:t>“</w:t>
      </w:r>
      <w:r w:rsidR="00807020" w:rsidRPr="00370CC2">
        <w:rPr>
          <w:rFonts w:ascii="Segoe UI" w:hAnsi="Segoe UI" w:cs="Segoe UI"/>
          <w:color w:val="014171"/>
        </w:rPr>
        <w:t>RiCo</w:t>
      </w:r>
      <w:r w:rsidR="00A668CC" w:rsidRPr="00370CC2">
        <w:rPr>
          <w:rFonts w:ascii="Segoe UI" w:hAnsi="Segoe UI" w:cs="Segoe UI"/>
          <w:color w:val="014171"/>
        </w:rPr>
        <w:t>”</w:t>
      </w:r>
      <w:r w:rsidR="00807020" w:rsidRPr="00370CC2">
        <w:rPr>
          <w:rFonts w:ascii="Segoe UI" w:hAnsi="Segoe UI" w:cs="Segoe UI"/>
          <w:color w:val="014171"/>
        </w:rPr>
        <w:t xml:space="preserve">) </w:t>
      </w:r>
      <w:r w:rsidRPr="00E27BB3">
        <w:rPr>
          <w:rFonts w:ascii="Segoe UI" w:hAnsi="Segoe UI" w:cs="Segoe UI"/>
          <w:color w:val="014171"/>
        </w:rPr>
        <w:t xml:space="preserve">manages DCMD’s structural and business risk framework for the assessment and allocation of financial resources in a way that is consistent with the agreed strategy, business plans and risk appetite of the </w:t>
      </w:r>
      <w:r w:rsidR="00796C55" w:rsidRPr="00370CC2">
        <w:rPr>
          <w:rFonts w:ascii="Segoe UI" w:hAnsi="Segoe UI" w:cs="Segoe UI"/>
          <w:color w:val="014171"/>
        </w:rPr>
        <w:t>F</w:t>
      </w:r>
      <w:r w:rsidRPr="00E27BB3">
        <w:rPr>
          <w:rFonts w:ascii="Segoe UI" w:hAnsi="Segoe UI" w:cs="Segoe UI"/>
          <w:color w:val="014171"/>
        </w:rPr>
        <w:t>irm.</w:t>
      </w:r>
    </w:p>
    <w:p w14:paraId="384093A4" w14:textId="77777777" w:rsidR="00BA1A84" w:rsidRDefault="00BA1A84" w:rsidP="00E27BB3">
      <w:pPr>
        <w:spacing w:after="0"/>
        <w:jc w:val="both"/>
        <w:rPr>
          <w:rFonts w:ascii="Segoe UI" w:hAnsi="Segoe UI" w:cs="Segoe UI"/>
          <w:color w:val="014171"/>
        </w:rPr>
      </w:pPr>
    </w:p>
    <w:p w14:paraId="1CB5AC40" w14:textId="0D511570" w:rsidR="00331DDB" w:rsidRDefault="00331DDB" w:rsidP="00E27BB3">
      <w:pPr>
        <w:spacing w:after="0"/>
        <w:jc w:val="both"/>
        <w:rPr>
          <w:rFonts w:ascii="Segoe UI" w:hAnsi="Segoe UI" w:cs="Segoe UI"/>
          <w:color w:val="014171"/>
        </w:rPr>
      </w:pPr>
      <w:r w:rsidRPr="00E27BB3">
        <w:rPr>
          <w:rFonts w:ascii="Segoe UI" w:hAnsi="Segoe UI" w:cs="Segoe UI"/>
          <w:color w:val="014171"/>
        </w:rPr>
        <w:t>Within the scope of its authorities, the Risk Management Committee is also responsible for:</w:t>
      </w:r>
    </w:p>
    <w:p w14:paraId="39FC12DA" w14:textId="77777777" w:rsidR="00807020" w:rsidRPr="00E27BB3" w:rsidRDefault="00807020" w:rsidP="00E27BB3">
      <w:pPr>
        <w:spacing w:after="0"/>
        <w:jc w:val="both"/>
        <w:rPr>
          <w:rFonts w:ascii="Segoe UI" w:hAnsi="Segoe UI" w:cs="Segoe UI"/>
          <w:color w:val="014171"/>
        </w:rPr>
      </w:pPr>
    </w:p>
    <w:p w14:paraId="009DE467" w14:textId="1A809F53" w:rsidR="00331DDB" w:rsidRPr="00E27BB3" w:rsidRDefault="00331DDB" w:rsidP="00E27BB3">
      <w:pPr>
        <w:pStyle w:val="ListParagraph"/>
        <w:numPr>
          <w:ilvl w:val="0"/>
          <w:numId w:val="74"/>
        </w:numPr>
        <w:spacing w:after="0"/>
        <w:jc w:val="both"/>
        <w:rPr>
          <w:rFonts w:ascii="Segoe UI" w:hAnsi="Segoe UI" w:cs="Segoe UI"/>
          <w:color w:val="014171"/>
        </w:rPr>
      </w:pPr>
      <w:r w:rsidRPr="00E27BB3">
        <w:rPr>
          <w:rFonts w:ascii="Segoe UI" w:hAnsi="Segoe UI" w:cs="Segoe UI"/>
          <w:color w:val="014171"/>
        </w:rPr>
        <w:t>Approval of underwriting commitments/transactions</w:t>
      </w:r>
      <w:r w:rsidR="00BA1A84">
        <w:rPr>
          <w:rFonts w:ascii="Segoe UI" w:hAnsi="Segoe UI" w:cs="Segoe UI"/>
          <w:color w:val="014171"/>
        </w:rPr>
        <w:t>.</w:t>
      </w:r>
    </w:p>
    <w:p w14:paraId="444FEC07" w14:textId="5FCD9788" w:rsidR="00331DDB" w:rsidRPr="00E27BB3" w:rsidRDefault="00331DDB" w:rsidP="00E27BB3">
      <w:pPr>
        <w:pStyle w:val="ListParagraph"/>
        <w:numPr>
          <w:ilvl w:val="0"/>
          <w:numId w:val="74"/>
        </w:numPr>
        <w:spacing w:after="0"/>
        <w:jc w:val="both"/>
        <w:rPr>
          <w:rFonts w:ascii="Segoe UI" w:hAnsi="Segoe UI" w:cs="Segoe UI"/>
          <w:color w:val="014171"/>
        </w:rPr>
      </w:pPr>
      <w:r w:rsidRPr="00E27BB3">
        <w:rPr>
          <w:rFonts w:ascii="Segoe UI" w:hAnsi="Segoe UI" w:cs="Segoe UI"/>
          <w:color w:val="014171"/>
        </w:rPr>
        <w:t>New product approval</w:t>
      </w:r>
      <w:r w:rsidR="00BA1A84">
        <w:rPr>
          <w:rFonts w:ascii="Segoe UI" w:hAnsi="Segoe UI" w:cs="Segoe UI"/>
          <w:color w:val="014171"/>
        </w:rPr>
        <w:t>.</w:t>
      </w:r>
    </w:p>
    <w:p w14:paraId="491EB39E" w14:textId="45AB2905" w:rsidR="00331DDB" w:rsidRPr="00E27BB3" w:rsidRDefault="00331DDB" w:rsidP="00E27BB3">
      <w:pPr>
        <w:pStyle w:val="ListParagraph"/>
        <w:numPr>
          <w:ilvl w:val="0"/>
          <w:numId w:val="74"/>
        </w:numPr>
        <w:spacing w:after="0"/>
        <w:jc w:val="both"/>
        <w:rPr>
          <w:rFonts w:ascii="Segoe UI" w:hAnsi="Segoe UI" w:cs="Segoe UI"/>
          <w:color w:val="014171"/>
        </w:rPr>
      </w:pPr>
      <w:r w:rsidRPr="00E27BB3">
        <w:rPr>
          <w:rFonts w:ascii="Segoe UI" w:hAnsi="Segoe UI" w:cs="Segoe UI"/>
          <w:color w:val="014171"/>
        </w:rPr>
        <w:t>Overseeing the framework for the management and control of material outsourcing arrangements.</w:t>
      </w:r>
    </w:p>
    <w:p w14:paraId="3CFF6936" w14:textId="77777777" w:rsidR="00807020" w:rsidRDefault="00807020" w:rsidP="00E27BB3">
      <w:pPr>
        <w:spacing w:after="0"/>
        <w:jc w:val="both"/>
        <w:rPr>
          <w:rFonts w:ascii="Segoe UI" w:hAnsi="Segoe UI" w:cs="Segoe UI"/>
          <w:color w:val="014171"/>
        </w:rPr>
      </w:pPr>
    </w:p>
    <w:p w14:paraId="52517690" w14:textId="7AB03211" w:rsidR="009733AB" w:rsidRPr="00E27BB3" w:rsidRDefault="009733AB" w:rsidP="00E27BB3">
      <w:pPr>
        <w:spacing w:after="0"/>
        <w:jc w:val="both"/>
        <w:rPr>
          <w:rFonts w:ascii="Segoe UI" w:hAnsi="Segoe UI" w:cs="Segoe UI"/>
          <w:color w:val="014171"/>
        </w:rPr>
      </w:pPr>
      <w:r w:rsidRPr="00E27BB3">
        <w:rPr>
          <w:rFonts w:ascii="Segoe UI" w:hAnsi="Segoe UI" w:cs="Segoe UI"/>
          <w:color w:val="014171"/>
        </w:rPr>
        <w:t>The Risk Management Committee meets regularly once a month (12 meeting</w:t>
      </w:r>
      <w:r w:rsidR="000603E5" w:rsidRPr="00E27BB3">
        <w:rPr>
          <w:rFonts w:ascii="Segoe UI" w:hAnsi="Segoe UI" w:cs="Segoe UI"/>
          <w:color w:val="014171"/>
        </w:rPr>
        <w:t>s</w:t>
      </w:r>
      <w:r w:rsidRPr="00E27BB3">
        <w:rPr>
          <w:rFonts w:ascii="Segoe UI" w:hAnsi="Segoe UI" w:cs="Segoe UI"/>
          <w:color w:val="014171"/>
        </w:rPr>
        <w:t xml:space="preserve"> in the </w:t>
      </w:r>
      <w:r w:rsidR="000603E5" w:rsidRPr="00E27BB3">
        <w:rPr>
          <w:rFonts w:ascii="Segoe UI" w:hAnsi="Segoe UI" w:cs="Segoe UI"/>
          <w:color w:val="014171"/>
        </w:rPr>
        <w:t>financial year running from 01 April 2021 – 31 March 2022).</w:t>
      </w:r>
      <w:r w:rsidR="00C34149" w:rsidRPr="00E27BB3">
        <w:rPr>
          <w:rFonts w:ascii="Segoe UI" w:hAnsi="Segoe UI" w:cs="Segoe UI"/>
          <w:color w:val="014171"/>
        </w:rPr>
        <w:t xml:space="preserve"> </w:t>
      </w:r>
      <w:r w:rsidR="000271CC" w:rsidRPr="00E27BB3">
        <w:rPr>
          <w:rFonts w:ascii="Segoe UI" w:hAnsi="Segoe UI" w:cs="Segoe UI"/>
          <w:color w:val="014171"/>
        </w:rPr>
        <w:t>The voting members are both Managing Directors, the Head of Finance/Operations/IT and the Head of Legal and Compliance. DCMD</w:t>
      </w:r>
      <w:r w:rsidR="00807020" w:rsidRPr="00370CC2">
        <w:rPr>
          <w:rFonts w:ascii="Segoe UI" w:hAnsi="Segoe UI" w:cs="Segoe UI"/>
          <w:color w:val="014171"/>
        </w:rPr>
        <w:t>’</w:t>
      </w:r>
      <w:r w:rsidR="000271CC" w:rsidRPr="00E27BB3">
        <w:rPr>
          <w:rFonts w:ascii="Segoe UI" w:hAnsi="Segoe UI" w:cs="Segoe UI"/>
          <w:color w:val="014171"/>
        </w:rPr>
        <w:t>s parent company is represented with non-voting members representing Finance, Risk and Corporate Planning.</w:t>
      </w:r>
    </w:p>
    <w:p w14:paraId="1138C3CA" w14:textId="1F434286" w:rsidR="000603E5" w:rsidRPr="00E27BB3" w:rsidRDefault="000603E5" w:rsidP="00E27BB3">
      <w:pPr>
        <w:spacing w:after="0"/>
        <w:jc w:val="both"/>
        <w:rPr>
          <w:rFonts w:ascii="Segoe UI" w:hAnsi="Segoe UI" w:cs="Segoe UI"/>
          <w:color w:val="014171"/>
        </w:rPr>
      </w:pPr>
    </w:p>
    <w:p w14:paraId="3253C63E" w14:textId="2AE6D723" w:rsidR="006B00B0" w:rsidRPr="00E27BB3" w:rsidRDefault="00C34149" w:rsidP="00E27BB3">
      <w:pPr>
        <w:pStyle w:val="Heading2"/>
      </w:pPr>
      <w:bookmarkStart w:id="50" w:name="_Toc122626061"/>
      <w:r w:rsidRPr="00E27BB3">
        <w:t>Conflicts of Interest</w:t>
      </w:r>
      <w:bookmarkEnd w:id="50"/>
    </w:p>
    <w:p w14:paraId="7EE1035A" w14:textId="4A7E4EA8" w:rsidR="00360A6C" w:rsidRPr="00E27BB3" w:rsidRDefault="00CF3BB5" w:rsidP="00E27BB3">
      <w:pPr>
        <w:spacing w:after="0"/>
        <w:jc w:val="both"/>
        <w:rPr>
          <w:rFonts w:ascii="Segoe UI" w:hAnsi="Segoe UI" w:cs="Segoe UI"/>
          <w:color w:val="014171"/>
        </w:rPr>
      </w:pPr>
      <w:r w:rsidRPr="00E27BB3">
        <w:rPr>
          <w:rFonts w:ascii="Segoe UI" w:hAnsi="Segoe UI" w:cs="Segoe UI"/>
          <w:color w:val="014171"/>
        </w:rPr>
        <w:t>Information on dealing with conflicts of interest is set</w:t>
      </w:r>
      <w:r w:rsidR="00174CDA" w:rsidRPr="00E27BB3">
        <w:rPr>
          <w:rFonts w:ascii="Segoe UI" w:hAnsi="Segoe UI" w:cs="Segoe UI"/>
          <w:color w:val="014171"/>
        </w:rPr>
        <w:t xml:space="preserve"> out in DCMD</w:t>
      </w:r>
      <w:r w:rsidR="005F0C99">
        <w:rPr>
          <w:rFonts w:ascii="Segoe UI" w:hAnsi="Segoe UI" w:cs="Segoe UI"/>
          <w:color w:val="014171"/>
        </w:rPr>
        <w:t>’s</w:t>
      </w:r>
      <w:r w:rsidR="00174CDA" w:rsidRPr="00E27BB3">
        <w:rPr>
          <w:rFonts w:ascii="Segoe UI" w:hAnsi="Segoe UI" w:cs="Segoe UI"/>
          <w:color w:val="014171"/>
        </w:rPr>
        <w:t xml:space="preserve"> </w:t>
      </w:r>
      <w:r w:rsidR="00AE583A" w:rsidRPr="00E27BB3">
        <w:rPr>
          <w:rFonts w:ascii="Segoe UI" w:hAnsi="Segoe UI" w:cs="Segoe UI"/>
          <w:color w:val="014171"/>
        </w:rPr>
        <w:t>Conflicts of Interest Policy which is reviewed</w:t>
      </w:r>
      <w:r w:rsidR="00127555" w:rsidRPr="00E27BB3">
        <w:rPr>
          <w:rFonts w:ascii="Segoe UI" w:hAnsi="Segoe UI" w:cs="Segoe UI"/>
          <w:color w:val="014171"/>
        </w:rPr>
        <w:t xml:space="preserve"> on an annual basis. The </w:t>
      </w:r>
      <w:r w:rsidR="00D43F13" w:rsidRPr="00E27BB3">
        <w:rPr>
          <w:rFonts w:ascii="Segoe UI" w:hAnsi="Segoe UI" w:cs="Segoe UI"/>
          <w:color w:val="014171"/>
        </w:rPr>
        <w:t>p</w:t>
      </w:r>
      <w:r w:rsidRPr="00E27BB3">
        <w:rPr>
          <w:rFonts w:ascii="Segoe UI" w:hAnsi="Segoe UI" w:cs="Segoe UI"/>
          <w:color w:val="014171"/>
        </w:rPr>
        <w:t>olicy sets out how the Firm seeks to prevent and deal with confl</w:t>
      </w:r>
      <w:r w:rsidR="0074768A" w:rsidRPr="00E27BB3">
        <w:rPr>
          <w:rFonts w:ascii="Segoe UI" w:hAnsi="Segoe UI" w:cs="Segoe UI"/>
          <w:color w:val="014171"/>
        </w:rPr>
        <w:t>icts of interest if they arise and is giving a summar</w:t>
      </w:r>
      <w:r w:rsidR="002F026E" w:rsidRPr="00E27BB3">
        <w:rPr>
          <w:rFonts w:ascii="Segoe UI" w:hAnsi="Segoe UI" w:cs="Segoe UI"/>
          <w:color w:val="014171"/>
        </w:rPr>
        <w:t>y of procedures for managing con</w:t>
      </w:r>
      <w:r w:rsidR="0074768A" w:rsidRPr="00E27BB3">
        <w:rPr>
          <w:rFonts w:ascii="Segoe UI" w:hAnsi="Segoe UI" w:cs="Segoe UI"/>
          <w:color w:val="014171"/>
        </w:rPr>
        <w:t>flicts</w:t>
      </w:r>
      <w:r w:rsidR="008A6B7E">
        <w:rPr>
          <w:rFonts w:ascii="Segoe UI" w:hAnsi="Segoe UI" w:cs="Segoe UI"/>
          <w:color w:val="014171"/>
        </w:rPr>
        <w:t>,</w:t>
      </w:r>
      <w:r w:rsidR="0074768A" w:rsidRPr="00E27BB3">
        <w:rPr>
          <w:rFonts w:ascii="Segoe UI" w:hAnsi="Segoe UI" w:cs="Segoe UI"/>
          <w:color w:val="014171"/>
        </w:rPr>
        <w:t xml:space="preserve"> including requirements for disclosure and outside business interests.</w:t>
      </w:r>
      <w:bookmarkStart w:id="51" w:name="_Toc35528831"/>
      <w:bookmarkStart w:id="52" w:name="_Toc35599829"/>
      <w:bookmarkStart w:id="53" w:name="_Toc35612967"/>
      <w:bookmarkStart w:id="54" w:name="_Toc35528832"/>
      <w:bookmarkStart w:id="55" w:name="_Toc35612968"/>
      <w:bookmarkStart w:id="56" w:name="_Toc35528833"/>
      <w:bookmarkStart w:id="57" w:name="_Toc35612969"/>
      <w:bookmarkStart w:id="58" w:name="_Toc35528834"/>
      <w:bookmarkStart w:id="59" w:name="_Toc35612970"/>
      <w:bookmarkStart w:id="60" w:name="_Toc35528835"/>
      <w:bookmarkStart w:id="61" w:name="_Toc35612971"/>
      <w:bookmarkEnd w:id="51"/>
      <w:bookmarkEnd w:id="52"/>
      <w:bookmarkEnd w:id="53"/>
      <w:bookmarkEnd w:id="54"/>
      <w:bookmarkEnd w:id="55"/>
      <w:bookmarkEnd w:id="56"/>
      <w:bookmarkEnd w:id="57"/>
      <w:bookmarkEnd w:id="58"/>
      <w:bookmarkEnd w:id="59"/>
      <w:bookmarkEnd w:id="60"/>
      <w:bookmarkEnd w:id="61"/>
    </w:p>
    <w:p w14:paraId="0D519FD1" w14:textId="77777777" w:rsidR="00705663" w:rsidRPr="00E27BB3" w:rsidRDefault="00705663" w:rsidP="00E27BB3">
      <w:pPr>
        <w:spacing w:after="0"/>
        <w:jc w:val="both"/>
        <w:rPr>
          <w:rFonts w:ascii="Segoe UI" w:hAnsi="Segoe UI" w:cs="Segoe UI"/>
          <w:color w:val="014171"/>
        </w:rPr>
      </w:pPr>
      <w:bookmarkStart w:id="62" w:name="_Toc297131404"/>
      <w:bookmarkStart w:id="63" w:name="_Toc422754624"/>
      <w:bookmarkEnd w:id="62"/>
      <w:bookmarkEnd w:id="63"/>
    </w:p>
    <w:p w14:paraId="2CDD0DEC" w14:textId="42C3813B" w:rsidR="00B631A1" w:rsidRPr="00E27BB3" w:rsidRDefault="00B631A1" w:rsidP="00E27BB3">
      <w:pPr>
        <w:pStyle w:val="Heading2"/>
        <w:rPr>
          <w:b w:val="0"/>
          <w:bCs w:val="0"/>
        </w:rPr>
      </w:pPr>
      <w:bookmarkStart w:id="64" w:name="_Toc122626062"/>
      <w:r w:rsidRPr="00370CC2">
        <w:t>Approach to Diversity</w:t>
      </w:r>
      <w:bookmarkStart w:id="65" w:name="_Toc114670922"/>
      <w:bookmarkEnd w:id="65"/>
      <w:bookmarkEnd w:id="64"/>
    </w:p>
    <w:p w14:paraId="5DBBC548" w14:textId="3D2418ED" w:rsidR="009B4ADB" w:rsidRPr="00E27BB3" w:rsidRDefault="00233DE6" w:rsidP="00E27BB3">
      <w:pPr>
        <w:pStyle w:val="Heading3"/>
        <w:rPr>
          <w:b w:val="0"/>
        </w:rPr>
      </w:pPr>
      <w:r w:rsidRPr="00E27BB3">
        <w:t>Ov</w:t>
      </w:r>
      <w:r w:rsidR="00705663" w:rsidRPr="00E27BB3">
        <w:t>erview</w:t>
      </w:r>
    </w:p>
    <w:p w14:paraId="2C8B3295" w14:textId="01C4B12A" w:rsidR="00233DE6" w:rsidRPr="00E27BB3" w:rsidRDefault="00233DE6" w:rsidP="00E27BB3">
      <w:pPr>
        <w:spacing w:after="0"/>
        <w:jc w:val="both"/>
        <w:rPr>
          <w:rFonts w:ascii="Segoe UI" w:hAnsi="Segoe UI" w:cs="Segoe UI"/>
          <w:color w:val="014171"/>
        </w:rPr>
      </w:pPr>
      <w:r w:rsidRPr="00E27BB3">
        <w:rPr>
          <w:rFonts w:ascii="Segoe UI" w:hAnsi="Segoe UI" w:cs="Segoe UI"/>
          <w:color w:val="014171"/>
        </w:rPr>
        <w:t xml:space="preserve">Diversity and </w:t>
      </w:r>
      <w:r w:rsidR="00A668CC" w:rsidRPr="00370CC2">
        <w:rPr>
          <w:rFonts w:ascii="Segoe UI" w:hAnsi="Segoe UI" w:cs="Segoe UI"/>
          <w:color w:val="014171"/>
        </w:rPr>
        <w:t>I</w:t>
      </w:r>
      <w:r w:rsidRPr="00E27BB3">
        <w:rPr>
          <w:rFonts w:ascii="Segoe UI" w:hAnsi="Segoe UI" w:cs="Segoe UI"/>
          <w:color w:val="014171"/>
        </w:rPr>
        <w:t>nclusion (</w:t>
      </w:r>
      <w:r w:rsidR="00A04D7C" w:rsidRPr="00E27BB3">
        <w:rPr>
          <w:rFonts w:ascii="Segoe UI" w:hAnsi="Segoe UI" w:cs="Segoe UI"/>
          <w:color w:val="014171"/>
        </w:rPr>
        <w:t>“</w:t>
      </w:r>
      <w:r w:rsidRPr="00E27BB3">
        <w:rPr>
          <w:rFonts w:ascii="Segoe UI" w:hAnsi="Segoe UI" w:cs="Segoe UI"/>
          <w:color w:val="014171"/>
        </w:rPr>
        <w:t>D&amp;I</w:t>
      </w:r>
      <w:r w:rsidR="00A04D7C" w:rsidRPr="00E27BB3">
        <w:rPr>
          <w:rFonts w:ascii="Segoe UI" w:hAnsi="Segoe UI" w:cs="Segoe UI"/>
          <w:color w:val="014171"/>
        </w:rPr>
        <w:t>”</w:t>
      </w:r>
      <w:r w:rsidRPr="00E27BB3">
        <w:rPr>
          <w:rFonts w:ascii="Segoe UI" w:hAnsi="Segoe UI" w:cs="Segoe UI"/>
          <w:color w:val="014171"/>
        </w:rPr>
        <w:t xml:space="preserve">) is one of the element for establishing and maintaining good culture driven from the top in order to deliver higher standards of </w:t>
      </w:r>
      <w:r w:rsidR="00484502" w:rsidRPr="00E27BB3">
        <w:rPr>
          <w:rFonts w:ascii="Segoe UI" w:hAnsi="Segoe UI" w:cs="Segoe UI"/>
          <w:color w:val="014171"/>
        </w:rPr>
        <w:t>conduct and to maintain</w:t>
      </w:r>
      <w:r w:rsidRPr="00E27BB3">
        <w:rPr>
          <w:rFonts w:ascii="Segoe UI" w:hAnsi="Segoe UI" w:cs="Segoe UI"/>
          <w:color w:val="014171"/>
        </w:rPr>
        <w:t xml:space="preserve"> a competitive advantage.</w:t>
      </w:r>
      <w:r w:rsidR="006C4CBD">
        <w:rPr>
          <w:rFonts w:ascii="Segoe UI" w:hAnsi="Segoe UI" w:cs="Segoe UI"/>
          <w:color w:val="014171"/>
        </w:rPr>
        <w:t xml:space="preserve"> </w:t>
      </w:r>
      <w:r w:rsidRPr="00E27BB3">
        <w:rPr>
          <w:rFonts w:ascii="Segoe UI" w:hAnsi="Segoe UI" w:cs="Segoe UI"/>
          <w:color w:val="014171"/>
        </w:rPr>
        <w:t xml:space="preserve">Consequently, part of </w:t>
      </w:r>
      <w:r w:rsidR="00621E07">
        <w:rPr>
          <w:rFonts w:ascii="Segoe UI" w:hAnsi="Segoe UI" w:cs="Segoe UI"/>
          <w:color w:val="014171"/>
        </w:rPr>
        <w:t xml:space="preserve">our London Head Office </w:t>
      </w:r>
      <w:r w:rsidRPr="00E27BB3">
        <w:rPr>
          <w:rFonts w:ascii="Segoe UI" w:hAnsi="Segoe UI" w:cs="Segoe UI"/>
          <w:color w:val="014171"/>
        </w:rPr>
        <w:t xml:space="preserve">business strategy and one of the main objectives of </w:t>
      </w:r>
      <w:r w:rsidR="00484502" w:rsidRPr="00E27BB3">
        <w:rPr>
          <w:rFonts w:ascii="Segoe UI" w:hAnsi="Segoe UI" w:cs="Segoe UI"/>
          <w:color w:val="014171"/>
        </w:rPr>
        <w:t>our shareholder</w:t>
      </w:r>
      <w:r w:rsidR="007820D3" w:rsidRPr="00E27BB3">
        <w:rPr>
          <w:rFonts w:ascii="Segoe UI" w:hAnsi="Segoe UI" w:cs="Segoe UI"/>
          <w:color w:val="014171"/>
        </w:rPr>
        <w:t xml:space="preserve"> </w:t>
      </w:r>
      <w:r w:rsidRPr="00E27BB3">
        <w:rPr>
          <w:rFonts w:ascii="Segoe UI" w:hAnsi="Segoe UI" w:cs="Segoe UI"/>
          <w:color w:val="014171"/>
        </w:rPr>
        <w:t xml:space="preserve">is a commitment to create, support and promote a diverse environment at </w:t>
      </w:r>
      <w:r w:rsidR="009D060F" w:rsidRPr="00E27BB3">
        <w:rPr>
          <w:rFonts w:ascii="Segoe UI" w:hAnsi="Segoe UI" w:cs="Segoe UI"/>
          <w:color w:val="014171"/>
        </w:rPr>
        <w:t>the Firm</w:t>
      </w:r>
      <w:r w:rsidRPr="00E27BB3">
        <w:rPr>
          <w:rFonts w:ascii="Segoe UI" w:hAnsi="Segoe UI" w:cs="Segoe UI"/>
          <w:color w:val="014171"/>
        </w:rPr>
        <w:t>, irrespective of ethnicity, race, sexual orientation or gender.</w:t>
      </w:r>
    </w:p>
    <w:p w14:paraId="73205B30" w14:textId="77777777" w:rsidR="00233DE6" w:rsidRPr="00E27BB3" w:rsidRDefault="00233DE6" w:rsidP="00FA2278">
      <w:pPr>
        <w:autoSpaceDE w:val="0"/>
        <w:autoSpaceDN w:val="0"/>
        <w:adjustRightInd w:val="0"/>
        <w:spacing w:after="0" w:line="240" w:lineRule="auto"/>
        <w:jc w:val="both"/>
        <w:rPr>
          <w:rFonts w:ascii="Times New Roman" w:hAnsi="Times New Roman"/>
          <w:color w:val="0F243E" w:themeColor="text2" w:themeShade="80"/>
          <w:sz w:val="24"/>
          <w:szCs w:val="24"/>
        </w:rPr>
      </w:pPr>
    </w:p>
    <w:p w14:paraId="7F279962" w14:textId="77777777" w:rsidR="00BA1A84" w:rsidRDefault="002F06DC" w:rsidP="00E27BB3">
      <w:pPr>
        <w:spacing w:after="0"/>
        <w:jc w:val="both"/>
        <w:rPr>
          <w:rFonts w:ascii="Segoe UI" w:hAnsi="Segoe UI" w:cs="Segoe UI"/>
          <w:color w:val="014171"/>
        </w:rPr>
      </w:pPr>
      <w:r w:rsidRPr="00E27BB3">
        <w:rPr>
          <w:rFonts w:ascii="Segoe UI" w:hAnsi="Segoe UI" w:cs="Segoe UI"/>
          <w:color w:val="014171"/>
        </w:rPr>
        <w:t>DCMD</w:t>
      </w:r>
      <w:r w:rsidR="001C32D1" w:rsidRPr="00E27BB3">
        <w:rPr>
          <w:rFonts w:ascii="Segoe UI" w:hAnsi="Segoe UI" w:cs="Segoe UI"/>
          <w:color w:val="014171"/>
        </w:rPr>
        <w:t>’</w:t>
      </w:r>
      <w:r w:rsidRPr="00E27BB3">
        <w:rPr>
          <w:rFonts w:ascii="Segoe UI" w:hAnsi="Segoe UI" w:cs="Segoe UI"/>
          <w:color w:val="014171"/>
        </w:rPr>
        <w:t>s parent company</w:t>
      </w:r>
      <w:r w:rsidR="001C32D1" w:rsidRPr="00E27BB3">
        <w:rPr>
          <w:rFonts w:ascii="Segoe UI" w:hAnsi="Segoe UI" w:cs="Segoe UI"/>
          <w:color w:val="014171"/>
        </w:rPr>
        <w:t xml:space="preserve">, </w:t>
      </w:r>
      <w:r w:rsidRPr="00E27BB3">
        <w:rPr>
          <w:rFonts w:ascii="Segoe UI" w:hAnsi="Segoe UI" w:cs="Segoe UI"/>
          <w:color w:val="014171"/>
        </w:rPr>
        <w:t>DCME</w:t>
      </w:r>
      <w:r w:rsidR="001C32D1" w:rsidRPr="00E27BB3">
        <w:rPr>
          <w:rFonts w:ascii="Segoe UI" w:hAnsi="Segoe UI" w:cs="Segoe UI"/>
          <w:color w:val="014171"/>
        </w:rPr>
        <w:t>,</w:t>
      </w:r>
      <w:r w:rsidR="009D060F" w:rsidRPr="00E27BB3">
        <w:rPr>
          <w:rFonts w:ascii="Segoe UI" w:hAnsi="Segoe UI" w:cs="Segoe UI"/>
          <w:color w:val="014171"/>
        </w:rPr>
        <w:t xml:space="preserve"> has </w:t>
      </w:r>
      <w:r w:rsidR="00233DE6" w:rsidRPr="00E27BB3">
        <w:rPr>
          <w:rFonts w:ascii="Segoe UI" w:hAnsi="Segoe UI" w:cs="Segoe UI"/>
          <w:color w:val="014171"/>
        </w:rPr>
        <w:t xml:space="preserve">been continually building on </w:t>
      </w:r>
      <w:r w:rsidR="009D060F" w:rsidRPr="00E27BB3">
        <w:rPr>
          <w:rFonts w:ascii="Segoe UI" w:hAnsi="Segoe UI" w:cs="Segoe UI"/>
          <w:color w:val="014171"/>
        </w:rPr>
        <w:t>its</w:t>
      </w:r>
      <w:r w:rsidR="00233DE6" w:rsidRPr="00E27BB3">
        <w:rPr>
          <w:rFonts w:ascii="Segoe UI" w:hAnsi="Segoe UI" w:cs="Segoe UI"/>
          <w:color w:val="014171"/>
        </w:rPr>
        <w:t xml:space="preserve"> D&amp;I strategy to increase gender balance, including </w:t>
      </w:r>
      <w:r w:rsidR="009C0F63" w:rsidRPr="00E27BB3">
        <w:rPr>
          <w:rFonts w:ascii="Segoe UI" w:hAnsi="Segoe UI" w:cs="Segoe UI"/>
          <w:color w:val="014171"/>
        </w:rPr>
        <w:t xml:space="preserve">making </w:t>
      </w:r>
      <w:r w:rsidR="00233DE6" w:rsidRPr="00E27BB3">
        <w:rPr>
          <w:rFonts w:ascii="Segoe UI" w:hAnsi="Segoe UI" w:cs="Segoe UI"/>
          <w:color w:val="014171"/>
        </w:rPr>
        <w:t xml:space="preserve">female appointments to the </w:t>
      </w:r>
      <w:r w:rsidR="00981D9E" w:rsidRPr="00E27BB3">
        <w:rPr>
          <w:rFonts w:ascii="Segoe UI" w:hAnsi="Segoe UI" w:cs="Segoe UI"/>
          <w:color w:val="014171"/>
        </w:rPr>
        <w:t>Board</w:t>
      </w:r>
      <w:r w:rsidR="00233DE6" w:rsidRPr="00E27BB3">
        <w:rPr>
          <w:rFonts w:ascii="Segoe UI" w:hAnsi="Segoe UI" w:cs="Segoe UI"/>
          <w:color w:val="014171"/>
        </w:rPr>
        <w:t xml:space="preserve">. </w:t>
      </w:r>
    </w:p>
    <w:p w14:paraId="2DCF88CB" w14:textId="77777777" w:rsidR="00BA1A84" w:rsidRDefault="00BA1A84" w:rsidP="00E27BB3">
      <w:pPr>
        <w:spacing w:after="0"/>
        <w:jc w:val="both"/>
        <w:rPr>
          <w:rFonts w:ascii="Segoe UI" w:hAnsi="Segoe UI" w:cs="Segoe UI"/>
          <w:color w:val="014171"/>
        </w:rPr>
      </w:pPr>
    </w:p>
    <w:p w14:paraId="0ED37C09" w14:textId="77777777" w:rsidR="00BA1A84" w:rsidRDefault="002F06DC" w:rsidP="00E27BB3">
      <w:pPr>
        <w:spacing w:after="0"/>
        <w:jc w:val="both"/>
        <w:rPr>
          <w:rFonts w:ascii="Segoe UI" w:hAnsi="Segoe UI" w:cs="Segoe UI"/>
          <w:color w:val="014171"/>
        </w:rPr>
      </w:pPr>
      <w:r w:rsidRPr="00E27BB3">
        <w:rPr>
          <w:rFonts w:ascii="Segoe UI" w:hAnsi="Segoe UI" w:cs="Segoe UI"/>
          <w:color w:val="014171"/>
        </w:rPr>
        <w:t>Additionally, DCME</w:t>
      </w:r>
      <w:r w:rsidR="009D060F" w:rsidRPr="00E27BB3">
        <w:rPr>
          <w:rFonts w:ascii="Segoe UI" w:hAnsi="Segoe UI" w:cs="Segoe UI"/>
          <w:color w:val="014171"/>
        </w:rPr>
        <w:t xml:space="preserve"> is</w:t>
      </w:r>
      <w:r w:rsidR="00233DE6" w:rsidRPr="00E27BB3">
        <w:rPr>
          <w:rFonts w:ascii="Segoe UI" w:hAnsi="Segoe UI" w:cs="Segoe UI"/>
          <w:color w:val="014171"/>
        </w:rPr>
        <w:t xml:space="preserve"> a proud signatory to the Women in Finance Charter, </w:t>
      </w:r>
      <w:r w:rsidR="00AF4373" w:rsidRPr="00E27BB3">
        <w:rPr>
          <w:rFonts w:ascii="Segoe UI" w:hAnsi="Segoe UI" w:cs="Segoe UI"/>
          <w:color w:val="014171"/>
        </w:rPr>
        <w:t>an</w:t>
      </w:r>
      <w:r w:rsidR="00233DE6" w:rsidRPr="00E27BB3">
        <w:rPr>
          <w:rFonts w:ascii="Segoe UI" w:hAnsi="Segoe UI" w:cs="Segoe UI"/>
          <w:color w:val="014171"/>
        </w:rPr>
        <w:t xml:space="preserve"> HM Treasury initiative, which aims to achieve gender balance at all levels across financial services. </w:t>
      </w:r>
      <w:r w:rsidR="00240FDA" w:rsidRPr="00E27BB3">
        <w:rPr>
          <w:rFonts w:ascii="Segoe UI" w:hAnsi="Segoe UI" w:cs="Segoe UI"/>
          <w:color w:val="014171"/>
        </w:rPr>
        <w:t>DCME</w:t>
      </w:r>
      <w:r w:rsidR="005F252C" w:rsidRPr="00E27BB3">
        <w:rPr>
          <w:rFonts w:ascii="Segoe UI" w:hAnsi="Segoe UI" w:cs="Segoe UI"/>
          <w:color w:val="014171"/>
        </w:rPr>
        <w:t>´s</w:t>
      </w:r>
      <w:r w:rsidR="00233DE6" w:rsidRPr="00E27BB3">
        <w:rPr>
          <w:rFonts w:ascii="Segoe UI" w:hAnsi="Segoe UI" w:cs="Segoe UI"/>
          <w:color w:val="014171"/>
        </w:rPr>
        <w:t xml:space="preserve"> gender pay gap reports, prepared in line with the Equality Act 2010 (Gender Pay Gap Information) Regulations 2017, are published annually on </w:t>
      </w:r>
      <w:r w:rsidR="001C32D1" w:rsidRPr="00E27BB3">
        <w:rPr>
          <w:rFonts w:ascii="Segoe UI" w:hAnsi="Segoe UI" w:cs="Segoe UI"/>
          <w:color w:val="014171"/>
        </w:rPr>
        <w:t>DCME</w:t>
      </w:r>
      <w:r w:rsidR="00AF4373" w:rsidRPr="00E27BB3">
        <w:rPr>
          <w:rFonts w:ascii="Segoe UI" w:hAnsi="Segoe UI" w:cs="Segoe UI"/>
          <w:color w:val="014171"/>
        </w:rPr>
        <w:t>’s</w:t>
      </w:r>
      <w:r w:rsidR="00233DE6" w:rsidRPr="00E27BB3">
        <w:rPr>
          <w:rFonts w:ascii="Segoe UI" w:hAnsi="Segoe UI" w:cs="Segoe UI"/>
          <w:color w:val="014171"/>
        </w:rPr>
        <w:t xml:space="preserve"> website. As part of a </w:t>
      </w:r>
      <w:r w:rsidR="00233DE6" w:rsidRPr="00E27BB3">
        <w:rPr>
          <w:rFonts w:ascii="Segoe UI" w:hAnsi="Segoe UI" w:cs="Segoe UI"/>
          <w:color w:val="014171"/>
        </w:rPr>
        <w:lastRenderedPageBreak/>
        <w:t>Japanese ow</w:t>
      </w:r>
      <w:r w:rsidR="00AF4373" w:rsidRPr="00E27BB3">
        <w:rPr>
          <w:rFonts w:ascii="Segoe UI" w:hAnsi="Segoe UI" w:cs="Segoe UI"/>
          <w:color w:val="014171"/>
        </w:rPr>
        <w:t>n</w:t>
      </w:r>
      <w:r w:rsidR="00233DE6" w:rsidRPr="00E27BB3">
        <w:rPr>
          <w:rFonts w:ascii="Segoe UI" w:hAnsi="Segoe UI" w:cs="Segoe UI"/>
          <w:color w:val="014171"/>
        </w:rPr>
        <w:t xml:space="preserve">ed group, </w:t>
      </w:r>
      <w:r w:rsidR="001C32D1" w:rsidRPr="00E27BB3">
        <w:rPr>
          <w:rFonts w:ascii="Segoe UI" w:hAnsi="Segoe UI" w:cs="Segoe UI"/>
          <w:color w:val="014171"/>
        </w:rPr>
        <w:t>DCME</w:t>
      </w:r>
      <w:r w:rsidR="00233DE6" w:rsidRPr="00E27BB3">
        <w:rPr>
          <w:rFonts w:ascii="Segoe UI" w:hAnsi="Segoe UI" w:cs="Segoe UI"/>
          <w:color w:val="014171"/>
        </w:rPr>
        <w:t xml:space="preserve"> ha</w:t>
      </w:r>
      <w:r w:rsidR="00AF4373" w:rsidRPr="00E27BB3">
        <w:rPr>
          <w:rFonts w:ascii="Segoe UI" w:hAnsi="Segoe UI" w:cs="Segoe UI"/>
          <w:color w:val="014171"/>
        </w:rPr>
        <w:t>s</w:t>
      </w:r>
      <w:r w:rsidR="00233DE6" w:rsidRPr="00E27BB3">
        <w:rPr>
          <w:rFonts w:ascii="Segoe UI" w:hAnsi="Segoe UI" w:cs="Segoe UI"/>
          <w:color w:val="014171"/>
        </w:rPr>
        <w:t xml:space="preserve"> joined </w:t>
      </w:r>
      <w:r w:rsidR="00AF4373" w:rsidRPr="00E27BB3">
        <w:rPr>
          <w:rFonts w:ascii="Segoe UI" w:hAnsi="Segoe UI" w:cs="Segoe UI"/>
          <w:color w:val="014171"/>
        </w:rPr>
        <w:t xml:space="preserve">the </w:t>
      </w:r>
      <w:r w:rsidR="00233DE6" w:rsidRPr="00E27BB3">
        <w:rPr>
          <w:rFonts w:ascii="Segoe UI" w:hAnsi="Segoe UI" w:cs="Segoe UI"/>
          <w:color w:val="014171"/>
        </w:rPr>
        <w:t xml:space="preserve">Japan </w:t>
      </w:r>
      <w:r w:rsidR="00AF4373" w:rsidRPr="00E27BB3">
        <w:rPr>
          <w:rFonts w:ascii="Segoe UI" w:hAnsi="Segoe UI" w:cs="Segoe UI"/>
          <w:color w:val="014171"/>
        </w:rPr>
        <w:t>D&amp;I</w:t>
      </w:r>
      <w:r w:rsidR="00233DE6" w:rsidRPr="00E27BB3">
        <w:rPr>
          <w:rFonts w:ascii="Segoe UI" w:hAnsi="Segoe UI" w:cs="Segoe UI"/>
          <w:color w:val="014171"/>
        </w:rPr>
        <w:t xml:space="preserve"> Group representing another step forward in promoting diversity at</w:t>
      </w:r>
      <w:r w:rsidR="005F252C" w:rsidRPr="00E27BB3">
        <w:rPr>
          <w:rFonts w:ascii="Segoe UI" w:hAnsi="Segoe UI" w:cs="Segoe UI"/>
          <w:color w:val="014171"/>
        </w:rPr>
        <w:t xml:space="preserve"> our parent company</w:t>
      </w:r>
      <w:r w:rsidR="00233DE6" w:rsidRPr="00E27BB3">
        <w:rPr>
          <w:rFonts w:ascii="Segoe UI" w:hAnsi="Segoe UI" w:cs="Segoe UI"/>
          <w:color w:val="014171"/>
        </w:rPr>
        <w:t>.</w:t>
      </w:r>
      <w:r w:rsidR="005F252C" w:rsidRPr="00E27BB3">
        <w:rPr>
          <w:rFonts w:ascii="Segoe UI" w:hAnsi="Segoe UI" w:cs="Segoe UI"/>
          <w:color w:val="014171"/>
        </w:rPr>
        <w:t xml:space="preserve"> </w:t>
      </w:r>
    </w:p>
    <w:p w14:paraId="16E7CC94" w14:textId="77777777" w:rsidR="00BA1A84" w:rsidRDefault="00BA1A84" w:rsidP="00E27BB3">
      <w:pPr>
        <w:spacing w:after="0"/>
        <w:jc w:val="both"/>
        <w:rPr>
          <w:rFonts w:ascii="Segoe UI" w:hAnsi="Segoe UI" w:cs="Segoe UI"/>
          <w:color w:val="014171"/>
        </w:rPr>
      </w:pPr>
    </w:p>
    <w:p w14:paraId="09C50C0A" w14:textId="234DD196" w:rsidR="00233DE6" w:rsidRDefault="005F252C" w:rsidP="00E27BB3">
      <w:pPr>
        <w:spacing w:after="0"/>
        <w:jc w:val="both"/>
        <w:rPr>
          <w:rFonts w:ascii="Segoe UI" w:hAnsi="Segoe UI" w:cs="Segoe UI"/>
          <w:color w:val="014171"/>
        </w:rPr>
      </w:pPr>
      <w:r w:rsidRPr="00E27BB3">
        <w:rPr>
          <w:rFonts w:ascii="Segoe UI" w:hAnsi="Segoe UI" w:cs="Segoe UI"/>
          <w:color w:val="014171"/>
        </w:rPr>
        <w:t>DCM</w:t>
      </w:r>
      <w:r w:rsidR="003D169C" w:rsidRPr="00E27BB3">
        <w:rPr>
          <w:rFonts w:ascii="Segoe UI" w:hAnsi="Segoe UI" w:cs="Segoe UI"/>
          <w:color w:val="014171"/>
        </w:rPr>
        <w:t>E G</w:t>
      </w:r>
      <w:r w:rsidR="003D169C">
        <w:rPr>
          <w:rFonts w:ascii="Segoe UI" w:hAnsi="Segoe UI" w:cs="Segoe UI"/>
          <w:color w:val="014171"/>
        </w:rPr>
        <w:t>roup</w:t>
      </w:r>
      <w:r w:rsidR="001C32D1">
        <w:rPr>
          <w:rFonts w:ascii="Segoe UI" w:hAnsi="Segoe UI" w:cs="Segoe UI"/>
          <w:color w:val="014171"/>
        </w:rPr>
        <w:t>’</w:t>
      </w:r>
      <w:r w:rsidRPr="00E27BB3">
        <w:rPr>
          <w:rFonts w:ascii="Segoe UI" w:hAnsi="Segoe UI" w:cs="Segoe UI"/>
          <w:color w:val="014171"/>
        </w:rPr>
        <w:t>s</w:t>
      </w:r>
      <w:r w:rsidR="00233DE6" w:rsidRPr="00E27BB3">
        <w:rPr>
          <w:rFonts w:ascii="Segoe UI" w:hAnsi="Segoe UI" w:cs="Segoe UI"/>
          <w:color w:val="014171"/>
        </w:rPr>
        <w:t xml:space="preserve"> emphasis on and commitment to promoting a diverse workplace </w:t>
      </w:r>
      <w:r w:rsidR="00AF4373" w:rsidRPr="00E27BB3">
        <w:rPr>
          <w:rFonts w:ascii="Segoe UI" w:hAnsi="Segoe UI" w:cs="Segoe UI"/>
          <w:color w:val="014171"/>
        </w:rPr>
        <w:t>are</w:t>
      </w:r>
      <w:r w:rsidRPr="00E27BB3">
        <w:rPr>
          <w:rFonts w:ascii="Segoe UI" w:hAnsi="Segoe UI" w:cs="Segoe UI"/>
          <w:color w:val="014171"/>
        </w:rPr>
        <w:t xml:space="preserve"> set out in DCMD</w:t>
      </w:r>
      <w:r w:rsidR="001C32D1">
        <w:rPr>
          <w:rFonts w:ascii="Segoe UI" w:hAnsi="Segoe UI" w:cs="Segoe UI"/>
          <w:color w:val="014171"/>
        </w:rPr>
        <w:t>’</w:t>
      </w:r>
      <w:r w:rsidRPr="00E27BB3">
        <w:rPr>
          <w:rFonts w:ascii="Segoe UI" w:hAnsi="Segoe UI" w:cs="Segoe UI"/>
          <w:color w:val="014171"/>
        </w:rPr>
        <w:t>s parent compan</w:t>
      </w:r>
      <w:r w:rsidR="001C32D1">
        <w:rPr>
          <w:rFonts w:ascii="Segoe UI" w:hAnsi="Segoe UI" w:cs="Segoe UI"/>
          <w:color w:val="014171"/>
        </w:rPr>
        <w:t>y’s</w:t>
      </w:r>
      <w:r w:rsidR="00233DE6" w:rsidRPr="00E27BB3">
        <w:rPr>
          <w:rFonts w:ascii="Segoe UI" w:hAnsi="Segoe UI" w:cs="Segoe UI"/>
          <w:color w:val="014171"/>
        </w:rPr>
        <w:t xml:space="preserve"> D&amp;I Policy</w:t>
      </w:r>
      <w:r w:rsidRPr="00E27BB3">
        <w:rPr>
          <w:rFonts w:ascii="Segoe UI" w:hAnsi="Segoe UI" w:cs="Segoe UI"/>
          <w:color w:val="014171"/>
        </w:rPr>
        <w:t xml:space="preserve"> (</w:t>
      </w:r>
      <w:r w:rsidR="0083773A">
        <w:rPr>
          <w:rFonts w:ascii="Segoe UI" w:hAnsi="Segoe UI" w:cs="Segoe UI"/>
          <w:color w:val="014171"/>
        </w:rPr>
        <w:t>serving</w:t>
      </w:r>
      <w:r w:rsidRPr="00E27BB3">
        <w:rPr>
          <w:rFonts w:ascii="Segoe UI" w:hAnsi="Segoe UI" w:cs="Segoe UI"/>
          <w:color w:val="014171"/>
        </w:rPr>
        <w:t xml:space="preserve"> as well</w:t>
      </w:r>
      <w:r w:rsidR="0083773A">
        <w:rPr>
          <w:rFonts w:ascii="Segoe UI" w:hAnsi="Segoe UI" w:cs="Segoe UI"/>
          <w:color w:val="014171"/>
        </w:rPr>
        <w:t xml:space="preserve"> </w:t>
      </w:r>
      <w:r w:rsidR="00F87851">
        <w:rPr>
          <w:rFonts w:ascii="Segoe UI" w:hAnsi="Segoe UI" w:cs="Segoe UI"/>
          <w:color w:val="014171"/>
        </w:rPr>
        <w:t>as a guideline</w:t>
      </w:r>
      <w:r w:rsidRPr="00E27BB3">
        <w:rPr>
          <w:rFonts w:ascii="Segoe UI" w:hAnsi="Segoe UI" w:cs="Segoe UI"/>
          <w:color w:val="014171"/>
        </w:rPr>
        <w:t xml:space="preserve"> for DCMD as a DCME subsidiary in the Daiwa Group)</w:t>
      </w:r>
      <w:r w:rsidR="00AF4373" w:rsidRPr="00E27BB3">
        <w:rPr>
          <w:rFonts w:ascii="Segoe UI" w:hAnsi="Segoe UI" w:cs="Segoe UI"/>
          <w:color w:val="014171"/>
        </w:rPr>
        <w:t>, which</w:t>
      </w:r>
      <w:r w:rsidR="00233DE6" w:rsidRPr="00E27BB3">
        <w:rPr>
          <w:rFonts w:ascii="Segoe UI" w:hAnsi="Segoe UI" w:cs="Segoe UI"/>
          <w:color w:val="014171"/>
        </w:rPr>
        <w:t xml:space="preserve"> seek</w:t>
      </w:r>
      <w:r w:rsidR="00AF4373" w:rsidRPr="00E27BB3">
        <w:rPr>
          <w:rFonts w:ascii="Segoe UI" w:hAnsi="Segoe UI" w:cs="Segoe UI"/>
          <w:color w:val="014171"/>
        </w:rPr>
        <w:t>s</w:t>
      </w:r>
      <w:r w:rsidR="00233DE6" w:rsidRPr="00E27BB3">
        <w:rPr>
          <w:rFonts w:ascii="Segoe UI" w:hAnsi="Segoe UI" w:cs="Segoe UI"/>
          <w:color w:val="014171"/>
        </w:rPr>
        <w:t xml:space="preserve"> to treat all our employees and agents working on behalf of </w:t>
      </w:r>
      <w:r w:rsidR="00AF4373" w:rsidRPr="00E27BB3">
        <w:rPr>
          <w:rFonts w:ascii="Segoe UI" w:hAnsi="Segoe UI" w:cs="Segoe UI"/>
          <w:color w:val="014171"/>
        </w:rPr>
        <w:t>the Firm</w:t>
      </w:r>
      <w:r w:rsidR="00233DE6" w:rsidRPr="00E27BB3">
        <w:rPr>
          <w:rFonts w:ascii="Segoe UI" w:hAnsi="Segoe UI" w:cs="Segoe UI"/>
          <w:color w:val="014171"/>
        </w:rPr>
        <w:t xml:space="preserve"> fairly, inclusively and free from harassment or discrimination.</w:t>
      </w:r>
      <w:r w:rsidR="00240FDA" w:rsidRPr="00E27BB3">
        <w:rPr>
          <w:rFonts w:ascii="Segoe UI" w:hAnsi="Segoe UI" w:cs="Segoe UI"/>
          <w:color w:val="014171"/>
        </w:rPr>
        <w:t xml:space="preserve"> </w:t>
      </w:r>
      <w:r w:rsidR="00557640">
        <w:rPr>
          <w:rFonts w:ascii="Segoe UI" w:hAnsi="Segoe UI" w:cs="Segoe UI"/>
          <w:color w:val="014171"/>
        </w:rPr>
        <w:t>Due to the low staff size if DCMD there is no local D&amp;I policy at the moment</w:t>
      </w:r>
      <w:r w:rsidR="00E27BB3">
        <w:rPr>
          <w:rFonts w:ascii="Segoe UI" w:hAnsi="Segoe UI" w:cs="Segoe UI"/>
          <w:color w:val="014171"/>
        </w:rPr>
        <w:t xml:space="preserve"> but DCMD is following where possible the D&amp;I approach by its Head Office</w:t>
      </w:r>
      <w:r w:rsidR="00557640">
        <w:rPr>
          <w:rFonts w:ascii="Segoe UI" w:hAnsi="Segoe UI" w:cs="Segoe UI"/>
          <w:color w:val="014171"/>
        </w:rPr>
        <w:t>.</w:t>
      </w:r>
    </w:p>
    <w:p w14:paraId="7B6E1E7C" w14:textId="4A0CE5F6" w:rsidR="00FE1C9C" w:rsidRPr="00E27BB3" w:rsidRDefault="00621E07" w:rsidP="00E27BB3">
      <w:pPr>
        <w:spacing w:after="0"/>
        <w:jc w:val="both"/>
        <w:rPr>
          <w:rFonts w:ascii="Segoe UI" w:hAnsi="Segoe UI" w:cs="Segoe UI"/>
          <w:color w:val="014171"/>
        </w:rPr>
      </w:pPr>
      <w:r>
        <w:rPr>
          <w:rFonts w:ascii="Segoe UI" w:hAnsi="Segoe UI" w:cs="Segoe UI"/>
          <w:color w:val="014171"/>
        </w:rPr>
        <w:t xml:space="preserve">Nevertheless </w:t>
      </w:r>
      <w:r w:rsidR="00FE1C9C">
        <w:rPr>
          <w:rFonts w:ascii="Segoe UI" w:hAnsi="Segoe UI" w:cs="Segoe UI"/>
          <w:color w:val="014171"/>
        </w:rPr>
        <w:t>DCMD has the following diversity elements already implemented</w:t>
      </w:r>
      <w:r>
        <w:rPr>
          <w:rFonts w:ascii="Segoe UI" w:hAnsi="Segoe UI" w:cs="Segoe UI"/>
          <w:color w:val="014171"/>
        </w:rPr>
        <w:t xml:space="preserve"> and achieved</w:t>
      </w:r>
      <w:r w:rsidR="00FE1C9C">
        <w:rPr>
          <w:rFonts w:ascii="Segoe UI" w:hAnsi="Segoe UI" w:cs="Segoe UI"/>
          <w:color w:val="014171"/>
        </w:rPr>
        <w:t xml:space="preserve">: </w:t>
      </w:r>
      <w:r>
        <w:rPr>
          <w:rFonts w:ascii="Segoe UI" w:hAnsi="Segoe UI" w:cs="Segoe UI"/>
          <w:color w:val="014171"/>
        </w:rPr>
        <w:t>“</w:t>
      </w:r>
      <w:r w:rsidR="00FE1C9C">
        <w:rPr>
          <w:rFonts w:ascii="Segoe UI" w:hAnsi="Segoe UI" w:cs="Segoe UI"/>
          <w:color w:val="014171"/>
        </w:rPr>
        <w:t xml:space="preserve">woman </w:t>
      </w:r>
      <w:r>
        <w:rPr>
          <w:rFonts w:ascii="Segoe UI" w:hAnsi="Segoe UI" w:cs="Segoe UI"/>
          <w:color w:val="014171"/>
        </w:rPr>
        <w:t xml:space="preserve">in finance” </w:t>
      </w:r>
      <w:r w:rsidR="00FE1C9C">
        <w:rPr>
          <w:rFonts w:ascii="Segoe UI" w:hAnsi="Segoe UI" w:cs="Segoe UI"/>
          <w:color w:val="014171"/>
        </w:rPr>
        <w:t>employed: &gt; 3</w:t>
      </w:r>
      <w:r w:rsidR="003B2789">
        <w:rPr>
          <w:rFonts w:ascii="Segoe UI" w:hAnsi="Segoe UI" w:cs="Segoe UI"/>
          <w:color w:val="014171"/>
        </w:rPr>
        <w:t>5</w:t>
      </w:r>
      <w:r w:rsidR="00FE1C9C">
        <w:rPr>
          <w:rFonts w:ascii="Segoe UI" w:hAnsi="Segoe UI" w:cs="Segoe UI"/>
          <w:color w:val="014171"/>
        </w:rPr>
        <w:t xml:space="preserve">% of </w:t>
      </w:r>
      <w:r>
        <w:rPr>
          <w:rFonts w:ascii="Segoe UI" w:hAnsi="Segoe UI" w:cs="Segoe UI"/>
          <w:color w:val="014171"/>
        </w:rPr>
        <w:t xml:space="preserve">our </w:t>
      </w:r>
      <w:r w:rsidR="00FE1C9C">
        <w:rPr>
          <w:rFonts w:ascii="Segoe UI" w:hAnsi="Segoe UI" w:cs="Segoe UI"/>
          <w:color w:val="014171"/>
        </w:rPr>
        <w:t>total staff</w:t>
      </w:r>
      <w:r w:rsidR="001F5707">
        <w:rPr>
          <w:rFonts w:ascii="Segoe UI" w:hAnsi="Segoe UI" w:cs="Segoe UI"/>
          <w:color w:val="014171"/>
        </w:rPr>
        <w:t>.</w:t>
      </w:r>
    </w:p>
    <w:p w14:paraId="676B7EEC" w14:textId="77777777" w:rsidR="00233DE6" w:rsidRPr="00E27BB3" w:rsidRDefault="00233DE6" w:rsidP="00E27BB3">
      <w:pPr>
        <w:spacing w:after="0"/>
        <w:jc w:val="both"/>
        <w:rPr>
          <w:rFonts w:ascii="Segoe UI" w:hAnsi="Segoe UI" w:cs="Segoe UI"/>
          <w:color w:val="014171"/>
        </w:rPr>
      </w:pPr>
    </w:p>
    <w:p w14:paraId="721C4F04" w14:textId="7B21EC89" w:rsidR="009B4ADB" w:rsidRPr="00E27BB3" w:rsidRDefault="00810DDC" w:rsidP="00E27BB3">
      <w:pPr>
        <w:pStyle w:val="Heading3"/>
        <w:rPr>
          <w:b w:val="0"/>
        </w:rPr>
      </w:pPr>
      <w:r w:rsidRPr="00E27BB3">
        <w:t xml:space="preserve">Board </w:t>
      </w:r>
      <w:r w:rsidR="00133278">
        <w:t>R</w:t>
      </w:r>
      <w:r w:rsidRPr="00E27BB3">
        <w:t xml:space="preserve">ecruitment and </w:t>
      </w:r>
      <w:r w:rsidR="00133278">
        <w:t>D</w:t>
      </w:r>
      <w:r w:rsidRPr="00E27BB3">
        <w:t>iversity</w:t>
      </w:r>
    </w:p>
    <w:p w14:paraId="534B6311" w14:textId="6B80DBF8" w:rsidR="003274E4" w:rsidRPr="00E27BB3" w:rsidRDefault="00FF2B0F" w:rsidP="00E27BB3">
      <w:pPr>
        <w:spacing w:after="0"/>
        <w:jc w:val="both"/>
        <w:rPr>
          <w:rFonts w:ascii="Segoe UI" w:hAnsi="Segoe UI" w:cs="Segoe UI"/>
          <w:color w:val="014171"/>
        </w:rPr>
      </w:pPr>
      <w:r w:rsidRPr="00E27BB3">
        <w:rPr>
          <w:rFonts w:ascii="Segoe UI" w:hAnsi="Segoe UI" w:cs="Segoe UI"/>
          <w:color w:val="014171"/>
        </w:rPr>
        <w:t>In the financial year 01 April 2021 – 31 March 2022</w:t>
      </w:r>
      <w:r w:rsidR="005F0C99" w:rsidRPr="00E27BB3">
        <w:rPr>
          <w:rFonts w:ascii="Segoe UI" w:hAnsi="Segoe UI" w:cs="Segoe UI"/>
          <w:color w:val="014171"/>
        </w:rPr>
        <w:t>,</w:t>
      </w:r>
      <w:r w:rsidRPr="00E27BB3">
        <w:rPr>
          <w:rFonts w:ascii="Segoe UI" w:hAnsi="Segoe UI" w:cs="Segoe UI"/>
          <w:color w:val="014171"/>
        </w:rPr>
        <w:t xml:space="preserve"> DCMD employed on annual average 21</w:t>
      </w:r>
      <w:r w:rsidR="00954B9E" w:rsidRPr="00E27BB3">
        <w:rPr>
          <w:rFonts w:ascii="Segoe UI" w:hAnsi="Segoe UI" w:cs="Segoe UI"/>
          <w:color w:val="014171"/>
        </w:rPr>
        <w:t>.</w:t>
      </w:r>
      <w:r w:rsidRPr="00E27BB3">
        <w:rPr>
          <w:rFonts w:ascii="Segoe UI" w:hAnsi="Segoe UI" w:cs="Segoe UI"/>
          <w:color w:val="014171"/>
        </w:rPr>
        <w:t xml:space="preserve">25 staff and 2 </w:t>
      </w:r>
      <w:r w:rsidR="005F0C99" w:rsidRPr="00E27BB3">
        <w:rPr>
          <w:rFonts w:ascii="Segoe UI" w:hAnsi="Segoe UI" w:cs="Segoe UI"/>
          <w:color w:val="014171"/>
        </w:rPr>
        <w:t>M</w:t>
      </w:r>
      <w:r w:rsidRPr="00E27BB3">
        <w:rPr>
          <w:rFonts w:ascii="Segoe UI" w:hAnsi="Segoe UI" w:cs="Segoe UI"/>
          <w:color w:val="014171"/>
        </w:rPr>
        <w:t>anag</w:t>
      </w:r>
      <w:r w:rsidR="005F0C99" w:rsidRPr="00E27BB3">
        <w:rPr>
          <w:rFonts w:ascii="Segoe UI" w:hAnsi="Segoe UI" w:cs="Segoe UI"/>
          <w:color w:val="014171"/>
        </w:rPr>
        <w:t>ing</w:t>
      </w:r>
      <w:r w:rsidRPr="00E27BB3">
        <w:rPr>
          <w:rFonts w:ascii="Segoe UI" w:hAnsi="Segoe UI" w:cs="Segoe UI"/>
          <w:color w:val="014171"/>
        </w:rPr>
        <w:t xml:space="preserve"> </w:t>
      </w:r>
      <w:r w:rsidR="005F0C99" w:rsidRPr="00E27BB3">
        <w:rPr>
          <w:rFonts w:ascii="Segoe UI" w:hAnsi="Segoe UI" w:cs="Segoe UI"/>
          <w:color w:val="014171"/>
        </w:rPr>
        <w:t>D</w:t>
      </w:r>
      <w:r w:rsidRPr="00E27BB3">
        <w:rPr>
          <w:rFonts w:ascii="Segoe UI" w:hAnsi="Segoe UI" w:cs="Segoe UI"/>
          <w:color w:val="014171"/>
        </w:rPr>
        <w:t xml:space="preserve">irectors. </w:t>
      </w:r>
      <w:r w:rsidR="00002FDD" w:rsidRPr="00E27BB3">
        <w:rPr>
          <w:rFonts w:ascii="Segoe UI" w:hAnsi="Segoe UI" w:cs="Segoe UI"/>
          <w:color w:val="014171"/>
        </w:rPr>
        <w:t>Ab</w:t>
      </w:r>
      <w:r w:rsidR="00002FDD">
        <w:rPr>
          <w:rFonts w:ascii="Segoe UI" w:hAnsi="Segoe UI" w:cs="Segoe UI"/>
          <w:color w:val="014171"/>
        </w:rPr>
        <w:t>out</w:t>
      </w:r>
      <w:r w:rsidR="00002FDD" w:rsidRPr="00E27BB3">
        <w:rPr>
          <w:rFonts w:ascii="Segoe UI" w:hAnsi="Segoe UI" w:cs="Segoe UI"/>
          <w:color w:val="014171"/>
        </w:rPr>
        <w:t xml:space="preserve"> </w:t>
      </w:r>
      <w:r w:rsidRPr="00E27BB3">
        <w:rPr>
          <w:rFonts w:ascii="Segoe UI" w:hAnsi="Segoe UI" w:cs="Segoe UI"/>
          <w:color w:val="014171"/>
        </w:rPr>
        <w:t>43</w:t>
      </w:r>
      <w:r w:rsidR="00954B9E" w:rsidRPr="00E27BB3">
        <w:rPr>
          <w:rFonts w:ascii="Segoe UI" w:hAnsi="Segoe UI" w:cs="Segoe UI"/>
          <w:color w:val="014171"/>
        </w:rPr>
        <w:t>.</w:t>
      </w:r>
      <w:r w:rsidRPr="00E27BB3">
        <w:rPr>
          <w:rFonts w:ascii="Segoe UI" w:hAnsi="Segoe UI" w:cs="Segoe UI"/>
          <w:color w:val="014171"/>
        </w:rPr>
        <w:t xml:space="preserve">5% </w:t>
      </w:r>
      <w:r w:rsidR="00002FDD">
        <w:rPr>
          <w:rFonts w:ascii="Segoe UI" w:hAnsi="Segoe UI" w:cs="Segoe UI"/>
          <w:color w:val="014171"/>
        </w:rPr>
        <w:t xml:space="preserve">of </w:t>
      </w:r>
      <w:r w:rsidR="00720A2D">
        <w:rPr>
          <w:rFonts w:ascii="Segoe UI" w:hAnsi="Segoe UI" w:cs="Segoe UI"/>
          <w:color w:val="014171"/>
        </w:rPr>
        <w:t xml:space="preserve">average </w:t>
      </w:r>
      <w:r w:rsidR="00002FDD">
        <w:rPr>
          <w:rFonts w:ascii="Segoe UI" w:hAnsi="Segoe UI" w:cs="Segoe UI"/>
          <w:color w:val="014171"/>
        </w:rPr>
        <w:t>staff</w:t>
      </w:r>
      <w:r w:rsidR="00720A2D">
        <w:rPr>
          <w:rFonts w:ascii="Segoe UI" w:hAnsi="Segoe UI" w:cs="Segoe UI"/>
          <w:color w:val="014171"/>
        </w:rPr>
        <w:t xml:space="preserve"> during the financial year</w:t>
      </w:r>
      <w:r w:rsidR="00002FDD">
        <w:rPr>
          <w:rFonts w:ascii="Segoe UI" w:hAnsi="Segoe UI" w:cs="Segoe UI"/>
          <w:color w:val="014171"/>
        </w:rPr>
        <w:t xml:space="preserve"> were women</w:t>
      </w:r>
      <w:r w:rsidR="00D80B2C">
        <w:rPr>
          <w:rFonts w:ascii="Segoe UI" w:hAnsi="Segoe UI" w:cs="Segoe UI"/>
          <w:color w:val="014171"/>
        </w:rPr>
        <w:t>,</w:t>
      </w:r>
      <w:r w:rsidR="00002FDD">
        <w:rPr>
          <w:rFonts w:ascii="Segoe UI" w:hAnsi="Segoe UI" w:cs="Segoe UI"/>
          <w:color w:val="014171"/>
        </w:rPr>
        <w:t xml:space="preserve"> meaning</w:t>
      </w:r>
      <w:r w:rsidR="00D80B2C">
        <w:rPr>
          <w:rFonts w:ascii="Segoe UI" w:hAnsi="Segoe UI" w:cs="Segoe UI"/>
          <w:color w:val="014171"/>
        </w:rPr>
        <w:t xml:space="preserve"> that</w:t>
      </w:r>
      <w:r w:rsidR="00002FDD">
        <w:rPr>
          <w:rFonts w:ascii="Segoe UI" w:hAnsi="Segoe UI" w:cs="Segoe UI"/>
          <w:color w:val="014171"/>
        </w:rPr>
        <w:t xml:space="preserve"> DCMD has already achieved the</w:t>
      </w:r>
      <w:r w:rsidR="00002FDD" w:rsidRPr="00002FDD">
        <w:rPr>
          <w:rFonts w:ascii="Segoe UI" w:hAnsi="Segoe UI" w:cs="Segoe UI"/>
          <w:color w:val="014171"/>
        </w:rPr>
        <w:t xml:space="preserve"> Women in Finance target</w:t>
      </w:r>
      <w:r w:rsidR="00AE7D0F">
        <w:rPr>
          <w:rFonts w:ascii="Segoe UI" w:hAnsi="Segoe UI" w:cs="Segoe UI"/>
          <w:color w:val="014171"/>
        </w:rPr>
        <w:t xml:space="preserve"> of its parent company (40%). </w:t>
      </w:r>
      <w:r w:rsidR="009C29A7">
        <w:rPr>
          <w:rFonts w:ascii="Segoe UI" w:hAnsi="Segoe UI" w:cs="Segoe UI"/>
          <w:color w:val="014171"/>
        </w:rPr>
        <w:t xml:space="preserve">At the fiscal year end date the “Women in Finance” rate dropped to 36% </w:t>
      </w:r>
      <w:r w:rsidR="00387328">
        <w:rPr>
          <w:rFonts w:ascii="Segoe UI" w:hAnsi="Segoe UI" w:cs="Segoe UI"/>
          <w:color w:val="014171"/>
        </w:rPr>
        <w:t>in</w:t>
      </w:r>
      <w:r w:rsidR="009C29A7">
        <w:rPr>
          <w:rFonts w:ascii="Segoe UI" w:hAnsi="Segoe UI" w:cs="Segoe UI"/>
          <w:color w:val="014171"/>
        </w:rPr>
        <w:t xml:space="preserve"> DCMD</w:t>
      </w:r>
      <w:r w:rsidR="00036603">
        <w:rPr>
          <w:rFonts w:ascii="Segoe UI" w:hAnsi="Segoe UI" w:cs="Segoe UI"/>
          <w:color w:val="014171"/>
        </w:rPr>
        <w:t xml:space="preserve"> due to changes in staff</w:t>
      </w:r>
      <w:r w:rsidR="009C29A7">
        <w:rPr>
          <w:rFonts w:ascii="Segoe UI" w:hAnsi="Segoe UI" w:cs="Segoe UI"/>
          <w:color w:val="014171"/>
        </w:rPr>
        <w:t xml:space="preserve">. </w:t>
      </w:r>
      <w:r w:rsidRPr="00E27BB3">
        <w:rPr>
          <w:rFonts w:ascii="Segoe UI" w:hAnsi="Segoe UI" w:cs="Segoe UI"/>
          <w:color w:val="014171"/>
        </w:rPr>
        <w:t xml:space="preserve">The Management directors are represented by one Tokyo delegate (market side) and one German </w:t>
      </w:r>
      <w:r w:rsidR="00002FDD">
        <w:rPr>
          <w:rFonts w:ascii="Segoe UI" w:hAnsi="Segoe UI" w:cs="Segoe UI"/>
          <w:color w:val="014171"/>
        </w:rPr>
        <w:t>M</w:t>
      </w:r>
      <w:r w:rsidR="00002FDD" w:rsidRPr="00E27BB3">
        <w:rPr>
          <w:rFonts w:ascii="Segoe UI" w:hAnsi="Segoe UI" w:cs="Segoe UI"/>
          <w:color w:val="014171"/>
        </w:rPr>
        <w:t xml:space="preserve">anaging </w:t>
      </w:r>
      <w:r w:rsidR="00002FDD">
        <w:rPr>
          <w:rFonts w:ascii="Segoe UI" w:hAnsi="Segoe UI" w:cs="Segoe UI"/>
          <w:color w:val="014171"/>
        </w:rPr>
        <w:t>D</w:t>
      </w:r>
      <w:r w:rsidRPr="00E27BB3">
        <w:rPr>
          <w:rFonts w:ascii="Segoe UI" w:hAnsi="Segoe UI" w:cs="Segoe UI"/>
          <w:color w:val="014171"/>
        </w:rPr>
        <w:t>irector (back office side).</w:t>
      </w:r>
      <w:r w:rsidR="00002FDD">
        <w:rPr>
          <w:rFonts w:ascii="Segoe UI" w:hAnsi="Segoe UI" w:cs="Segoe UI"/>
          <w:color w:val="014171"/>
        </w:rPr>
        <w:t xml:space="preserve"> </w:t>
      </w:r>
      <w:r w:rsidR="003E69CF" w:rsidRPr="00E27BB3">
        <w:rPr>
          <w:rFonts w:ascii="Segoe UI" w:hAnsi="Segoe UI" w:cs="Segoe UI"/>
          <w:color w:val="014171"/>
        </w:rPr>
        <w:t>In its current size</w:t>
      </w:r>
      <w:r w:rsidR="00002FDD">
        <w:rPr>
          <w:rFonts w:ascii="Segoe UI" w:hAnsi="Segoe UI" w:cs="Segoe UI"/>
          <w:color w:val="014171"/>
        </w:rPr>
        <w:t>,</w:t>
      </w:r>
      <w:r w:rsidR="003E69CF" w:rsidRPr="00E27BB3">
        <w:rPr>
          <w:rFonts w:ascii="Segoe UI" w:hAnsi="Segoe UI" w:cs="Segoe UI"/>
          <w:color w:val="014171"/>
        </w:rPr>
        <w:t xml:space="preserve"> DC</w:t>
      </w:r>
      <w:r w:rsidR="001F2C2F" w:rsidRPr="00E27BB3">
        <w:rPr>
          <w:rFonts w:ascii="Segoe UI" w:hAnsi="Segoe UI" w:cs="Segoe UI"/>
          <w:color w:val="014171"/>
        </w:rPr>
        <w:t>MD is not able to implement the target ratios</w:t>
      </w:r>
      <w:r w:rsidR="00346176" w:rsidRPr="00E27BB3">
        <w:rPr>
          <w:rFonts w:ascii="Segoe UI" w:hAnsi="Segoe UI" w:cs="Segoe UI"/>
          <w:color w:val="014171"/>
        </w:rPr>
        <w:t xml:space="preserve"> and the respective status review</w:t>
      </w:r>
      <w:r w:rsidR="001F2C2F" w:rsidRPr="00E27BB3">
        <w:rPr>
          <w:rFonts w:ascii="Segoe UI" w:hAnsi="Segoe UI" w:cs="Segoe UI"/>
          <w:color w:val="014171"/>
        </w:rPr>
        <w:t xml:space="preserve"> of its parent company.</w:t>
      </w:r>
      <w:r w:rsidR="003E69CF" w:rsidRPr="00E27BB3">
        <w:rPr>
          <w:rFonts w:ascii="Segoe UI" w:hAnsi="Segoe UI" w:cs="Segoe UI"/>
          <w:color w:val="014171"/>
        </w:rPr>
        <w:t xml:space="preserve"> </w:t>
      </w:r>
      <w:r w:rsidR="008D7041" w:rsidRPr="00E27BB3">
        <w:rPr>
          <w:rFonts w:ascii="Segoe UI" w:hAnsi="Segoe UI" w:cs="Segoe UI"/>
          <w:color w:val="014171"/>
        </w:rPr>
        <w:t>The objective is to ensure</w:t>
      </w:r>
      <w:r w:rsidR="001F2C2F" w:rsidRPr="00E27BB3">
        <w:rPr>
          <w:rFonts w:ascii="Segoe UI" w:hAnsi="Segoe UI" w:cs="Segoe UI"/>
          <w:color w:val="014171"/>
        </w:rPr>
        <w:t xml:space="preserve"> that any expansion</w:t>
      </w:r>
      <w:r w:rsidR="00233DE6" w:rsidRPr="00E27BB3">
        <w:rPr>
          <w:rFonts w:ascii="Segoe UI" w:hAnsi="Segoe UI" w:cs="Segoe UI"/>
          <w:color w:val="014171"/>
        </w:rPr>
        <w:t xml:space="preserve"> of the </w:t>
      </w:r>
      <w:r w:rsidR="001F2C2F" w:rsidRPr="00E27BB3">
        <w:rPr>
          <w:rFonts w:ascii="Segoe UI" w:hAnsi="Segoe UI" w:cs="Segoe UI"/>
          <w:color w:val="014171"/>
        </w:rPr>
        <w:t>Management</w:t>
      </w:r>
      <w:r w:rsidR="00233DE6" w:rsidRPr="00E27BB3">
        <w:rPr>
          <w:rFonts w:ascii="Segoe UI" w:hAnsi="Segoe UI" w:cs="Segoe UI"/>
          <w:color w:val="014171"/>
        </w:rPr>
        <w:t xml:space="preserve"> </w:t>
      </w:r>
      <w:r w:rsidR="001F2C2F" w:rsidRPr="00E27BB3">
        <w:rPr>
          <w:rFonts w:ascii="Segoe UI" w:hAnsi="Segoe UI" w:cs="Segoe UI"/>
          <w:color w:val="014171"/>
        </w:rPr>
        <w:t xml:space="preserve">body </w:t>
      </w:r>
      <w:r w:rsidR="00233DE6" w:rsidRPr="00E27BB3">
        <w:rPr>
          <w:rFonts w:ascii="Segoe UI" w:hAnsi="Segoe UI" w:cs="Segoe UI"/>
          <w:color w:val="014171"/>
        </w:rPr>
        <w:t>represents a balance of knowledge, experience, ability and diversity.</w:t>
      </w:r>
      <w:r w:rsidR="009C29A7" w:rsidRPr="009C29A7">
        <w:rPr>
          <w:rFonts w:ascii="Segoe UI" w:hAnsi="Segoe UI" w:cs="Segoe UI"/>
          <w:color w:val="014171"/>
        </w:rPr>
        <w:t xml:space="preserve"> </w:t>
      </w:r>
      <w:r w:rsidR="009C29A7">
        <w:rPr>
          <w:rFonts w:ascii="Segoe UI" w:hAnsi="Segoe UI" w:cs="Segoe UI"/>
          <w:color w:val="014171"/>
        </w:rPr>
        <w:t>In addition DCMD is employing staff from seven different nations with different cultural background.</w:t>
      </w:r>
      <w:r w:rsidR="003274E4" w:rsidRPr="00E27BB3">
        <w:rPr>
          <w:rFonts w:ascii="Segoe UI" w:hAnsi="Segoe UI" w:cs="Segoe UI"/>
          <w:color w:val="014171"/>
        </w:rPr>
        <w:br w:type="page"/>
      </w:r>
    </w:p>
    <w:p w14:paraId="7068F9CD" w14:textId="51C3E23F" w:rsidR="00576600" w:rsidRPr="00E27BB3" w:rsidRDefault="00DA4F5C" w:rsidP="00A02BEA">
      <w:pPr>
        <w:pStyle w:val="Heading1"/>
        <w:ind w:left="431" w:hanging="431"/>
      </w:pPr>
      <w:bookmarkStart w:id="66" w:name="_Toc102121161"/>
      <w:bookmarkStart w:id="67" w:name="_Toc122626063"/>
      <w:r w:rsidRPr="00A02BEA">
        <w:lastRenderedPageBreak/>
        <w:t>Own Funds (</w:t>
      </w:r>
      <w:r w:rsidR="005F0C99" w:rsidRPr="00A02BEA">
        <w:t>A</w:t>
      </w:r>
      <w:r w:rsidRPr="00A02BEA">
        <w:t>rtic</w:t>
      </w:r>
      <w:r w:rsidR="00B60BC1" w:rsidRPr="00A02BEA">
        <w:t>le 49</w:t>
      </w:r>
      <w:r w:rsidRPr="00A02BEA">
        <w:t xml:space="preserve"> IFR</w:t>
      </w:r>
      <w:r w:rsidR="00E20824" w:rsidRPr="00A02BEA">
        <w:t>)</w:t>
      </w:r>
      <w:bookmarkStart w:id="68" w:name="_Toc114670924"/>
      <w:bookmarkEnd w:id="66"/>
      <w:bookmarkEnd w:id="68"/>
      <w:bookmarkEnd w:id="67"/>
    </w:p>
    <w:p w14:paraId="31A3C851" w14:textId="2735E31C" w:rsidR="00A24E2C" w:rsidRPr="00E27BB3" w:rsidRDefault="00206AE6" w:rsidP="00E27BB3">
      <w:pPr>
        <w:pStyle w:val="Heading2"/>
      </w:pPr>
      <w:bookmarkStart w:id="69" w:name="_Toc102121162"/>
      <w:bookmarkStart w:id="70" w:name="_Toc122626064"/>
      <w:r w:rsidRPr="00E27BB3">
        <w:t xml:space="preserve">Composition of </w:t>
      </w:r>
      <w:r w:rsidR="00CF78E4" w:rsidRPr="00E27BB3">
        <w:t>Regulatory Own F</w:t>
      </w:r>
      <w:r w:rsidRPr="00E27BB3">
        <w:t>unds</w:t>
      </w:r>
      <w:bookmarkEnd w:id="69"/>
      <w:bookmarkEnd w:id="70"/>
    </w:p>
    <w:p w14:paraId="24DF84A2" w14:textId="06E33F79" w:rsidR="005F0C99" w:rsidRPr="00370CC2" w:rsidRDefault="002B05C1" w:rsidP="00E27BB3">
      <w:pPr>
        <w:spacing w:after="0"/>
        <w:jc w:val="both"/>
        <w:rPr>
          <w:rFonts w:ascii="Segoe UI" w:hAnsi="Segoe UI" w:cs="Segoe UI"/>
          <w:color w:val="014171"/>
        </w:rPr>
      </w:pPr>
      <w:r w:rsidRPr="00E27BB3">
        <w:rPr>
          <w:rFonts w:ascii="Segoe UI" w:hAnsi="Segoe UI" w:cs="Segoe UI"/>
          <w:color w:val="014171"/>
        </w:rPr>
        <w:t xml:space="preserve">The Firm’s </w:t>
      </w:r>
      <w:r w:rsidR="00471882" w:rsidRPr="00E27BB3">
        <w:rPr>
          <w:rFonts w:ascii="Segoe UI" w:hAnsi="Segoe UI" w:cs="Segoe UI"/>
          <w:color w:val="014171"/>
        </w:rPr>
        <w:t>own funds</w:t>
      </w:r>
      <w:r w:rsidRPr="00E27BB3">
        <w:rPr>
          <w:rFonts w:ascii="Segoe UI" w:hAnsi="Segoe UI" w:cs="Segoe UI"/>
          <w:color w:val="014171"/>
        </w:rPr>
        <w:t xml:space="preserve"> are exclusivel</w:t>
      </w:r>
      <w:r w:rsidR="00081870" w:rsidRPr="00E27BB3">
        <w:rPr>
          <w:rFonts w:ascii="Segoe UI" w:hAnsi="Segoe UI" w:cs="Segoe UI"/>
          <w:color w:val="014171"/>
        </w:rPr>
        <w:t xml:space="preserve">y </w:t>
      </w:r>
      <w:r w:rsidR="00387328">
        <w:rPr>
          <w:rFonts w:ascii="Segoe UI" w:hAnsi="Segoe UI" w:cs="Segoe UI"/>
          <w:color w:val="014171"/>
        </w:rPr>
        <w:t>Common Equity Tier 1 (“</w:t>
      </w:r>
      <w:r w:rsidR="00081870" w:rsidRPr="00E27BB3">
        <w:rPr>
          <w:rFonts w:ascii="Segoe UI" w:hAnsi="Segoe UI" w:cs="Segoe UI"/>
          <w:color w:val="014171"/>
        </w:rPr>
        <w:t>CET1</w:t>
      </w:r>
      <w:r w:rsidR="00387328">
        <w:rPr>
          <w:rFonts w:ascii="Segoe UI" w:hAnsi="Segoe UI" w:cs="Segoe UI"/>
          <w:color w:val="014171"/>
        </w:rPr>
        <w:t>”)</w:t>
      </w:r>
      <w:r w:rsidR="00081870" w:rsidRPr="00E27BB3">
        <w:rPr>
          <w:rFonts w:ascii="Segoe UI" w:hAnsi="Segoe UI" w:cs="Segoe UI"/>
          <w:color w:val="014171"/>
        </w:rPr>
        <w:t xml:space="preserve"> capital (share capital reduced by losses (carried forward)</w:t>
      </w:r>
      <w:r w:rsidR="006F02AD" w:rsidRPr="00E27BB3">
        <w:rPr>
          <w:rFonts w:ascii="Segoe UI" w:hAnsi="Segoe UI" w:cs="Segoe UI"/>
          <w:color w:val="014171"/>
        </w:rPr>
        <w:t>)</w:t>
      </w:r>
      <w:r w:rsidR="00081870" w:rsidRPr="00E27BB3">
        <w:rPr>
          <w:rFonts w:ascii="Segoe UI" w:hAnsi="Segoe UI" w:cs="Segoe UI"/>
          <w:color w:val="014171"/>
        </w:rPr>
        <w:t xml:space="preserve"> and other positions to be deducted (</w:t>
      </w:r>
      <w:r w:rsidR="001827EE" w:rsidRPr="00E27BB3">
        <w:rPr>
          <w:rFonts w:ascii="Segoe UI" w:hAnsi="Segoe UI" w:cs="Segoe UI"/>
          <w:color w:val="014171"/>
        </w:rPr>
        <w:t xml:space="preserve">exclusively </w:t>
      </w:r>
      <w:r w:rsidR="00081870" w:rsidRPr="00E27BB3">
        <w:rPr>
          <w:rFonts w:ascii="Segoe UI" w:hAnsi="Segoe UI" w:cs="Segoe UI"/>
          <w:color w:val="014171"/>
        </w:rPr>
        <w:t>regulatory amortization</w:t>
      </w:r>
      <w:r w:rsidR="006F02AD" w:rsidRPr="00E27BB3">
        <w:rPr>
          <w:rFonts w:ascii="Segoe UI" w:hAnsi="Segoe UI" w:cs="Segoe UI"/>
          <w:color w:val="014171"/>
        </w:rPr>
        <w:t xml:space="preserve"> of</w:t>
      </w:r>
      <w:r w:rsidR="00081870" w:rsidRPr="00E27BB3">
        <w:rPr>
          <w:rFonts w:ascii="Segoe UI" w:hAnsi="Segoe UI" w:cs="Segoe UI"/>
          <w:color w:val="014171"/>
        </w:rPr>
        <w:t xml:space="preserve"> intangible assets)</w:t>
      </w:r>
      <w:r w:rsidR="00DC0D1F" w:rsidRPr="00E27BB3">
        <w:rPr>
          <w:rFonts w:ascii="Segoe UI" w:hAnsi="Segoe UI" w:cs="Segoe UI"/>
          <w:color w:val="014171"/>
        </w:rPr>
        <w:t>.</w:t>
      </w:r>
    </w:p>
    <w:p w14:paraId="33F0FD41" w14:textId="1804D76F" w:rsidR="005F0C99" w:rsidRPr="00370CC2" w:rsidRDefault="002B05C1" w:rsidP="00E27BB3">
      <w:pPr>
        <w:spacing w:after="0"/>
        <w:jc w:val="both"/>
        <w:rPr>
          <w:rFonts w:ascii="Segoe UI" w:hAnsi="Segoe UI" w:cs="Segoe UI"/>
          <w:color w:val="014171"/>
        </w:rPr>
      </w:pPr>
      <w:r w:rsidRPr="00E27BB3">
        <w:rPr>
          <w:rFonts w:ascii="Segoe UI" w:hAnsi="Segoe UI" w:cs="Segoe UI"/>
          <w:color w:val="014171"/>
        </w:rPr>
        <w:t xml:space="preserve">At </w:t>
      </w:r>
      <w:r w:rsidR="000C5A20" w:rsidRPr="00E27BB3">
        <w:rPr>
          <w:rFonts w:ascii="Segoe UI" w:hAnsi="Segoe UI" w:cs="Segoe UI"/>
          <w:color w:val="014171"/>
        </w:rPr>
        <w:t xml:space="preserve">31 </w:t>
      </w:r>
      <w:r w:rsidRPr="00E27BB3">
        <w:rPr>
          <w:rFonts w:ascii="Segoe UI" w:hAnsi="Segoe UI" w:cs="Segoe UI"/>
          <w:color w:val="014171"/>
        </w:rPr>
        <w:t xml:space="preserve">March 2022 and during the year, the Firm complied with all externally imposed capital requirements and all gearing rules in accordance with the rules set out in </w:t>
      </w:r>
      <w:r w:rsidR="003D2172" w:rsidRPr="00370CC2">
        <w:rPr>
          <w:rFonts w:ascii="Segoe UI" w:hAnsi="Segoe UI" w:cs="Segoe UI"/>
          <w:color w:val="014171"/>
        </w:rPr>
        <w:t>the Capital Requirements Regulation (“</w:t>
      </w:r>
      <w:r w:rsidRPr="00E27BB3">
        <w:rPr>
          <w:rFonts w:ascii="Segoe UI" w:hAnsi="Segoe UI" w:cs="Segoe UI"/>
          <w:color w:val="014171"/>
        </w:rPr>
        <w:t>CRR</w:t>
      </w:r>
      <w:r w:rsidR="003D2172" w:rsidRPr="00370CC2">
        <w:rPr>
          <w:rFonts w:ascii="Segoe UI" w:hAnsi="Segoe UI" w:cs="Segoe UI"/>
          <w:color w:val="014171"/>
        </w:rPr>
        <w:t>”)</w:t>
      </w:r>
      <w:r w:rsidRPr="00E27BB3">
        <w:rPr>
          <w:rFonts w:ascii="Segoe UI" w:hAnsi="Segoe UI" w:cs="Segoe UI"/>
          <w:color w:val="014171"/>
        </w:rPr>
        <w:t xml:space="preserve"> (up until </w:t>
      </w:r>
      <w:r w:rsidR="00DC0D1F" w:rsidRPr="00E27BB3">
        <w:rPr>
          <w:rFonts w:ascii="Segoe UI" w:hAnsi="Segoe UI" w:cs="Segoe UI"/>
          <w:color w:val="014171"/>
        </w:rPr>
        <w:t>26</w:t>
      </w:r>
      <w:r w:rsidR="000C5A20" w:rsidRPr="00E27BB3">
        <w:rPr>
          <w:rFonts w:ascii="Segoe UI" w:hAnsi="Segoe UI" w:cs="Segoe UI"/>
          <w:color w:val="014171"/>
        </w:rPr>
        <w:t xml:space="preserve"> </w:t>
      </w:r>
      <w:r w:rsidR="00DC0D1F" w:rsidRPr="00E27BB3">
        <w:rPr>
          <w:rFonts w:ascii="Segoe UI" w:hAnsi="Segoe UI" w:cs="Segoe UI"/>
          <w:color w:val="014171"/>
        </w:rPr>
        <w:t>June</w:t>
      </w:r>
      <w:r w:rsidRPr="00E27BB3">
        <w:rPr>
          <w:rFonts w:ascii="Segoe UI" w:hAnsi="Segoe UI" w:cs="Segoe UI"/>
          <w:color w:val="014171"/>
        </w:rPr>
        <w:t xml:space="preserve"> 2021) and IFR</w:t>
      </w:r>
      <w:r w:rsidR="00DC0D1F" w:rsidRPr="00E27BB3">
        <w:rPr>
          <w:rFonts w:ascii="Segoe UI" w:hAnsi="Segoe UI" w:cs="Segoe UI"/>
          <w:color w:val="014171"/>
        </w:rPr>
        <w:t xml:space="preserve"> (from 26 June</w:t>
      </w:r>
      <w:r w:rsidR="000C5A20" w:rsidRPr="00E27BB3">
        <w:rPr>
          <w:rFonts w:ascii="Segoe UI" w:hAnsi="Segoe UI" w:cs="Segoe UI"/>
          <w:color w:val="014171"/>
        </w:rPr>
        <w:t xml:space="preserve"> 2022)</w:t>
      </w:r>
      <w:r w:rsidRPr="00E27BB3">
        <w:rPr>
          <w:rFonts w:ascii="Segoe UI" w:hAnsi="Segoe UI" w:cs="Segoe UI"/>
          <w:color w:val="014171"/>
        </w:rPr>
        <w:t>.</w:t>
      </w:r>
    </w:p>
    <w:p w14:paraId="4E6A693C" w14:textId="0CC96B7C" w:rsidR="002B05C1" w:rsidRPr="00E27BB3" w:rsidRDefault="002B05C1" w:rsidP="00E27BB3">
      <w:pPr>
        <w:spacing w:after="0"/>
        <w:jc w:val="both"/>
        <w:rPr>
          <w:rFonts w:ascii="Segoe UI" w:hAnsi="Segoe UI" w:cs="Segoe UI"/>
          <w:color w:val="014171"/>
        </w:rPr>
      </w:pPr>
    </w:p>
    <w:p w14:paraId="0A123436" w14:textId="0BE560CB" w:rsidR="00C801E6" w:rsidRPr="00E27BB3" w:rsidRDefault="00A836B2" w:rsidP="00E27BB3">
      <w:pPr>
        <w:spacing w:after="0"/>
        <w:jc w:val="center"/>
        <w:rPr>
          <w:rFonts w:ascii="Segoe UI" w:hAnsi="Segoe UI" w:cs="Segoe UI"/>
          <w:color w:val="014171"/>
        </w:rPr>
      </w:pPr>
      <w:bookmarkStart w:id="71" w:name="_Toc35604262"/>
      <w:r w:rsidRPr="00E27BB3">
        <w:rPr>
          <w:rFonts w:ascii="Segoe UI" w:hAnsi="Segoe UI" w:cs="Segoe UI"/>
          <w:b/>
          <w:color w:val="014171"/>
        </w:rPr>
        <w:t>Table 1</w:t>
      </w:r>
      <w:r w:rsidR="00AA12FA" w:rsidRPr="00E27BB3">
        <w:rPr>
          <w:rFonts w:ascii="Segoe UI" w:hAnsi="Segoe UI" w:cs="Segoe UI"/>
          <w:b/>
          <w:color w:val="014171"/>
        </w:rPr>
        <w:t xml:space="preserve"> -</w:t>
      </w:r>
      <w:bookmarkEnd w:id="71"/>
      <w:r w:rsidR="00340047" w:rsidRPr="00E27BB3">
        <w:rPr>
          <w:rFonts w:ascii="Segoe UI" w:hAnsi="Segoe UI" w:cs="Segoe UI"/>
          <w:b/>
          <w:color w:val="014171"/>
        </w:rPr>
        <w:t xml:space="preserve"> </w:t>
      </w:r>
      <w:r w:rsidR="006A0637" w:rsidRPr="00E27BB3">
        <w:rPr>
          <w:rFonts w:ascii="Segoe UI" w:hAnsi="Segoe UI" w:cs="Segoe UI"/>
          <w:b/>
          <w:color w:val="014171"/>
        </w:rPr>
        <w:t xml:space="preserve">Composition of </w:t>
      </w:r>
      <w:r w:rsidR="000E6E44" w:rsidRPr="00E27BB3">
        <w:rPr>
          <w:rFonts w:ascii="Segoe UI" w:hAnsi="Segoe UI" w:cs="Segoe UI"/>
          <w:b/>
          <w:color w:val="014171"/>
        </w:rPr>
        <w:t>R</w:t>
      </w:r>
      <w:r w:rsidR="006A0637" w:rsidRPr="00E27BB3">
        <w:rPr>
          <w:rFonts w:ascii="Segoe UI" w:hAnsi="Segoe UI" w:cs="Segoe UI"/>
          <w:b/>
          <w:color w:val="014171"/>
        </w:rPr>
        <w:t xml:space="preserve">egulatory </w:t>
      </w:r>
      <w:r w:rsidR="000E6E44" w:rsidRPr="00E27BB3">
        <w:rPr>
          <w:rFonts w:ascii="Segoe UI" w:hAnsi="Segoe UI" w:cs="Segoe UI"/>
          <w:b/>
          <w:color w:val="014171"/>
        </w:rPr>
        <w:t>Own F</w:t>
      </w:r>
      <w:r w:rsidR="006A0637" w:rsidRPr="00E27BB3">
        <w:rPr>
          <w:rFonts w:ascii="Segoe UI" w:hAnsi="Segoe UI" w:cs="Segoe UI"/>
          <w:b/>
          <w:color w:val="014171"/>
        </w:rPr>
        <w:t>unds</w:t>
      </w:r>
      <w:r w:rsidR="006D0C38">
        <w:rPr>
          <w:rFonts w:ascii="Segoe UI" w:hAnsi="Segoe UI" w:cs="Segoe UI"/>
          <w:b/>
          <w:color w:val="014171"/>
        </w:rPr>
        <w:t xml:space="preserve"> (EU IF CC1.01)</w:t>
      </w:r>
    </w:p>
    <w:p w14:paraId="273C3B99" w14:textId="4D4687A8" w:rsidR="00A836B2" w:rsidRPr="006C6DDA" w:rsidRDefault="00A836B2" w:rsidP="00E27BB3">
      <w:pPr>
        <w:spacing w:after="0"/>
        <w:jc w:val="center"/>
        <w:rPr>
          <w:rFonts w:ascii="Segoe UI" w:hAnsi="Segoe UI" w:cs="Segoe UI"/>
          <w:color w:val="014171"/>
        </w:rPr>
      </w:pPr>
      <w:r w:rsidRPr="00E27BB3">
        <w:rPr>
          <w:rFonts w:ascii="Segoe UI" w:hAnsi="Segoe UI" w:cs="Segoe UI"/>
          <w:color w:val="014171"/>
        </w:rPr>
        <w:t xml:space="preserve">Audited and </w:t>
      </w:r>
      <w:r w:rsidRPr="0074724B">
        <w:rPr>
          <w:rFonts w:ascii="Segoe UI" w:hAnsi="Segoe UI" w:cs="Segoe UI"/>
          <w:color w:val="014171"/>
        </w:rPr>
        <w:t>approved</w:t>
      </w:r>
      <w:r w:rsidRPr="00E27BB3">
        <w:rPr>
          <w:rFonts w:ascii="Segoe UI" w:hAnsi="Segoe UI" w:cs="Segoe UI"/>
          <w:color w:val="014171"/>
        </w:rPr>
        <w:t xml:space="preserve"> Financial Statements as of 31 March 2022</w:t>
      </w:r>
    </w:p>
    <w:p w14:paraId="682BB5C8" w14:textId="77777777" w:rsidR="000E6E44" w:rsidRPr="00E27BB3" w:rsidRDefault="000E6E44" w:rsidP="00E27BB3">
      <w:pPr>
        <w:spacing w:after="0"/>
        <w:jc w:val="center"/>
        <w:rPr>
          <w:rFonts w:ascii="Segoe UI" w:hAnsi="Segoe UI" w:cs="Segoe UI"/>
          <w:color w:val="014171"/>
        </w:rPr>
      </w:pPr>
    </w:p>
    <w:tbl>
      <w:tblPr>
        <w:tblW w:w="9267" w:type="dxa"/>
        <w:tblLayout w:type="fixed"/>
        <w:tblLook w:val="0000" w:firstRow="0" w:lastRow="0" w:firstColumn="0" w:lastColumn="0" w:noHBand="0" w:noVBand="0"/>
      </w:tblPr>
      <w:tblGrid>
        <w:gridCol w:w="567"/>
        <w:gridCol w:w="4253"/>
        <w:gridCol w:w="1129"/>
        <w:gridCol w:w="3318"/>
      </w:tblGrid>
      <w:tr w:rsidR="006775E5" w:rsidRPr="006775E5" w14:paraId="408C5DC4" w14:textId="77777777" w:rsidTr="006775E5">
        <w:trPr>
          <w:trHeight w:val="148"/>
        </w:trPr>
        <w:tc>
          <w:tcPr>
            <w:tcW w:w="567" w:type="dxa"/>
            <w:tcBorders>
              <w:top w:val="single" w:sz="4" w:space="0" w:color="014171"/>
              <w:bottom w:val="single" w:sz="4" w:space="0" w:color="014171"/>
            </w:tcBorders>
            <w:shd w:val="clear" w:color="auto" w:fill="002060"/>
          </w:tcPr>
          <w:p w14:paraId="68403A94" w14:textId="77777777" w:rsidR="00B37C13" w:rsidRPr="0074724B" w:rsidRDefault="00B37C13" w:rsidP="00370CC2">
            <w:pPr>
              <w:autoSpaceDE w:val="0"/>
              <w:autoSpaceDN w:val="0"/>
              <w:adjustRightInd w:val="0"/>
              <w:spacing w:after="0"/>
              <w:jc w:val="both"/>
              <w:rPr>
                <w:rFonts w:ascii="Segoe UI" w:hAnsi="Segoe UI" w:cs="Segoe UI"/>
                <w:b/>
                <w:bCs/>
                <w:color w:val="FFFFFF" w:themeColor="background1"/>
                <w:sz w:val="18"/>
                <w:szCs w:val="18"/>
                <w:lang w:eastAsia="en-GB"/>
              </w:rPr>
            </w:pPr>
          </w:p>
        </w:tc>
        <w:tc>
          <w:tcPr>
            <w:tcW w:w="4253" w:type="dxa"/>
            <w:tcBorders>
              <w:top w:val="single" w:sz="4" w:space="0" w:color="014171"/>
              <w:bottom w:val="single" w:sz="4" w:space="0" w:color="014171"/>
            </w:tcBorders>
            <w:shd w:val="clear" w:color="auto" w:fill="002060"/>
            <w:vAlign w:val="center"/>
          </w:tcPr>
          <w:p w14:paraId="03143854" w14:textId="77777777" w:rsidR="00B37C13" w:rsidRPr="006775E5" w:rsidRDefault="00B37C13" w:rsidP="00370CC2">
            <w:pPr>
              <w:autoSpaceDE w:val="0"/>
              <w:autoSpaceDN w:val="0"/>
              <w:adjustRightInd w:val="0"/>
              <w:spacing w:after="0"/>
              <w:jc w:val="both"/>
              <w:rPr>
                <w:rFonts w:ascii="Segoe UI" w:hAnsi="Segoe UI" w:cs="Segoe UI"/>
                <w:b/>
                <w:bCs/>
                <w:color w:val="FFFFFF" w:themeColor="background1"/>
                <w:sz w:val="18"/>
                <w:szCs w:val="18"/>
                <w:lang w:eastAsia="en-GB"/>
              </w:rPr>
            </w:pPr>
            <w:r w:rsidRPr="006775E5">
              <w:rPr>
                <w:rFonts w:ascii="Segoe UI" w:hAnsi="Segoe UI" w:cs="Segoe UI"/>
                <w:b/>
                <w:bCs/>
                <w:color w:val="FFFFFF" w:themeColor="background1"/>
                <w:sz w:val="18"/>
                <w:szCs w:val="18"/>
                <w:lang w:eastAsia="en-GB"/>
              </w:rPr>
              <w:t>Item</w:t>
            </w:r>
          </w:p>
        </w:tc>
        <w:tc>
          <w:tcPr>
            <w:tcW w:w="1129" w:type="dxa"/>
            <w:tcBorders>
              <w:top w:val="single" w:sz="4" w:space="0" w:color="014171"/>
              <w:bottom w:val="single" w:sz="4" w:space="0" w:color="014171"/>
            </w:tcBorders>
            <w:shd w:val="clear" w:color="auto" w:fill="002060"/>
            <w:vAlign w:val="center"/>
          </w:tcPr>
          <w:p w14:paraId="39C1ABF5" w14:textId="77777777" w:rsidR="00B37C13" w:rsidRPr="006775E5" w:rsidRDefault="00B37C13" w:rsidP="00370CC2">
            <w:pPr>
              <w:autoSpaceDE w:val="0"/>
              <w:autoSpaceDN w:val="0"/>
              <w:adjustRightInd w:val="0"/>
              <w:spacing w:after="0"/>
              <w:jc w:val="both"/>
              <w:rPr>
                <w:rFonts w:ascii="Segoe UI" w:hAnsi="Segoe UI" w:cs="Segoe UI"/>
                <w:b/>
                <w:bCs/>
                <w:color w:val="FFFFFF" w:themeColor="background1"/>
                <w:sz w:val="18"/>
                <w:szCs w:val="18"/>
                <w:lang w:eastAsia="en-GB"/>
              </w:rPr>
            </w:pPr>
            <w:r w:rsidRPr="006775E5">
              <w:rPr>
                <w:rFonts w:ascii="Segoe UI" w:hAnsi="Segoe UI" w:cs="Segoe UI"/>
                <w:b/>
                <w:bCs/>
                <w:color w:val="FFFFFF" w:themeColor="background1"/>
                <w:sz w:val="18"/>
                <w:szCs w:val="18"/>
                <w:lang w:eastAsia="en-GB"/>
              </w:rPr>
              <w:t>Amount in k EUR</w:t>
            </w:r>
          </w:p>
        </w:tc>
        <w:tc>
          <w:tcPr>
            <w:tcW w:w="3318" w:type="dxa"/>
            <w:tcBorders>
              <w:top w:val="single" w:sz="4" w:space="0" w:color="014171"/>
              <w:bottom w:val="single" w:sz="4" w:space="0" w:color="014171"/>
            </w:tcBorders>
            <w:shd w:val="clear" w:color="auto" w:fill="002060"/>
            <w:vAlign w:val="center"/>
          </w:tcPr>
          <w:p w14:paraId="55EEADBF" w14:textId="0C555625" w:rsidR="00B37C13" w:rsidRPr="006775E5" w:rsidRDefault="00481176" w:rsidP="00370CC2">
            <w:pPr>
              <w:autoSpaceDE w:val="0"/>
              <w:autoSpaceDN w:val="0"/>
              <w:adjustRightInd w:val="0"/>
              <w:spacing w:after="0"/>
              <w:jc w:val="both"/>
              <w:rPr>
                <w:rFonts w:ascii="Segoe UI" w:hAnsi="Segoe UI" w:cs="Segoe UI"/>
                <w:b/>
                <w:bCs/>
                <w:color w:val="FFFFFF" w:themeColor="background1"/>
                <w:sz w:val="18"/>
                <w:szCs w:val="18"/>
                <w:lang w:eastAsia="en-GB"/>
              </w:rPr>
            </w:pPr>
            <w:r w:rsidRPr="006775E5">
              <w:rPr>
                <w:rFonts w:ascii="Segoe UI" w:hAnsi="Segoe UI" w:cs="Segoe UI"/>
                <w:b/>
                <w:bCs/>
                <w:color w:val="FFFFFF" w:themeColor="background1"/>
                <w:sz w:val="18"/>
                <w:szCs w:val="18"/>
                <w:lang w:eastAsia="en-GB"/>
              </w:rPr>
              <w:t>Source based on reference numbers/letters of the balance sheet in the audited financial statements</w:t>
            </w:r>
          </w:p>
        </w:tc>
      </w:tr>
      <w:tr w:rsidR="006775E5" w:rsidRPr="006775E5" w14:paraId="569CAC08" w14:textId="77777777" w:rsidTr="00A02BEA">
        <w:trPr>
          <w:trHeight w:val="148"/>
        </w:trPr>
        <w:tc>
          <w:tcPr>
            <w:tcW w:w="567" w:type="dxa"/>
            <w:tcBorders>
              <w:top w:val="single" w:sz="4" w:space="0" w:color="014171"/>
              <w:bottom w:val="single" w:sz="12" w:space="0" w:color="014171"/>
            </w:tcBorders>
          </w:tcPr>
          <w:p w14:paraId="63F5F8D3" w14:textId="40D693C5"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1</w:t>
            </w:r>
          </w:p>
        </w:tc>
        <w:tc>
          <w:tcPr>
            <w:tcW w:w="4253" w:type="dxa"/>
            <w:tcBorders>
              <w:top w:val="single" w:sz="4" w:space="0" w:color="014171"/>
              <w:bottom w:val="single" w:sz="12" w:space="0" w:color="014171"/>
            </w:tcBorders>
          </w:tcPr>
          <w:p w14:paraId="6E57A193" w14:textId="02EFCD9A"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OWN FUNDS</w:t>
            </w:r>
          </w:p>
        </w:tc>
        <w:tc>
          <w:tcPr>
            <w:tcW w:w="1129" w:type="dxa"/>
            <w:tcBorders>
              <w:top w:val="single" w:sz="4" w:space="0" w:color="014171"/>
              <w:bottom w:val="single" w:sz="12" w:space="0" w:color="014171"/>
            </w:tcBorders>
          </w:tcPr>
          <w:p w14:paraId="32DE65F6" w14:textId="44AF490A" w:rsidR="006775E5" w:rsidRPr="00A02BEA" w:rsidRDefault="006775E5" w:rsidP="0074724B">
            <w:pPr>
              <w:autoSpaceDE w:val="0"/>
              <w:autoSpaceDN w:val="0"/>
              <w:adjustRightInd w:val="0"/>
              <w:spacing w:after="0"/>
              <w:jc w:val="right"/>
              <w:rPr>
                <w:rFonts w:ascii="Segoe UI" w:hAnsi="Segoe UI" w:cs="Segoe UI"/>
                <w:b/>
                <w:bCs/>
                <w:color w:val="014171"/>
                <w:sz w:val="18"/>
                <w:szCs w:val="18"/>
                <w:lang w:eastAsia="en-GB"/>
              </w:rPr>
            </w:pPr>
            <w:r w:rsidRPr="00A02BEA">
              <w:rPr>
                <w:rFonts w:ascii="Segoe UI" w:hAnsi="Segoe UI" w:cs="Segoe UI"/>
                <w:color w:val="014171"/>
                <w:sz w:val="18"/>
                <w:szCs w:val="18"/>
              </w:rPr>
              <w:t>31,488.06</w:t>
            </w:r>
          </w:p>
        </w:tc>
        <w:tc>
          <w:tcPr>
            <w:tcW w:w="3318" w:type="dxa"/>
            <w:tcBorders>
              <w:top w:val="single" w:sz="4" w:space="0" w:color="014171"/>
              <w:bottom w:val="single" w:sz="12" w:space="0" w:color="014171"/>
            </w:tcBorders>
          </w:tcPr>
          <w:p w14:paraId="18FA5507" w14:textId="77777777" w:rsidR="006775E5" w:rsidRPr="00A02BEA" w:rsidRDefault="006775E5" w:rsidP="006775E5">
            <w:pPr>
              <w:autoSpaceDE w:val="0"/>
              <w:autoSpaceDN w:val="0"/>
              <w:adjustRightInd w:val="0"/>
              <w:spacing w:after="0"/>
              <w:jc w:val="both"/>
              <w:rPr>
                <w:rFonts w:ascii="Segoe UI" w:hAnsi="Segoe UI" w:cs="Segoe UI"/>
                <w:b/>
                <w:bCs/>
                <w:color w:val="014171"/>
                <w:sz w:val="18"/>
                <w:szCs w:val="18"/>
                <w:lang w:eastAsia="en-GB"/>
              </w:rPr>
            </w:pPr>
          </w:p>
        </w:tc>
      </w:tr>
      <w:tr w:rsidR="006775E5" w:rsidRPr="006775E5" w14:paraId="5BBB1DE1" w14:textId="77777777" w:rsidTr="00A02BEA">
        <w:trPr>
          <w:trHeight w:val="148"/>
        </w:trPr>
        <w:tc>
          <w:tcPr>
            <w:tcW w:w="567" w:type="dxa"/>
            <w:tcBorders>
              <w:top w:val="single" w:sz="12" w:space="0" w:color="014171"/>
              <w:bottom w:val="single" w:sz="12" w:space="0" w:color="014171"/>
            </w:tcBorders>
          </w:tcPr>
          <w:p w14:paraId="53809B7A" w14:textId="1391D20A"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2</w:t>
            </w:r>
          </w:p>
        </w:tc>
        <w:tc>
          <w:tcPr>
            <w:tcW w:w="4253" w:type="dxa"/>
            <w:tcBorders>
              <w:top w:val="single" w:sz="12" w:space="0" w:color="014171"/>
              <w:bottom w:val="single" w:sz="12" w:space="0" w:color="014171"/>
            </w:tcBorders>
          </w:tcPr>
          <w:p w14:paraId="07D978BB" w14:textId="5C338619"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TIER 1 CAPITAL</w:t>
            </w:r>
          </w:p>
        </w:tc>
        <w:tc>
          <w:tcPr>
            <w:tcW w:w="1129" w:type="dxa"/>
            <w:tcBorders>
              <w:top w:val="single" w:sz="12" w:space="0" w:color="014171"/>
              <w:bottom w:val="single" w:sz="12" w:space="0" w:color="014171"/>
            </w:tcBorders>
          </w:tcPr>
          <w:p w14:paraId="3CF95681" w14:textId="3FAC5D53" w:rsidR="006775E5" w:rsidRPr="00A02BEA" w:rsidRDefault="006775E5" w:rsidP="0074724B">
            <w:pPr>
              <w:autoSpaceDE w:val="0"/>
              <w:autoSpaceDN w:val="0"/>
              <w:adjustRightInd w:val="0"/>
              <w:spacing w:after="0"/>
              <w:jc w:val="right"/>
              <w:rPr>
                <w:rFonts w:ascii="Segoe UI" w:hAnsi="Segoe UI" w:cs="Segoe UI"/>
                <w:b/>
                <w:bCs/>
                <w:color w:val="014171"/>
                <w:sz w:val="18"/>
                <w:szCs w:val="18"/>
                <w:lang w:eastAsia="en-GB"/>
              </w:rPr>
            </w:pPr>
            <w:r w:rsidRPr="00A02BEA">
              <w:rPr>
                <w:rFonts w:ascii="Segoe UI" w:hAnsi="Segoe UI" w:cs="Segoe UI"/>
                <w:color w:val="014171"/>
                <w:sz w:val="18"/>
                <w:szCs w:val="18"/>
              </w:rPr>
              <w:t>31,488.06</w:t>
            </w:r>
          </w:p>
        </w:tc>
        <w:tc>
          <w:tcPr>
            <w:tcW w:w="3318" w:type="dxa"/>
            <w:tcBorders>
              <w:top w:val="single" w:sz="12" w:space="0" w:color="014171"/>
              <w:bottom w:val="single" w:sz="12" w:space="0" w:color="014171"/>
            </w:tcBorders>
          </w:tcPr>
          <w:p w14:paraId="44787206" w14:textId="77777777" w:rsidR="006775E5" w:rsidRPr="00A02BEA" w:rsidRDefault="006775E5" w:rsidP="006775E5">
            <w:pPr>
              <w:autoSpaceDE w:val="0"/>
              <w:autoSpaceDN w:val="0"/>
              <w:adjustRightInd w:val="0"/>
              <w:spacing w:after="0"/>
              <w:jc w:val="both"/>
              <w:rPr>
                <w:rFonts w:ascii="Segoe UI" w:hAnsi="Segoe UI" w:cs="Segoe UI"/>
                <w:b/>
                <w:bCs/>
                <w:color w:val="014171"/>
                <w:sz w:val="18"/>
                <w:szCs w:val="18"/>
                <w:lang w:eastAsia="en-GB"/>
              </w:rPr>
            </w:pPr>
          </w:p>
        </w:tc>
      </w:tr>
      <w:tr w:rsidR="006775E5" w:rsidRPr="006775E5" w14:paraId="402D30CA" w14:textId="77777777" w:rsidTr="00A02BEA">
        <w:trPr>
          <w:trHeight w:val="148"/>
        </w:trPr>
        <w:tc>
          <w:tcPr>
            <w:tcW w:w="567" w:type="dxa"/>
            <w:tcBorders>
              <w:top w:val="single" w:sz="12" w:space="0" w:color="014171"/>
              <w:bottom w:val="single" w:sz="12" w:space="0" w:color="014171"/>
            </w:tcBorders>
          </w:tcPr>
          <w:p w14:paraId="34762871" w14:textId="528516BD"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3</w:t>
            </w:r>
          </w:p>
        </w:tc>
        <w:tc>
          <w:tcPr>
            <w:tcW w:w="4253" w:type="dxa"/>
            <w:tcBorders>
              <w:top w:val="single" w:sz="12" w:space="0" w:color="014171"/>
              <w:bottom w:val="single" w:sz="12" w:space="0" w:color="014171"/>
            </w:tcBorders>
          </w:tcPr>
          <w:p w14:paraId="33FA3983" w14:textId="56C6257A"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COMMON EQUITY TIER 1 CAPITAL</w:t>
            </w:r>
          </w:p>
        </w:tc>
        <w:tc>
          <w:tcPr>
            <w:tcW w:w="1129" w:type="dxa"/>
            <w:tcBorders>
              <w:top w:val="single" w:sz="12" w:space="0" w:color="014171"/>
              <w:bottom w:val="single" w:sz="12" w:space="0" w:color="014171"/>
            </w:tcBorders>
          </w:tcPr>
          <w:p w14:paraId="217D34DA" w14:textId="0A98AAD7" w:rsidR="006775E5" w:rsidRPr="00A02BEA" w:rsidRDefault="006775E5" w:rsidP="0074724B">
            <w:pPr>
              <w:autoSpaceDE w:val="0"/>
              <w:autoSpaceDN w:val="0"/>
              <w:adjustRightInd w:val="0"/>
              <w:spacing w:after="0"/>
              <w:jc w:val="right"/>
              <w:rPr>
                <w:rFonts w:ascii="Segoe UI" w:hAnsi="Segoe UI" w:cs="Segoe UI"/>
                <w:b/>
                <w:bCs/>
                <w:color w:val="014171"/>
                <w:sz w:val="18"/>
                <w:szCs w:val="18"/>
                <w:lang w:eastAsia="en-GB"/>
              </w:rPr>
            </w:pPr>
            <w:r w:rsidRPr="00A02BEA">
              <w:rPr>
                <w:rFonts w:ascii="Segoe UI" w:hAnsi="Segoe UI" w:cs="Segoe UI"/>
                <w:color w:val="014171"/>
                <w:sz w:val="18"/>
                <w:szCs w:val="18"/>
              </w:rPr>
              <w:t>31,488.06</w:t>
            </w:r>
          </w:p>
        </w:tc>
        <w:tc>
          <w:tcPr>
            <w:tcW w:w="3318" w:type="dxa"/>
            <w:tcBorders>
              <w:top w:val="single" w:sz="12" w:space="0" w:color="014171"/>
              <w:bottom w:val="single" w:sz="12" w:space="0" w:color="014171"/>
            </w:tcBorders>
          </w:tcPr>
          <w:p w14:paraId="5B615600" w14:textId="77777777" w:rsidR="006775E5" w:rsidRPr="00A02BEA" w:rsidRDefault="006775E5" w:rsidP="006775E5">
            <w:pPr>
              <w:autoSpaceDE w:val="0"/>
              <w:autoSpaceDN w:val="0"/>
              <w:adjustRightInd w:val="0"/>
              <w:spacing w:after="0"/>
              <w:jc w:val="both"/>
              <w:rPr>
                <w:rFonts w:ascii="Segoe UI" w:hAnsi="Segoe UI" w:cs="Segoe UI"/>
                <w:b/>
                <w:bCs/>
                <w:color w:val="014171"/>
                <w:sz w:val="18"/>
                <w:szCs w:val="18"/>
                <w:lang w:eastAsia="en-GB"/>
              </w:rPr>
            </w:pPr>
          </w:p>
        </w:tc>
      </w:tr>
      <w:tr w:rsidR="006775E5" w:rsidRPr="006775E5" w14:paraId="5CC6D2C3" w14:textId="77777777" w:rsidTr="007C1172">
        <w:trPr>
          <w:trHeight w:val="142"/>
        </w:trPr>
        <w:tc>
          <w:tcPr>
            <w:tcW w:w="567" w:type="dxa"/>
            <w:tcBorders>
              <w:top w:val="single" w:sz="12" w:space="0" w:color="014171"/>
              <w:bottom w:val="single" w:sz="4" w:space="0" w:color="014171"/>
            </w:tcBorders>
          </w:tcPr>
          <w:p w14:paraId="20B599B7" w14:textId="1DDEB4B4"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w:t>
            </w:r>
          </w:p>
        </w:tc>
        <w:tc>
          <w:tcPr>
            <w:tcW w:w="4253" w:type="dxa"/>
            <w:tcBorders>
              <w:top w:val="single" w:sz="12" w:space="0" w:color="014171"/>
              <w:bottom w:val="single" w:sz="4" w:space="0" w:color="014171"/>
            </w:tcBorders>
          </w:tcPr>
          <w:p w14:paraId="71D6BD45" w14:textId="03C71285"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Fully paid up capital instruments</w:t>
            </w:r>
          </w:p>
        </w:tc>
        <w:tc>
          <w:tcPr>
            <w:tcW w:w="1129" w:type="dxa"/>
            <w:tcBorders>
              <w:top w:val="single" w:sz="12" w:space="0" w:color="014171"/>
              <w:bottom w:val="single" w:sz="4" w:space="0" w:color="014171"/>
            </w:tcBorders>
          </w:tcPr>
          <w:p w14:paraId="5627FE52" w14:textId="2A43CAC6"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35,000.00</w:t>
            </w:r>
          </w:p>
        </w:tc>
        <w:tc>
          <w:tcPr>
            <w:tcW w:w="3318" w:type="dxa"/>
            <w:tcBorders>
              <w:top w:val="single" w:sz="12" w:space="0" w:color="014171"/>
              <w:bottom w:val="single" w:sz="4" w:space="0" w:color="014171"/>
            </w:tcBorders>
          </w:tcPr>
          <w:p w14:paraId="57546C2D" w14:textId="05C6E46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Liabilities 4.a</w:t>
            </w:r>
          </w:p>
        </w:tc>
      </w:tr>
      <w:tr w:rsidR="006775E5" w:rsidRPr="006775E5" w14:paraId="4E4AAE38" w14:textId="77777777" w:rsidTr="006775E5">
        <w:trPr>
          <w:trHeight w:val="142"/>
        </w:trPr>
        <w:tc>
          <w:tcPr>
            <w:tcW w:w="567" w:type="dxa"/>
            <w:tcBorders>
              <w:top w:val="single" w:sz="4" w:space="0" w:color="014171"/>
              <w:bottom w:val="single" w:sz="4" w:space="0" w:color="014171"/>
            </w:tcBorders>
          </w:tcPr>
          <w:p w14:paraId="52906991" w14:textId="3A34E80F"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5</w:t>
            </w:r>
          </w:p>
        </w:tc>
        <w:tc>
          <w:tcPr>
            <w:tcW w:w="4253" w:type="dxa"/>
            <w:tcBorders>
              <w:top w:val="single" w:sz="4" w:space="0" w:color="014171"/>
              <w:bottom w:val="single" w:sz="4" w:space="0" w:color="014171"/>
            </w:tcBorders>
          </w:tcPr>
          <w:p w14:paraId="092EBAA4" w14:textId="1AB75A79"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 xml:space="preserve">Share premium </w:t>
            </w:r>
          </w:p>
        </w:tc>
        <w:tc>
          <w:tcPr>
            <w:tcW w:w="1129" w:type="dxa"/>
            <w:tcBorders>
              <w:top w:val="single" w:sz="4" w:space="0" w:color="014171"/>
              <w:bottom w:val="single" w:sz="4" w:space="0" w:color="014171"/>
            </w:tcBorders>
          </w:tcPr>
          <w:p w14:paraId="60BAECAF" w14:textId="412A917B"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7E16DDDF"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0FEB1EC8" w14:textId="77777777" w:rsidTr="006775E5">
        <w:trPr>
          <w:trHeight w:val="142"/>
        </w:trPr>
        <w:tc>
          <w:tcPr>
            <w:tcW w:w="567" w:type="dxa"/>
            <w:tcBorders>
              <w:top w:val="single" w:sz="4" w:space="0" w:color="014171"/>
              <w:bottom w:val="single" w:sz="4" w:space="0" w:color="014171"/>
            </w:tcBorders>
          </w:tcPr>
          <w:p w14:paraId="220A7E13" w14:textId="07169154"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6</w:t>
            </w:r>
          </w:p>
        </w:tc>
        <w:tc>
          <w:tcPr>
            <w:tcW w:w="4253" w:type="dxa"/>
            <w:tcBorders>
              <w:top w:val="single" w:sz="4" w:space="0" w:color="014171"/>
              <w:bottom w:val="single" w:sz="4" w:space="0" w:color="014171"/>
            </w:tcBorders>
          </w:tcPr>
          <w:p w14:paraId="07936FAE" w14:textId="07D1EDEE"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Retained earnings</w:t>
            </w:r>
          </w:p>
        </w:tc>
        <w:tc>
          <w:tcPr>
            <w:tcW w:w="1129" w:type="dxa"/>
            <w:tcBorders>
              <w:top w:val="single" w:sz="4" w:space="0" w:color="014171"/>
              <w:bottom w:val="single" w:sz="4" w:space="0" w:color="014171"/>
            </w:tcBorders>
          </w:tcPr>
          <w:p w14:paraId="3E301258" w14:textId="1BA16F99"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-3,316.52</w:t>
            </w:r>
          </w:p>
        </w:tc>
        <w:tc>
          <w:tcPr>
            <w:tcW w:w="3318" w:type="dxa"/>
            <w:tcBorders>
              <w:top w:val="single" w:sz="4" w:space="0" w:color="014171"/>
              <w:bottom w:val="single" w:sz="4" w:space="0" w:color="014171"/>
            </w:tcBorders>
          </w:tcPr>
          <w:p w14:paraId="553C9348" w14:textId="1B42F389"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Liabilities 4.b</w:t>
            </w:r>
          </w:p>
        </w:tc>
      </w:tr>
      <w:tr w:rsidR="006775E5" w:rsidRPr="006775E5" w14:paraId="17CF6662" w14:textId="77777777" w:rsidTr="006775E5">
        <w:trPr>
          <w:trHeight w:val="142"/>
        </w:trPr>
        <w:tc>
          <w:tcPr>
            <w:tcW w:w="567" w:type="dxa"/>
            <w:tcBorders>
              <w:top w:val="single" w:sz="4" w:space="0" w:color="014171"/>
              <w:bottom w:val="single" w:sz="4" w:space="0" w:color="014171"/>
            </w:tcBorders>
          </w:tcPr>
          <w:p w14:paraId="4A08882B" w14:textId="72859606"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7</w:t>
            </w:r>
          </w:p>
        </w:tc>
        <w:tc>
          <w:tcPr>
            <w:tcW w:w="4253" w:type="dxa"/>
            <w:tcBorders>
              <w:top w:val="single" w:sz="4" w:space="0" w:color="014171"/>
              <w:bottom w:val="single" w:sz="4" w:space="0" w:color="014171"/>
            </w:tcBorders>
          </w:tcPr>
          <w:p w14:paraId="445CA539" w14:textId="726E869F"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Accumulated other comprehensive income</w:t>
            </w:r>
          </w:p>
        </w:tc>
        <w:tc>
          <w:tcPr>
            <w:tcW w:w="1129" w:type="dxa"/>
            <w:tcBorders>
              <w:top w:val="single" w:sz="4" w:space="0" w:color="014171"/>
              <w:bottom w:val="single" w:sz="4" w:space="0" w:color="014171"/>
            </w:tcBorders>
          </w:tcPr>
          <w:p w14:paraId="313B601D" w14:textId="6313CB6A"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4DE2FB4C"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3CD983EB" w14:textId="77777777" w:rsidTr="006775E5">
        <w:trPr>
          <w:trHeight w:val="142"/>
        </w:trPr>
        <w:tc>
          <w:tcPr>
            <w:tcW w:w="567" w:type="dxa"/>
            <w:tcBorders>
              <w:top w:val="single" w:sz="4" w:space="0" w:color="014171"/>
              <w:bottom w:val="single" w:sz="4" w:space="0" w:color="014171"/>
            </w:tcBorders>
          </w:tcPr>
          <w:p w14:paraId="0A9773EE" w14:textId="152F741B"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8</w:t>
            </w:r>
          </w:p>
        </w:tc>
        <w:tc>
          <w:tcPr>
            <w:tcW w:w="4253" w:type="dxa"/>
            <w:tcBorders>
              <w:top w:val="single" w:sz="4" w:space="0" w:color="014171"/>
              <w:bottom w:val="single" w:sz="4" w:space="0" w:color="014171"/>
            </w:tcBorders>
          </w:tcPr>
          <w:p w14:paraId="6F471905" w14:textId="5885EA7A"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Other reserves</w:t>
            </w:r>
          </w:p>
        </w:tc>
        <w:tc>
          <w:tcPr>
            <w:tcW w:w="1129" w:type="dxa"/>
            <w:tcBorders>
              <w:top w:val="single" w:sz="4" w:space="0" w:color="014171"/>
              <w:bottom w:val="single" w:sz="4" w:space="0" w:color="014171"/>
            </w:tcBorders>
          </w:tcPr>
          <w:p w14:paraId="1597D16D" w14:textId="096F9979"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7C49F8C4"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1B94082F" w14:textId="77777777" w:rsidTr="006775E5">
        <w:trPr>
          <w:trHeight w:val="142"/>
        </w:trPr>
        <w:tc>
          <w:tcPr>
            <w:tcW w:w="567" w:type="dxa"/>
            <w:tcBorders>
              <w:top w:val="single" w:sz="4" w:space="0" w:color="014171"/>
              <w:bottom w:val="single" w:sz="4" w:space="0" w:color="014171"/>
            </w:tcBorders>
          </w:tcPr>
          <w:p w14:paraId="7FA6AD01" w14:textId="24812CC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9</w:t>
            </w:r>
          </w:p>
        </w:tc>
        <w:tc>
          <w:tcPr>
            <w:tcW w:w="4253" w:type="dxa"/>
            <w:tcBorders>
              <w:top w:val="single" w:sz="4" w:space="0" w:color="014171"/>
              <w:bottom w:val="single" w:sz="4" w:space="0" w:color="014171"/>
            </w:tcBorders>
          </w:tcPr>
          <w:p w14:paraId="3847E903" w14:textId="0A9F9BB3"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Minority interest given recognition in CET1 capital</w:t>
            </w:r>
          </w:p>
        </w:tc>
        <w:tc>
          <w:tcPr>
            <w:tcW w:w="1129" w:type="dxa"/>
            <w:tcBorders>
              <w:top w:val="single" w:sz="4" w:space="0" w:color="014171"/>
              <w:bottom w:val="single" w:sz="4" w:space="0" w:color="014171"/>
            </w:tcBorders>
          </w:tcPr>
          <w:p w14:paraId="39C2F66D" w14:textId="195F6304"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07748161"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6C42FF50" w14:textId="77777777" w:rsidTr="006775E5">
        <w:trPr>
          <w:trHeight w:val="142"/>
        </w:trPr>
        <w:tc>
          <w:tcPr>
            <w:tcW w:w="567" w:type="dxa"/>
            <w:tcBorders>
              <w:top w:val="single" w:sz="4" w:space="0" w:color="014171"/>
              <w:bottom w:val="single" w:sz="4" w:space="0" w:color="014171"/>
            </w:tcBorders>
          </w:tcPr>
          <w:p w14:paraId="190AB16B" w14:textId="2824C77E"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10</w:t>
            </w:r>
          </w:p>
        </w:tc>
        <w:tc>
          <w:tcPr>
            <w:tcW w:w="4253" w:type="dxa"/>
            <w:tcBorders>
              <w:top w:val="single" w:sz="4" w:space="0" w:color="014171"/>
              <w:bottom w:val="single" w:sz="4" w:space="0" w:color="014171"/>
            </w:tcBorders>
          </w:tcPr>
          <w:p w14:paraId="4A450E24" w14:textId="2605FFB9"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Adjustments to CET1 due to prudential filters</w:t>
            </w:r>
          </w:p>
        </w:tc>
        <w:tc>
          <w:tcPr>
            <w:tcW w:w="1129" w:type="dxa"/>
            <w:tcBorders>
              <w:top w:val="single" w:sz="4" w:space="0" w:color="014171"/>
              <w:bottom w:val="single" w:sz="4" w:space="0" w:color="014171"/>
            </w:tcBorders>
          </w:tcPr>
          <w:p w14:paraId="563C64BA" w14:textId="7B6662CC"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65F111C1"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04CF80AA" w14:textId="77777777" w:rsidTr="006775E5">
        <w:trPr>
          <w:trHeight w:val="274"/>
        </w:trPr>
        <w:tc>
          <w:tcPr>
            <w:tcW w:w="567" w:type="dxa"/>
            <w:tcBorders>
              <w:top w:val="single" w:sz="4" w:space="0" w:color="014171"/>
              <w:bottom w:val="single" w:sz="4" w:space="0" w:color="014171"/>
            </w:tcBorders>
          </w:tcPr>
          <w:p w14:paraId="614996F9" w14:textId="4F30129B"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11</w:t>
            </w:r>
          </w:p>
        </w:tc>
        <w:tc>
          <w:tcPr>
            <w:tcW w:w="4253" w:type="dxa"/>
            <w:tcBorders>
              <w:top w:val="single" w:sz="4" w:space="0" w:color="014171"/>
              <w:bottom w:val="single" w:sz="4" w:space="0" w:color="014171"/>
            </w:tcBorders>
          </w:tcPr>
          <w:p w14:paraId="5F31B27C" w14:textId="69703203"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Other funds</w:t>
            </w:r>
          </w:p>
        </w:tc>
        <w:tc>
          <w:tcPr>
            <w:tcW w:w="1129" w:type="dxa"/>
            <w:tcBorders>
              <w:top w:val="single" w:sz="4" w:space="0" w:color="014171"/>
              <w:bottom w:val="single" w:sz="4" w:space="0" w:color="014171"/>
            </w:tcBorders>
          </w:tcPr>
          <w:p w14:paraId="10992BB2" w14:textId="103B79EE"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5F2E0DAD"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5A0BD0B9" w14:textId="77777777" w:rsidTr="006775E5">
        <w:trPr>
          <w:trHeight w:val="274"/>
        </w:trPr>
        <w:tc>
          <w:tcPr>
            <w:tcW w:w="567" w:type="dxa"/>
            <w:tcBorders>
              <w:top w:val="single" w:sz="4" w:space="0" w:color="014171"/>
              <w:bottom w:val="single" w:sz="4" w:space="0" w:color="014171"/>
            </w:tcBorders>
          </w:tcPr>
          <w:p w14:paraId="2787B2EE" w14:textId="54C16BF6"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12</w:t>
            </w:r>
          </w:p>
        </w:tc>
        <w:tc>
          <w:tcPr>
            <w:tcW w:w="4253" w:type="dxa"/>
            <w:tcBorders>
              <w:top w:val="single" w:sz="4" w:space="0" w:color="014171"/>
              <w:bottom w:val="single" w:sz="4" w:space="0" w:color="014171"/>
            </w:tcBorders>
          </w:tcPr>
          <w:p w14:paraId="1BE81EA4" w14:textId="1B57A7AB" w:rsidR="006775E5" w:rsidRPr="00A02BEA" w:rsidRDefault="006775E5" w:rsidP="0074724B">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w:t>
            </w:r>
            <w:r w:rsidRPr="0074724B">
              <w:rPr>
                <w:rFonts w:ascii="Segoe UI" w:hAnsi="Segoe UI" w:cs="Segoe UI"/>
                <w:color w:val="014171"/>
                <w:sz w:val="18"/>
                <w:szCs w:val="18"/>
              </w:rPr>
              <w:t xml:space="preserve"> </w:t>
            </w:r>
            <w:r w:rsidRPr="00A02BEA">
              <w:rPr>
                <w:rFonts w:ascii="Segoe UI" w:hAnsi="Segoe UI" w:cs="Segoe UI"/>
                <w:color w:val="014171"/>
                <w:sz w:val="18"/>
                <w:szCs w:val="18"/>
              </w:rPr>
              <w:t>TOTAL DEDUCTIONS FROM COMMON EQUITY TIER 1</w:t>
            </w:r>
          </w:p>
        </w:tc>
        <w:tc>
          <w:tcPr>
            <w:tcW w:w="1129" w:type="dxa"/>
            <w:tcBorders>
              <w:top w:val="single" w:sz="4" w:space="0" w:color="014171"/>
              <w:bottom w:val="single" w:sz="4" w:space="0" w:color="014171"/>
            </w:tcBorders>
          </w:tcPr>
          <w:p w14:paraId="32EC4CAD" w14:textId="0CC802CC"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-195.43</w:t>
            </w:r>
          </w:p>
        </w:tc>
        <w:tc>
          <w:tcPr>
            <w:tcW w:w="3318" w:type="dxa"/>
            <w:tcBorders>
              <w:top w:val="single" w:sz="4" w:space="0" w:color="014171"/>
              <w:bottom w:val="single" w:sz="4" w:space="0" w:color="014171"/>
            </w:tcBorders>
          </w:tcPr>
          <w:p w14:paraId="2E464D2F" w14:textId="701FFE02"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6A0E3F2D" w14:textId="77777777" w:rsidTr="006775E5">
        <w:trPr>
          <w:trHeight w:val="148"/>
        </w:trPr>
        <w:tc>
          <w:tcPr>
            <w:tcW w:w="567" w:type="dxa"/>
            <w:tcBorders>
              <w:top w:val="single" w:sz="4" w:space="0" w:color="014171"/>
              <w:bottom w:val="single" w:sz="4" w:space="0" w:color="014171"/>
            </w:tcBorders>
          </w:tcPr>
          <w:p w14:paraId="12534272" w14:textId="166091E2"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13</w:t>
            </w:r>
          </w:p>
        </w:tc>
        <w:tc>
          <w:tcPr>
            <w:tcW w:w="4253" w:type="dxa"/>
            <w:tcBorders>
              <w:top w:val="single" w:sz="4" w:space="0" w:color="014171"/>
              <w:bottom w:val="single" w:sz="4" w:space="0" w:color="014171"/>
            </w:tcBorders>
          </w:tcPr>
          <w:p w14:paraId="1F28BED9" w14:textId="11C94805"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Own CET1 instruments</w:t>
            </w:r>
          </w:p>
        </w:tc>
        <w:tc>
          <w:tcPr>
            <w:tcW w:w="1129" w:type="dxa"/>
            <w:tcBorders>
              <w:top w:val="single" w:sz="4" w:space="0" w:color="014171"/>
              <w:bottom w:val="single" w:sz="4" w:space="0" w:color="014171"/>
            </w:tcBorders>
          </w:tcPr>
          <w:p w14:paraId="792E3D7B" w14:textId="71DCB524" w:rsidR="006775E5" w:rsidRPr="00A02BEA" w:rsidRDefault="006775E5" w:rsidP="0074724B">
            <w:pPr>
              <w:autoSpaceDE w:val="0"/>
              <w:autoSpaceDN w:val="0"/>
              <w:adjustRightInd w:val="0"/>
              <w:spacing w:after="0"/>
              <w:jc w:val="right"/>
              <w:rPr>
                <w:rFonts w:ascii="Segoe UI" w:hAnsi="Segoe UI" w:cs="Segoe UI"/>
                <w:b/>
                <w:bCs/>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7DF98FCA" w14:textId="77777777" w:rsidR="006775E5" w:rsidRPr="00A02BEA" w:rsidRDefault="006775E5" w:rsidP="006775E5">
            <w:pPr>
              <w:autoSpaceDE w:val="0"/>
              <w:autoSpaceDN w:val="0"/>
              <w:adjustRightInd w:val="0"/>
              <w:spacing w:after="0"/>
              <w:jc w:val="both"/>
              <w:rPr>
                <w:rFonts w:ascii="Segoe UI" w:hAnsi="Segoe UI" w:cs="Segoe UI"/>
                <w:b/>
                <w:bCs/>
                <w:color w:val="014171"/>
                <w:sz w:val="18"/>
                <w:szCs w:val="18"/>
                <w:lang w:eastAsia="en-GB"/>
              </w:rPr>
            </w:pPr>
          </w:p>
        </w:tc>
      </w:tr>
      <w:tr w:rsidR="006775E5" w:rsidRPr="006775E5" w14:paraId="73D05701" w14:textId="77777777" w:rsidTr="006775E5">
        <w:trPr>
          <w:trHeight w:val="142"/>
        </w:trPr>
        <w:tc>
          <w:tcPr>
            <w:tcW w:w="567" w:type="dxa"/>
            <w:tcBorders>
              <w:top w:val="single" w:sz="4" w:space="0" w:color="014171"/>
              <w:bottom w:val="single" w:sz="4" w:space="0" w:color="014171"/>
            </w:tcBorders>
          </w:tcPr>
          <w:p w14:paraId="3F9A98DC" w14:textId="3B1E114D"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14</w:t>
            </w:r>
          </w:p>
        </w:tc>
        <w:tc>
          <w:tcPr>
            <w:tcW w:w="4253" w:type="dxa"/>
            <w:tcBorders>
              <w:top w:val="single" w:sz="4" w:space="0" w:color="014171"/>
              <w:bottom w:val="single" w:sz="4" w:space="0" w:color="014171"/>
            </w:tcBorders>
          </w:tcPr>
          <w:p w14:paraId="28E6FEE6" w14:textId="0B8A8E1E" w:rsidR="006775E5" w:rsidRPr="00A02BEA" w:rsidRDefault="006775E5" w:rsidP="00A02BEA">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 Direct holdings of CET1 instruments</w:t>
            </w:r>
          </w:p>
        </w:tc>
        <w:tc>
          <w:tcPr>
            <w:tcW w:w="1129" w:type="dxa"/>
            <w:tcBorders>
              <w:top w:val="single" w:sz="4" w:space="0" w:color="014171"/>
              <w:bottom w:val="single" w:sz="4" w:space="0" w:color="014171"/>
            </w:tcBorders>
          </w:tcPr>
          <w:p w14:paraId="40CD8244" w14:textId="504DF5CF"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270B33D6"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5359E7C8" w14:textId="77777777" w:rsidTr="006775E5">
        <w:trPr>
          <w:trHeight w:val="142"/>
        </w:trPr>
        <w:tc>
          <w:tcPr>
            <w:tcW w:w="567" w:type="dxa"/>
            <w:tcBorders>
              <w:top w:val="single" w:sz="4" w:space="0" w:color="014171"/>
              <w:bottom w:val="single" w:sz="4" w:space="0" w:color="014171"/>
            </w:tcBorders>
          </w:tcPr>
          <w:p w14:paraId="1AA6BF65" w14:textId="5D7AD1E3"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15</w:t>
            </w:r>
          </w:p>
        </w:tc>
        <w:tc>
          <w:tcPr>
            <w:tcW w:w="4253" w:type="dxa"/>
            <w:tcBorders>
              <w:top w:val="single" w:sz="4" w:space="0" w:color="014171"/>
              <w:bottom w:val="single" w:sz="4" w:space="0" w:color="014171"/>
            </w:tcBorders>
          </w:tcPr>
          <w:p w14:paraId="0A094D40" w14:textId="4BD2EC1F" w:rsidR="006775E5" w:rsidRPr="00A02BEA" w:rsidRDefault="006775E5" w:rsidP="00A02BEA">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 Indirect holdings of CET1 instruments</w:t>
            </w:r>
          </w:p>
        </w:tc>
        <w:tc>
          <w:tcPr>
            <w:tcW w:w="1129" w:type="dxa"/>
            <w:tcBorders>
              <w:top w:val="single" w:sz="4" w:space="0" w:color="014171"/>
              <w:bottom w:val="single" w:sz="4" w:space="0" w:color="014171"/>
            </w:tcBorders>
          </w:tcPr>
          <w:p w14:paraId="21E555A3" w14:textId="59DBEE33"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76130955"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1C4A723C" w14:textId="77777777" w:rsidTr="006775E5">
        <w:trPr>
          <w:trHeight w:val="142"/>
        </w:trPr>
        <w:tc>
          <w:tcPr>
            <w:tcW w:w="567" w:type="dxa"/>
            <w:tcBorders>
              <w:top w:val="single" w:sz="4" w:space="0" w:color="014171"/>
              <w:bottom w:val="single" w:sz="4" w:space="0" w:color="014171"/>
            </w:tcBorders>
          </w:tcPr>
          <w:p w14:paraId="3B1DBEB2" w14:textId="75B9485C"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16</w:t>
            </w:r>
          </w:p>
        </w:tc>
        <w:tc>
          <w:tcPr>
            <w:tcW w:w="4253" w:type="dxa"/>
            <w:tcBorders>
              <w:top w:val="single" w:sz="4" w:space="0" w:color="014171"/>
              <w:bottom w:val="single" w:sz="4" w:space="0" w:color="014171"/>
            </w:tcBorders>
          </w:tcPr>
          <w:p w14:paraId="7F2980BC" w14:textId="6019EF3A" w:rsidR="006775E5" w:rsidRPr="00A02BEA" w:rsidRDefault="006775E5" w:rsidP="00A02BEA">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 Synthetic holdings of CET1 instruments</w:t>
            </w:r>
          </w:p>
        </w:tc>
        <w:tc>
          <w:tcPr>
            <w:tcW w:w="1129" w:type="dxa"/>
            <w:tcBorders>
              <w:top w:val="single" w:sz="4" w:space="0" w:color="014171"/>
              <w:bottom w:val="single" w:sz="4" w:space="0" w:color="014171"/>
            </w:tcBorders>
          </w:tcPr>
          <w:p w14:paraId="763CB6D6" w14:textId="654DF8DC"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123F2A67"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2E5A783F" w14:textId="77777777" w:rsidTr="006775E5">
        <w:trPr>
          <w:trHeight w:val="274"/>
        </w:trPr>
        <w:tc>
          <w:tcPr>
            <w:tcW w:w="567" w:type="dxa"/>
            <w:tcBorders>
              <w:top w:val="single" w:sz="4" w:space="0" w:color="014171"/>
              <w:bottom w:val="single" w:sz="4" w:space="0" w:color="014171"/>
            </w:tcBorders>
          </w:tcPr>
          <w:p w14:paraId="6F0D1FD7" w14:textId="5DFB5D02"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17</w:t>
            </w:r>
          </w:p>
        </w:tc>
        <w:tc>
          <w:tcPr>
            <w:tcW w:w="4253" w:type="dxa"/>
            <w:tcBorders>
              <w:top w:val="single" w:sz="4" w:space="0" w:color="014171"/>
              <w:bottom w:val="single" w:sz="4" w:space="0" w:color="014171"/>
            </w:tcBorders>
          </w:tcPr>
          <w:p w14:paraId="658B7636" w14:textId="0F2C06DF"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Losses for the current financial year</w:t>
            </w:r>
          </w:p>
        </w:tc>
        <w:tc>
          <w:tcPr>
            <w:tcW w:w="1129" w:type="dxa"/>
            <w:tcBorders>
              <w:top w:val="single" w:sz="4" w:space="0" w:color="014171"/>
              <w:bottom w:val="single" w:sz="4" w:space="0" w:color="014171"/>
            </w:tcBorders>
          </w:tcPr>
          <w:p w14:paraId="3242E03E" w14:textId="7B51040F" w:rsidR="006775E5" w:rsidRPr="00A02BEA" w:rsidRDefault="006775E5" w:rsidP="0074724B">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4AA17035"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3CAD5B85" w14:textId="77777777" w:rsidTr="006775E5">
        <w:trPr>
          <w:trHeight w:val="148"/>
        </w:trPr>
        <w:tc>
          <w:tcPr>
            <w:tcW w:w="567" w:type="dxa"/>
            <w:tcBorders>
              <w:top w:val="single" w:sz="4" w:space="0" w:color="014171"/>
            </w:tcBorders>
          </w:tcPr>
          <w:p w14:paraId="5FC3DE4E" w14:textId="27105721"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18</w:t>
            </w:r>
          </w:p>
        </w:tc>
        <w:tc>
          <w:tcPr>
            <w:tcW w:w="4253" w:type="dxa"/>
            <w:tcBorders>
              <w:top w:val="single" w:sz="4" w:space="0" w:color="014171"/>
            </w:tcBorders>
          </w:tcPr>
          <w:p w14:paraId="783432DF" w14:textId="38EB56B8"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xml:space="preserve">(-) Goodwill </w:t>
            </w:r>
          </w:p>
        </w:tc>
        <w:tc>
          <w:tcPr>
            <w:tcW w:w="1129" w:type="dxa"/>
            <w:tcBorders>
              <w:top w:val="single" w:sz="4" w:space="0" w:color="014171"/>
            </w:tcBorders>
          </w:tcPr>
          <w:p w14:paraId="05907B5E" w14:textId="376AA07E" w:rsidR="006775E5" w:rsidRPr="00A02BEA" w:rsidRDefault="006775E5" w:rsidP="0074724B">
            <w:pPr>
              <w:autoSpaceDE w:val="0"/>
              <w:autoSpaceDN w:val="0"/>
              <w:adjustRightInd w:val="0"/>
              <w:spacing w:after="0"/>
              <w:jc w:val="right"/>
              <w:rPr>
                <w:rFonts w:ascii="Segoe UI" w:hAnsi="Segoe UI" w:cs="Segoe UI"/>
                <w:b/>
                <w:bCs/>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tcBorders>
          </w:tcPr>
          <w:p w14:paraId="12D97D6C" w14:textId="77777777" w:rsidR="006775E5" w:rsidRPr="00A02BEA" w:rsidRDefault="006775E5" w:rsidP="006775E5">
            <w:pPr>
              <w:autoSpaceDE w:val="0"/>
              <w:autoSpaceDN w:val="0"/>
              <w:adjustRightInd w:val="0"/>
              <w:spacing w:after="0"/>
              <w:jc w:val="both"/>
              <w:rPr>
                <w:rFonts w:ascii="Segoe UI" w:hAnsi="Segoe UI" w:cs="Segoe UI"/>
                <w:b/>
                <w:bCs/>
                <w:color w:val="014171"/>
                <w:sz w:val="18"/>
                <w:szCs w:val="18"/>
                <w:lang w:eastAsia="en-GB"/>
              </w:rPr>
            </w:pPr>
          </w:p>
        </w:tc>
      </w:tr>
      <w:tr w:rsidR="006775E5" w:rsidRPr="006775E5" w14:paraId="2561D9C2" w14:textId="77777777" w:rsidTr="006775E5">
        <w:trPr>
          <w:trHeight w:val="142"/>
        </w:trPr>
        <w:tc>
          <w:tcPr>
            <w:tcW w:w="567" w:type="dxa"/>
            <w:tcBorders>
              <w:top w:val="single" w:sz="4" w:space="0" w:color="014171"/>
              <w:bottom w:val="single" w:sz="4" w:space="0" w:color="014171"/>
            </w:tcBorders>
          </w:tcPr>
          <w:p w14:paraId="619CDB80" w14:textId="109BDED6"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19</w:t>
            </w:r>
          </w:p>
        </w:tc>
        <w:tc>
          <w:tcPr>
            <w:tcW w:w="4253" w:type="dxa"/>
            <w:tcBorders>
              <w:top w:val="single" w:sz="4" w:space="0" w:color="014171"/>
              <w:bottom w:val="single" w:sz="4" w:space="0" w:color="014171"/>
            </w:tcBorders>
          </w:tcPr>
          <w:p w14:paraId="599DA3B3" w14:textId="46C08225"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Other intangible assets</w:t>
            </w:r>
          </w:p>
        </w:tc>
        <w:tc>
          <w:tcPr>
            <w:tcW w:w="1129" w:type="dxa"/>
            <w:tcBorders>
              <w:top w:val="single" w:sz="4" w:space="0" w:color="014171"/>
              <w:bottom w:val="single" w:sz="4" w:space="0" w:color="014171"/>
            </w:tcBorders>
          </w:tcPr>
          <w:p w14:paraId="0F9E00F1" w14:textId="7F51AE0C"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-195.43</w:t>
            </w:r>
          </w:p>
        </w:tc>
        <w:tc>
          <w:tcPr>
            <w:tcW w:w="3318" w:type="dxa"/>
            <w:tcBorders>
              <w:top w:val="single" w:sz="4" w:space="0" w:color="014171"/>
              <w:bottom w:val="single" w:sz="4" w:space="0" w:color="014171"/>
            </w:tcBorders>
          </w:tcPr>
          <w:p w14:paraId="3B96DB24"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1BF776C9" w14:textId="77777777" w:rsidTr="006775E5">
        <w:trPr>
          <w:trHeight w:val="142"/>
        </w:trPr>
        <w:tc>
          <w:tcPr>
            <w:tcW w:w="567" w:type="dxa"/>
            <w:tcBorders>
              <w:top w:val="single" w:sz="4" w:space="0" w:color="014171"/>
              <w:bottom w:val="single" w:sz="4" w:space="0" w:color="014171"/>
            </w:tcBorders>
          </w:tcPr>
          <w:p w14:paraId="35EBAD9C" w14:textId="624DAD71"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20</w:t>
            </w:r>
          </w:p>
        </w:tc>
        <w:tc>
          <w:tcPr>
            <w:tcW w:w="4253" w:type="dxa"/>
            <w:tcBorders>
              <w:top w:val="single" w:sz="4" w:space="0" w:color="014171"/>
              <w:bottom w:val="single" w:sz="4" w:space="0" w:color="014171"/>
            </w:tcBorders>
          </w:tcPr>
          <w:p w14:paraId="2D70141D" w14:textId="5903A662"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Deferred tax assets that rely on future profitability and do not arise from temporary differences net of associated tax liabilities</w:t>
            </w:r>
          </w:p>
        </w:tc>
        <w:tc>
          <w:tcPr>
            <w:tcW w:w="1129" w:type="dxa"/>
            <w:tcBorders>
              <w:top w:val="single" w:sz="4" w:space="0" w:color="014171"/>
              <w:bottom w:val="single" w:sz="4" w:space="0" w:color="014171"/>
            </w:tcBorders>
          </w:tcPr>
          <w:p w14:paraId="3FC0593A" w14:textId="4ABFFB86"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512BE4DB"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56FC93F9" w14:textId="77777777" w:rsidTr="006775E5">
        <w:trPr>
          <w:trHeight w:val="142"/>
        </w:trPr>
        <w:tc>
          <w:tcPr>
            <w:tcW w:w="567" w:type="dxa"/>
            <w:tcBorders>
              <w:top w:val="single" w:sz="4" w:space="0" w:color="014171"/>
              <w:bottom w:val="single" w:sz="4" w:space="0" w:color="014171"/>
            </w:tcBorders>
          </w:tcPr>
          <w:p w14:paraId="7F94AC98" w14:textId="7C12F1BD"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21</w:t>
            </w:r>
          </w:p>
        </w:tc>
        <w:tc>
          <w:tcPr>
            <w:tcW w:w="4253" w:type="dxa"/>
            <w:tcBorders>
              <w:top w:val="single" w:sz="4" w:space="0" w:color="014171"/>
              <w:bottom w:val="single" w:sz="4" w:space="0" w:color="014171"/>
            </w:tcBorders>
          </w:tcPr>
          <w:p w14:paraId="05AE508A" w14:textId="4E88514B"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Qualifying holding outside the financial sector which exceeds 15% of own funds</w:t>
            </w:r>
          </w:p>
        </w:tc>
        <w:tc>
          <w:tcPr>
            <w:tcW w:w="1129" w:type="dxa"/>
            <w:tcBorders>
              <w:top w:val="single" w:sz="4" w:space="0" w:color="014171"/>
              <w:bottom w:val="single" w:sz="4" w:space="0" w:color="014171"/>
            </w:tcBorders>
          </w:tcPr>
          <w:p w14:paraId="0B54616D" w14:textId="4221302D"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3F2A5B47"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4BB2BBD0" w14:textId="77777777" w:rsidTr="006775E5">
        <w:trPr>
          <w:trHeight w:val="274"/>
        </w:trPr>
        <w:tc>
          <w:tcPr>
            <w:tcW w:w="567" w:type="dxa"/>
            <w:tcBorders>
              <w:top w:val="single" w:sz="4" w:space="0" w:color="014171"/>
              <w:bottom w:val="single" w:sz="4" w:space="0" w:color="014171"/>
            </w:tcBorders>
          </w:tcPr>
          <w:p w14:paraId="32C5A7DA" w14:textId="5EA38FEC"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22</w:t>
            </w:r>
          </w:p>
        </w:tc>
        <w:tc>
          <w:tcPr>
            <w:tcW w:w="4253" w:type="dxa"/>
            <w:tcBorders>
              <w:top w:val="single" w:sz="4" w:space="0" w:color="014171"/>
              <w:bottom w:val="single" w:sz="4" w:space="0" w:color="014171"/>
            </w:tcBorders>
          </w:tcPr>
          <w:p w14:paraId="63C51B5A" w14:textId="43D53D3B"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Total qualifying holdings in undertaking other than financial sector entities which exceeds 60% of its own funds</w:t>
            </w:r>
          </w:p>
        </w:tc>
        <w:tc>
          <w:tcPr>
            <w:tcW w:w="1129" w:type="dxa"/>
            <w:tcBorders>
              <w:top w:val="single" w:sz="4" w:space="0" w:color="014171"/>
              <w:bottom w:val="single" w:sz="4" w:space="0" w:color="014171"/>
            </w:tcBorders>
          </w:tcPr>
          <w:p w14:paraId="1BB73EA3" w14:textId="0E4208CA"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5FEABF1E"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3B38C91C" w14:textId="77777777" w:rsidTr="006775E5">
        <w:trPr>
          <w:trHeight w:val="274"/>
        </w:trPr>
        <w:tc>
          <w:tcPr>
            <w:tcW w:w="567" w:type="dxa"/>
            <w:tcBorders>
              <w:top w:val="single" w:sz="4" w:space="0" w:color="014171"/>
            </w:tcBorders>
          </w:tcPr>
          <w:p w14:paraId="69F54FAD" w14:textId="6BF2610D"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lastRenderedPageBreak/>
              <w:t>23</w:t>
            </w:r>
          </w:p>
        </w:tc>
        <w:tc>
          <w:tcPr>
            <w:tcW w:w="4253" w:type="dxa"/>
            <w:tcBorders>
              <w:top w:val="single" w:sz="4" w:space="0" w:color="014171"/>
            </w:tcBorders>
          </w:tcPr>
          <w:p w14:paraId="02FE9F61" w14:textId="51E6CD83"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CET1 instruments of financial sector entit</w:t>
            </w:r>
            <w:r w:rsidRPr="0074724B">
              <w:rPr>
                <w:rFonts w:ascii="Segoe UI" w:hAnsi="Segoe UI" w:cs="Segoe UI"/>
                <w:color w:val="014171"/>
                <w:sz w:val="18"/>
                <w:szCs w:val="18"/>
              </w:rPr>
              <w:t>i</w:t>
            </w:r>
            <w:r w:rsidRPr="00A02BEA">
              <w:rPr>
                <w:rFonts w:ascii="Segoe UI" w:hAnsi="Segoe UI" w:cs="Segoe UI"/>
                <w:color w:val="014171"/>
                <w:sz w:val="18"/>
                <w:szCs w:val="18"/>
              </w:rPr>
              <w:t>es where the institution does not have a significant investment</w:t>
            </w:r>
          </w:p>
        </w:tc>
        <w:tc>
          <w:tcPr>
            <w:tcW w:w="1129" w:type="dxa"/>
            <w:tcBorders>
              <w:top w:val="single" w:sz="4" w:space="0" w:color="014171"/>
            </w:tcBorders>
          </w:tcPr>
          <w:p w14:paraId="7D35058E" w14:textId="1657EA14"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tcBorders>
          </w:tcPr>
          <w:p w14:paraId="76231710"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7334B96E" w14:textId="77777777" w:rsidTr="006775E5">
        <w:trPr>
          <w:trHeight w:val="274"/>
        </w:trPr>
        <w:tc>
          <w:tcPr>
            <w:tcW w:w="567" w:type="dxa"/>
            <w:tcBorders>
              <w:top w:val="single" w:sz="4" w:space="0" w:color="014171"/>
              <w:bottom w:val="single" w:sz="4" w:space="0" w:color="014171"/>
            </w:tcBorders>
          </w:tcPr>
          <w:p w14:paraId="552B90B6" w14:textId="7BD44EB2"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24</w:t>
            </w:r>
          </w:p>
        </w:tc>
        <w:tc>
          <w:tcPr>
            <w:tcW w:w="4253" w:type="dxa"/>
            <w:tcBorders>
              <w:top w:val="single" w:sz="4" w:space="0" w:color="014171"/>
              <w:bottom w:val="single" w:sz="4" w:space="0" w:color="014171"/>
            </w:tcBorders>
          </w:tcPr>
          <w:p w14:paraId="035B665F" w14:textId="081505E0"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CET1 instruments of financial sector entities where the institution has a significant investment</w:t>
            </w:r>
          </w:p>
        </w:tc>
        <w:tc>
          <w:tcPr>
            <w:tcW w:w="1129" w:type="dxa"/>
            <w:tcBorders>
              <w:top w:val="single" w:sz="4" w:space="0" w:color="014171"/>
              <w:bottom w:val="single" w:sz="4" w:space="0" w:color="014171"/>
            </w:tcBorders>
          </w:tcPr>
          <w:p w14:paraId="6472EC3A" w14:textId="45BBB9B0"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27DD633C"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77DA33BC" w14:textId="77777777" w:rsidTr="006775E5">
        <w:trPr>
          <w:trHeight w:val="274"/>
        </w:trPr>
        <w:tc>
          <w:tcPr>
            <w:tcW w:w="567" w:type="dxa"/>
            <w:tcBorders>
              <w:top w:val="single" w:sz="4" w:space="0" w:color="014171"/>
              <w:bottom w:val="single" w:sz="4" w:space="0" w:color="014171"/>
            </w:tcBorders>
          </w:tcPr>
          <w:p w14:paraId="5ECAC199" w14:textId="6FFE839A"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25</w:t>
            </w:r>
          </w:p>
        </w:tc>
        <w:tc>
          <w:tcPr>
            <w:tcW w:w="4253" w:type="dxa"/>
            <w:tcBorders>
              <w:top w:val="single" w:sz="4" w:space="0" w:color="014171"/>
              <w:bottom w:val="single" w:sz="4" w:space="0" w:color="014171"/>
            </w:tcBorders>
          </w:tcPr>
          <w:p w14:paraId="2371E52C" w14:textId="6464F3A9"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w:t>
            </w:r>
            <w:r w:rsidRPr="0074724B">
              <w:rPr>
                <w:rFonts w:ascii="Segoe UI" w:hAnsi="Segoe UI" w:cs="Segoe UI"/>
                <w:color w:val="014171"/>
                <w:sz w:val="18"/>
                <w:szCs w:val="18"/>
              </w:rPr>
              <w:t xml:space="preserve"> </w:t>
            </w:r>
            <w:r w:rsidRPr="00A02BEA">
              <w:rPr>
                <w:rFonts w:ascii="Segoe UI" w:hAnsi="Segoe UI" w:cs="Segoe UI"/>
                <w:color w:val="014171"/>
                <w:sz w:val="18"/>
                <w:szCs w:val="18"/>
              </w:rPr>
              <w:t>Defined benefit pension fund assets</w:t>
            </w:r>
          </w:p>
        </w:tc>
        <w:tc>
          <w:tcPr>
            <w:tcW w:w="1129" w:type="dxa"/>
            <w:tcBorders>
              <w:top w:val="single" w:sz="4" w:space="0" w:color="014171"/>
              <w:bottom w:val="single" w:sz="4" w:space="0" w:color="014171"/>
            </w:tcBorders>
          </w:tcPr>
          <w:p w14:paraId="6371939C" w14:textId="4DCF6629"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1738C495"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2F2AA249" w14:textId="77777777" w:rsidTr="006775E5">
        <w:trPr>
          <w:trHeight w:val="274"/>
        </w:trPr>
        <w:tc>
          <w:tcPr>
            <w:tcW w:w="567" w:type="dxa"/>
            <w:tcBorders>
              <w:top w:val="single" w:sz="4" w:space="0" w:color="014171"/>
              <w:bottom w:val="single" w:sz="4" w:space="0" w:color="014171"/>
            </w:tcBorders>
          </w:tcPr>
          <w:p w14:paraId="217F33A9" w14:textId="6962D0B6"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26</w:t>
            </w:r>
          </w:p>
        </w:tc>
        <w:tc>
          <w:tcPr>
            <w:tcW w:w="4253" w:type="dxa"/>
            <w:tcBorders>
              <w:top w:val="single" w:sz="4" w:space="0" w:color="014171"/>
              <w:bottom w:val="single" w:sz="4" w:space="0" w:color="014171"/>
            </w:tcBorders>
          </w:tcPr>
          <w:p w14:paraId="27ED9152" w14:textId="51F0FFBE"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Other deductions</w:t>
            </w:r>
          </w:p>
        </w:tc>
        <w:tc>
          <w:tcPr>
            <w:tcW w:w="1129" w:type="dxa"/>
            <w:tcBorders>
              <w:top w:val="single" w:sz="4" w:space="0" w:color="014171"/>
              <w:bottom w:val="single" w:sz="4" w:space="0" w:color="014171"/>
            </w:tcBorders>
          </w:tcPr>
          <w:p w14:paraId="5FECAFBC" w14:textId="288F08D7"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161E9AF0"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5DF4055F" w14:textId="77777777" w:rsidTr="007C1172">
        <w:trPr>
          <w:trHeight w:val="274"/>
        </w:trPr>
        <w:tc>
          <w:tcPr>
            <w:tcW w:w="567" w:type="dxa"/>
            <w:tcBorders>
              <w:top w:val="single" w:sz="4" w:space="0" w:color="014171"/>
              <w:bottom w:val="single" w:sz="12" w:space="0" w:color="014171"/>
            </w:tcBorders>
          </w:tcPr>
          <w:p w14:paraId="0C23DC80" w14:textId="1D9BBF2F"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27</w:t>
            </w:r>
          </w:p>
        </w:tc>
        <w:tc>
          <w:tcPr>
            <w:tcW w:w="4253" w:type="dxa"/>
            <w:tcBorders>
              <w:top w:val="single" w:sz="4" w:space="0" w:color="014171"/>
              <w:bottom w:val="single" w:sz="12" w:space="0" w:color="014171"/>
            </w:tcBorders>
          </w:tcPr>
          <w:p w14:paraId="56CEDB3D" w14:textId="206E3A9D"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CET1: Other capital elements, deductions and adjustments</w:t>
            </w:r>
          </w:p>
        </w:tc>
        <w:tc>
          <w:tcPr>
            <w:tcW w:w="1129" w:type="dxa"/>
            <w:tcBorders>
              <w:top w:val="single" w:sz="4" w:space="0" w:color="014171"/>
              <w:bottom w:val="single" w:sz="12" w:space="0" w:color="014171"/>
            </w:tcBorders>
          </w:tcPr>
          <w:p w14:paraId="58BD8A9A" w14:textId="1252E0B2"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12" w:space="0" w:color="014171"/>
            </w:tcBorders>
          </w:tcPr>
          <w:p w14:paraId="7A7B0ECF"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5870F955" w14:textId="77777777" w:rsidTr="00A02BEA">
        <w:trPr>
          <w:trHeight w:val="274"/>
        </w:trPr>
        <w:tc>
          <w:tcPr>
            <w:tcW w:w="567" w:type="dxa"/>
            <w:tcBorders>
              <w:top w:val="single" w:sz="12" w:space="0" w:color="014171"/>
              <w:bottom w:val="single" w:sz="12" w:space="0" w:color="014171"/>
            </w:tcBorders>
          </w:tcPr>
          <w:p w14:paraId="01E7447C" w14:textId="797BDEA2"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28</w:t>
            </w:r>
          </w:p>
        </w:tc>
        <w:tc>
          <w:tcPr>
            <w:tcW w:w="4253" w:type="dxa"/>
            <w:tcBorders>
              <w:top w:val="single" w:sz="12" w:space="0" w:color="014171"/>
              <w:bottom w:val="single" w:sz="12" w:space="0" w:color="014171"/>
            </w:tcBorders>
          </w:tcPr>
          <w:p w14:paraId="203AE765" w14:textId="74FADE79"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ADDITIONAL TIER 1 CAPITAL</w:t>
            </w:r>
          </w:p>
        </w:tc>
        <w:tc>
          <w:tcPr>
            <w:tcW w:w="1129" w:type="dxa"/>
            <w:tcBorders>
              <w:top w:val="single" w:sz="12" w:space="0" w:color="014171"/>
              <w:bottom w:val="single" w:sz="12" w:space="0" w:color="014171"/>
            </w:tcBorders>
          </w:tcPr>
          <w:p w14:paraId="0ECBD6D4" w14:textId="1082D62C" w:rsidR="006775E5" w:rsidRPr="00A02BEA" w:rsidRDefault="006775E5" w:rsidP="00A02BEA">
            <w:pPr>
              <w:autoSpaceDE w:val="0"/>
              <w:autoSpaceDN w:val="0"/>
              <w:adjustRightInd w:val="0"/>
              <w:spacing w:after="0"/>
              <w:jc w:val="right"/>
              <w:rPr>
                <w:rFonts w:ascii="Segoe UI" w:hAnsi="Segoe UI" w:cs="Segoe UI"/>
                <w:b/>
                <w:color w:val="014171"/>
                <w:sz w:val="18"/>
                <w:szCs w:val="18"/>
                <w:lang w:eastAsia="en-GB"/>
              </w:rPr>
            </w:pPr>
            <w:r w:rsidRPr="00A02BEA">
              <w:rPr>
                <w:rFonts w:ascii="Segoe UI" w:hAnsi="Segoe UI" w:cs="Segoe UI"/>
                <w:color w:val="014171"/>
                <w:sz w:val="18"/>
                <w:szCs w:val="18"/>
              </w:rPr>
              <w:t>--</w:t>
            </w:r>
          </w:p>
        </w:tc>
        <w:tc>
          <w:tcPr>
            <w:tcW w:w="3318" w:type="dxa"/>
            <w:tcBorders>
              <w:top w:val="single" w:sz="12" w:space="0" w:color="014171"/>
              <w:bottom w:val="single" w:sz="12" w:space="0" w:color="014171"/>
            </w:tcBorders>
          </w:tcPr>
          <w:p w14:paraId="3CFD31EC" w14:textId="77777777"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p>
        </w:tc>
      </w:tr>
      <w:tr w:rsidR="006775E5" w:rsidRPr="006775E5" w14:paraId="083C1E3F" w14:textId="77777777" w:rsidTr="007C1172">
        <w:trPr>
          <w:trHeight w:val="274"/>
        </w:trPr>
        <w:tc>
          <w:tcPr>
            <w:tcW w:w="567" w:type="dxa"/>
            <w:tcBorders>
              <w:top w:val="single" w:sz="12" w:space="0" w:color="014171"/>
              <w:bottom w:val="single" w:sz="4" w:space="0" w:color="014171"/>
            </w:tcBorders>
          </w:tcPr>
          <w:p w14:paraId="50F1792F" w14:textId="4144ACFF"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29</w:t>
            </w:r>
          </w:p>
        </w:tc>
        <w:tc>
          <w:tcPr>
            <w:tcW w:w="4253" w:type="dxa"/>
            <w:tcBorders>
              <w:top w:val="single" w:sz="12" w:space="0" w:color="014171"/>
              <w:bottom w:val="single" w:sz="4" w:space="0" w:color="014171"/>
            </w:tcBorders>
          </w:tcPr>
          <w:p w14:paraId="5AC2EC0B" w14:textId="1CD731B5"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Fully paid up, directly issued capital instruments</w:t>
            </w:r>
          </w:p>
        </w:tc>
        <w:tc>
          <w:tcPr>
            <w:tcW w:w="1129" w:type="dxa"/>
            <w:tcBorders>
              <w:top w:val="single" w:sz="12" w:space="0" w:color="014171"/>
              <w:bottom w:val="single" w:sz="4" w:space="0" w:color="014171"/>
            </w:tcBorders>
          </w:tcPr>
          <w:p w14:paraId="02E65863" w14:textId="065F10BB"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12" w:space="0" w:color="014171"/>
              <w:bottom w:val="single" w:sz="4" w:space="0" w:color="014171"/>
            </w:tcBorders>
          </w:tcPr>
          <w:p w14:paraId="59D98124"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09E248DD" w14:textId="77777777" w:rsidTr="006775E5">
        <w:trPr>
          <w:trHeight w:val="274"/>
        </w:trPr>
        <w:tc>
          <w:tcPr>
            <w:tcW w:w="567" w:type="dxa"/>
            <w:tcBorders>
              <w:top w:val="single" w:sz="4" w:space="0" w:color="014171"/>
              <w:bottom w:val="single" w:sz="4" w:space="0" w:color="014171"/>
            </w:tcBorders>
          </w:tcPr>
          <w:p w14:paraId="26482632" w14:textId="755AE518"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30</w:t>
            </w:r>
          </w:p>
        </w:tc>
        <w:tc>
          <w:tcPr>
            <w:tcW w:w="4253" w:type="dxa"/>
            <w:tcBorders>
              <w:top w:val="single" w:sz="4" w:space="0" w:color="014171"/>
              <w:bottom w:val="single" w:sz="4" w:space="0" w:color="014171"/>
            </w:tcBorders>
          </w:tcPr>
          <w:p w14:paraId="38EE1D8A" w14:textId="7F3F2B09"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 xml:space="preserve">Share premium </w:t>
            </w:r>
          </w:p>
        </w:tc>
        <w:tc>
          <w:tcPr>
            <w:tcW w:w="1129" w:type="dxa"/>
            <w:tcBorders>
              <w:top w:val="single" w:sz="4" w:space="0" w:color="014171"/>
              <w:bottom w:val="single" w:sz="4" w:space="0" w:color="014171"/>
            </w:tcBorders>
          </w:tcPr>
          <w:p w14:paraId="21F00027" w14:textId="08119900"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0F429F34"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519DC162" w14:textId="77777777" w:rsidTr="006775E5">
        <w:trPr>
          <w:trHeight w:val="274"/>
        </w:trPr>
        <w:tc>
          <w:tcPr>
            <w:tcW w:w="567" w:type="dxa"/>
            <w:tcBorders>
              <w:top w:val="single" w:sz="4" w:space="0" w:color="014171"/>
              <w:bottom w:val="single" w:sz="4" w:space="0" w:color="014171"/>
            </w:tcBorders>
          </w:tcPr>
          <w:p w14:paraId="413D150D" w14:textId="2FA9B9E0"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31</w:t>
            </w:r>
          </w:p>
        </w:tc>
        <w:tc>
          <w:tcPr>
            <w:tcW w:w="4253" w:type="dxa"/>
            <w:tcBorders>
              <w:top w:val="single" w:sz="4" w:space="0" w:color="014171"/>
              <w:bottom w:val="single" w:sz="4" w:space="0" w:color="014171"/>
            </w:tcBorders>
          </w:tcPr>
          <w:p w14:paraId="5F5D5C8D" w14:textId="20044BA5"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 TOTAL DEDUCTIONS FROM ADDITIONAL TIER 1</w:t>
            </w:r>
          </w:p>
        </w:tc>
        <w:tc>
          <w:tcPr>
            <w:tcW w:w="1129" w:type="dxa"/>
            <w:tcBorders>
              <w:top w:val="single" w:sz="4" w:space="0" w:color="014171"/>
              <w:bottom w:val="single" w:sz="4" w:space="0" w:color="014171"/>
            </w:tcBorders>
          </w:tcPr>
          <w:p w14:paraId="1BB47C58" w14:textId="262737EB"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7612FDC1"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38E5AEEE" w14:textId="77777777" w:rsidTr="006775E5">
        <w:trPr>
          <w:trHeight w:val="274"/>
        </w:trPr>
        <w:tc>
          <w:tcPr>
            <w:tcW w:w="567" w:type="dxa"/>
            <w:tcBorders>
              <w:top w:val="single" w:sz="4" w:space="0" w:color="014171"/>
              <w:bottom w:val="single" w:sz="4" w:space="0" w:color="014171"/>
            </w:tcBorders>
          </w:tcPr>
          <w:p w14:paraId="25B25859" w14:textId="4D6A0AF6"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32</w:t>
            </w:r>
          </w:p>
        </w:tc>
        <w:tc>
          <w:tcPr>
            <w:tcW w:w="4253" w:type="dxa"/>
            <w:tcBorders>
              <w:top w:val="single" w:sz="4" w:space="0" w:color="014171"/>
              <w:bottom w:val="single" w:sz="4" w:space="0" w:color="014171"/>
            </w:tcBorders>
          </w:tcPr>
          <w:p w14:paraId="45F41464" w14:textId="63B8C605"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Own AT1 instruments</w:t>
            </w:r>
          </w:p>
        </w:tc>
        <w:tc>
          <w:tcPr>
            <w:tcW w:w="1129" w:type="dxa"/>
            <w:tcBorders>
              <w:top w:val="single" w:sz="4" w:space="0" w:color="014171"/>
              <w:bottom w:val="single" w:sz="4" w:space="0" w:color="014171"/>
            </w:tcBorders>
          </w:tcPr>
          <w:p w14:paraId="3FBF13CC" w14:textId="4998FE93"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2067604A"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0666887D" w14:textId="77777777" w:rsidTr="006775E5">
        <w:trPr>
          <w:trHeight w:val="274"/>
        </w:trPr>
        <w:tc>
          <w:tcPr>
            <w:tcW w:w="567" w:type="dxa"/>
            <w:tcBorders>
              <w:top w:val="single" w:sz="4" w:space="0" w:color="014171"/>
              <w:bottom w:val="single" w:sz="4" w:space="0" w:color="014171"/>
            </w:tcBorders>
          </w:tcPr>
          <w:p w14:paraId="65DEF47A" w14:textId="68131B6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33</w:t>
            </w:r>
          </w:p>
        </w:tc>
        <w:tc>
          <w:tcPr>
            <w:tcW w:w="4253" w:type="dxa"/>
            <w:tcBorders>
              <w:top w:val="single" w:sz="4" w:space="0" w:color="014171"/>
              <w:bottom w:val="single" w:sz="4" w:space="0" w:color="014171"/>
            </w:tcBorders>
          </w:tcPr>
          <w:p w14:paraId="3555C868" w14:textId="21304A79" w:rsidR="006775E5" w:rsidRPr="00A02BEA" w:rsidRDefault="006775E5" w:rsidP="00A02BEA">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 Direct holdings of AT1 instruments</w:t>
            </w:r>
          </w:p>
        </w:tc>
        <w:tc>
          <w:tcPr>
            <w:tcW w:w="1129" w:type="dxa"/>
            <w:tcBorders>
              <w:top w:val="single" w:sz="4" w:space="0" w:color="014171"/>
              <w:bottom w:val="single" w:sz="4" w:space="0" w:color="014171"/>
            </w:tcBorders>
          </w:tcPr>
          <w:p w14:paraId="36F620B0" w14:textId="0D6B1CD4"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1B50D0CA"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4766DDE4" w14:textId="77777777" w:rsidTr="006775E5">
        <w:trPr>
          <w:trHeight w:val="274"/>
        </w:trPr>
        <w:tc>
          <w:tcPr>
            <w:tcW w:w="567" w:type="dxa"/>
            <w:tcBorders>
              <w:top w:val="single" w:sz="4" w:space="0" w:color="014171"/>
              <w:bottom w:val="single" w:sz="4" w:space="0" w:color="014171"/>
            </w:tcBorders>
          </w:tcPr>
          <w:p w14:paraId="0C8BDD94" w14:textId="78E77C0A"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34</w:t>
            </w:r>
          </w:p>
        </w:tc>
        <w:tc>
          <w:tcPr>
            <w:tcW w:w="4253" w:type="dxa"/>
            <w:tcBorders>
              <w:top w:val="single" w:sz="4" w:space="0" w:color="014171"/>
              <w:bottom w:val="single" w:sz="4" w:space="0" w:color="014171"/>
            </w:tcBorders>
          </w:tcPr>
          <w:p w14:paraId="6CC02FDC" w14:textId="6CA8F8BB" w:rsidR="006775E5" w:rsidRPr="00A02BEA" w:rsidRDefault="006775E5" w:rsidP="00A02BEA">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 Indirect holdings of AT1 instruments</w:t>
            </w:r>
          </w:p>
        </w:tc>
        <w:tc>
          <w:tcPr>
            <w:tcW w:w="1129" w:type="dxa"/>
            <w:tcBorders>
              <w:top w:val="single" w:sz="4" w:space="0" w:color="014171"/>
              <w:bottom w:val="single" w:sz="4" w:space="0" w:color="014171"/>
            </w:tcBorders>
          </w:tcPr>
          <w:p w14:paraId="23F8F47F" w14:textId="613DB92B"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20C8836E"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09E83D46" w14:textId="77777777" w:rsidTr="006775E5">
        <w:trPr>
          <w:trHeight w:val="274"/>
        </w:trPr>
        <w:tc>
          <w:tcPr>
            <w:tcW w:w="567" w:type="dxa"/>
            <w:tcBorders>
              <w:top w:val="single" w:sz="4" w:space="0" w:color="014171"/>
              <w:bottom w:val="single" w:sz="4" w:space="0" w:color="014171"/>
            </w:tcBorders>
          </w:tcPr>
          <w:p w14:paraId="490324A1" w14:textId="2597ADF2"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35</w:t>
            </w:r>
          </w:p>
        </w:tc>
        <w:tc>
          <w:tcPr>
            <w:tcW w:w="4253" w:type="dxa"/>
            <w:tcBorders>
              <w:top w:val="single" w:sz="4" w:space="0" w:color="014171"/>
              <w:bottom w:val="single" w:sz="4" w:space="0" w:color="014171"/>
            </w:tcBorders>
          </w:tcPr>
          <w:p w14:paraId="18A117EC" w14:textId="56F1495D" w:rsidR="006775E5" w:rsidRPr="00A02BEA" w:rsidRDefault="006775E5" w:rsidP="00A02BEA">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 Synthetic holdings of AT1 instruments</w:t>
            </w:r>
          </w:p>
        </w:tc>
        <w:tc>
          <w:tcPr>
            <w:tcW w:w="1129" w:type="dxa"/>
            <w:tcBorders>
              <w:top w:val="single" w:sz="4" w:space="0" w:color="014171"/>
              <w:bottom w:val="single" w:sz="4" w:space="0" w:color="014171"/>
            </w:tcBorders>
          </w:tcPr>
          <w:p w14:paraId="771F6DA1" w14:textId="17F5A3C1"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0BBDC2D6"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1C63332A" w14:textId="77777777" w:rsidTr="006775E5">
        <w:trPr>
          <w:trHeight w:val="274"/>
        </w:trPr>
        <w:tc>
          <w:tcPr>
            <w:tcW w:w="567" w:type="dxa"/>
            <w:tcBorders>
              <w:top w:val="single" w:sz="4" w:space="0" w:color="014171"/>
              <w:bottom w:val="single" w:sz="4" w:space="0" w:color="014171"/>
            </w:tcBorders>
          </w:tcPr>
          <w:p w14:paraId="44422A80" w14:textId="4C96F014"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36</w:t>
            </w:r>
          </w:p>
        </w:tc>
        <w:tc>
          <w:tcPr>
            <w:tcW w:w="4253" w:type="dxa"/>
            <w:tcBorders>
              <w:top w:val="single" w:sz="4" w:space="0" w:color="014171"/>
              <w:bottom w:val="single" w:sz="4" w:space="0" w:color="014171"/>
            </w:tcBorders>
          </w:tcPr>
          <w:p w14:paraId="39653E47" w14:textId="6719ED16"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AT1 instruments of financial sector entities where the institution does not have a significant investment</w:t>
            </w:r>
          </w:p>
        </w:tc>
        <w:tc>
          <w:tcPr>
            <w:tcW w:w="1129" w:type="dxa"/>
            <w:tcBorders>
              <w:top w:val="single" w:sz="4" w:space="0" w:color="014171"/>
              <w:bottom w:val="single" w:sz="4" w:space="0" w:color="014171"/>
            </w:tcBorders>
          </w:tcPr>
          <w:p w14:paraId="7C130919" w14:textId="4597E3A0"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01510616"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39EF4D19" w14:textId="77777777" w:rsidTr="006775E5">
        <w:trPr>
          <w:trHeight w:val="274"/>
        </w:trPr>
        <w:tc>
          <w:tcPr>
            <w:tcW w:w="567" w:type="dxa"/>
            <w:tcBorders>
              <w:top w:val="single" w:sz="4" w:space="0" w:color="014171"/>
              <w:bottom w:val="single" w:sz="4" w:space="0" w:color="014171"/>
            </w:tcBorders>
          </w:tcPr>
          <w:p w14:paraId="2FB3F7D0" w14:textId="436E59ED"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37</w:t>
            </w:r>
          </w:p>
        </w:tc>
        <w:tc>
          <w:tcPr>
            <w:tcW w:w="4253" w:type="dxa"/>
            <w:tcBorders>
              <w:top w:val="single" w:sz="4" w:space="0" w:color="014171"/>
              <w:bottom w:val="single" w:sz="4" w:space="0" w:color="014171"/>
            </w:tcBorders>
          </w:tcPr>
          <w:p w14:paraId="2636BD42" w14:textId="78EC7E3D"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AT1 instruments of financial sector entities where the institution has a significant investment</w:t>
            </w:r>
          </w:p>
        </w:tc>
        <w:tc>
          <w:tcPr>
            <w:tcW w:w="1129" w:type="dxa"/>
            <w:tcBorders>
              <w:top w:val="single" w:sz="4" w:space="0" w:color="014171"/>
              <w:bottom w:val="single" w:sz="4" w:space="0" w:color="014171"/>
            </w:tcBorders>
          </w:tcPr>
          <w:p w14:paraId="1D074686" w14:textId="6F045A06"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3B294956"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4785AB3E" w14:textId="77777777" w:rsidTr="006775E5">
        <w:trPr>
          <w:trHeight w:val="274"/>
        </w:trPr>
        <w:tc>
          <w:tcPr>
            <w:tcW w:w="567" w:type="dxa"/>
            <w:tcBorders>
              <w:top w:val="single" w:sz="4" w:space="0" w:color="014171"/>
              <w:bottom w:val="single" w:sz="4" w:space="0" w:color="014171"/>
            </w:tcBorders>
          </w:tcPr>
          <w:p w14:paraId="4140919B" w14:textId="45026843"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38</w:t>
            </w:r>
          </w:p>
        </w:tc>
        <w:tc>
          <w:tcPr>
            <w:tcW w:w="4253" w:type="dxa"/>
            <w:tcBorders>
              <w:top w:val="single" w:sz="4" w:space="0" w:color="014171"/>
              <w:bottom w:val="single" w:sz="4" w:space="0" w:color="014171"/>
            </w:tcBorders>
          </w:tcPr>
          <w:p w14:paraId="651EC74A" w14:textId="640DE7B8" w:rsidR="006775E5" w:rsidRPr="00A02BEA" w:rsidRDefault="006775E5"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 Other deductions</w:t>
            </w:r>
          </w:p>
        </w:tc>
        <w:tc>
          <w:tcPr>
            <w:tcW w:w="1129" w:type="dxa"/>
            <w:tcBorders>
              <w:top w:val="single" w:sz="4" w:space="0" w:color="014171"/>
              <w:bottom w:val="single" w:sz="4" w:space="0" w:color="014171"/>
            </w:tcBorders>
          </w:tcPr>
          <w:p w14:paraId="68D06155" w14:textId="14FE7D69"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1D32F8F6"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78D55627" w14:textId="77777777" w:rsidTr="007C1172">
        <w:trPr>
          <w:trHeight w:val="274"/>
        </w:trPr>
        <w:tc>
          <w:tcPr>
            <w:tcW w:w="567" w:type="dxa"/>
            <w:tcBorders>
              <w:top w:val="single" w:sz="4" w:space="0" w:color="014171"/>
              <w:bottom w:val="single" w:sz="12" w:space="0" w:color="014171"/>
            </w:tcBorders>
          </w:tcPr>
          <w:p w14:paraId="6EA528D6" w14:textId="286CD70B"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39</w:t>
            </w:r>
          </w:p>
        </w:tc>
        <w:tc>
          <w:tcPr>
            <w:tcW w:w="4253" w:type="dxa"/>
            <w:tcBorders>
              <w:top w:val="single" w:sz="4" w:space="0" w:color="014171"/>
              <w:bottom w:val="single" w:sz="12" w:space="0" w:color="014171"/>
            </w:tcBorders>
          </w:tcPr>
          <w:p w14:paraId="511C7FA5" w14:textId="31455F54"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Additional Tier 1: Other capital elements, deductions and adjustments</w:t>
            </w:r>
          </w:p>
        </w:tc>
        <w:tc>
          <w:tcPr>
            <w:tcW w:w="1129" w:type="dxa"/>
            <w:tcBorders>
              <w:top w:val="single" w:sz="4" w:space="0" w:color="014171"/>
              <w:bottom w:val="single" w:sz="12" w:space="0" w:color="014171"/>
            </w:tcBorders>
          </w:tcPr>
          <w:p w14:paraId="4D59B7FB" w14:textId="021DE7E9"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12" w:space="0" w:color="014171"/>
            </w:tcBorders>
          </w:tcPr>
          <w:p w14:paraId="05F3E643"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63E17DCB" w14:textId="77777777" w:rsidTr="00A02BEA">
        <w:trPr>
          <w:trHeight w:val="274"/>
        </w:trPr>
        <w:tc>
          <w:tcPr>
            <w:tcW w:w="567" w:type="dxa"/>
            <w:tcBorders>
              <w:top w:val="single" w:sz="12" w:space="0" w:color="014171"/>
              <w:bottom w:val="single" w:sz="12" w:space="0" w:color="014171"/>
            </w:tcBorders>
          </w:tcPr>
          <w:p w14:paraId="14C8DE3E" w14:textId="00482A9B"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40</w:t>
            </w:r>
          </w:p>
        </w:tc>
        <w:tc>
          <w:tcPr>
            <w:tcW w:w="4253" w:type="dxa"/>
            <w:tcBorders>
              <w:top w:val="single" w:sz="12" w:space="0" w:color="014171"/>
              <w:bottom w:val="single" w:sz="12" w:space="0" w:color="014171"/>
            </w:tcBorders>
          </w:tcPr>
          <w:p w14:paraId="7902BB00" w14:textId="24080D10"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TIER 2 CAPITAL</w:t>
            </w:r>
          </w:p>
        </w:tc>
        <w:tc>
          <w:tcPr>
            <w:tcW w:w="1129" w:type="dxa"/>
            <w:tcBorders>
              <w:top w:val="single" w:sz="12" w:space="0" w:color="014171"/>
              <w:bottom w:val="single" w:sz="12" w:space="0" w:color="014171"/>
            </w:tcBorders>
          </w:tcPr>
          <w:p w14:paraId="78CCDDF7" w14:textId="5056830D" w:rsidR="006775E5" w:rsidRPr="00A02BEA" w:rsidRDefault="006775E5" w:rsidP="00A02BEA">
            <w:pPr>
              <w:autoSpaceDE w:val="0"/>
              <w:autoSpaceDN w:val="0"/>
              <w:adjustRightInd w:val="0"/>
              <w:spacing w:after="0"/>
              <w:jc w:val="right"/>
              <w:rPr>
                <w:rFonts w:ascii="Segoe UI" w:hAnsi="Segoe UI" w:cs="Segoe UI"/>
                <w:b/>
                <w:color w:val="014171"/>
                <w:sz w:val="18"/>
                <w:szCs w:val="18"/>
                <w:lang w:eastAsia="en-GB"/>
              </w:rPr>
            </w:pPr>
            <w:r w:rsidRPr="00A02BEA">
              <w:rPr>
                <w:rFonts w:ascii="Segoe UI" w:hAnsi="Segoe UI" w:cs="Segoe UI"/>
                <w:color w:val="014171"/>
                <w:sz w:val="18"/>
                <w:szCs w:val="18"/>
              </w:rPr>
              <w:t>--</w:t>
            </w:r>
          </w:p>
        </w:tc>
        <w:tc>
          <w:tcPr>
            <w:tcW w:w="3318" w:type="dxa"/>
            <w:tcBorders>
              <w:top w:val="single" w:sz="12" w:space="0" w:color="014171"/>
              <w:bottom w:val="single" w:sz="12" w:space="0" w:color="014171"/>
            </w:tcBorders>
          </w:tcPr>
          <w:p w14:paraId="666C4D61" w14:textId="77777777" w:rsidR="006775E5" w:rsidRPr="00A02BEA" w:rsidRDefault="006775E5" w:rsidP="006775E5">
            <w:pPr>
              <w:autoSpaceDE w:val="0"/>
              <w:autoSpaceDN w:val="0"/>
              <w:adjustRightInd w:val="0"/>
              <w:spacing w:after="0"/>
              <w:jc w:val="both"/>
              <w:rPr>
                <w:rFonts w:ascii="Segoe UI" w:hAnsi="Segoe UI" w:cs="Segoe UI"/>
                <w:b/>
                <w:color w:val="014171"/>
                <w:sz w:val="18"/>
                <w:szCs w:val="18"/>
                <w:lang w:eastAsia="en-GB"/>
              </w:rPr>
            </w:pPr>
          </w:p>
        </w:tc>
      </w:tr>
      <w:tr w:rsidR="006775E5" w:rsidRPr="006775E5" w14:paraId="1917A24F" w14:textId="77777777" w:rsidTr="007C1172">
        <w:trPr>
          <w:trHeight w:val="274"/>
        </w:trPr>
        <w:tc>
          <w:tcPr>
            <w:tcW w:w="567" w:type="dxa"/>
            <w:tcBorders>
              <w:top w:val="single" w:sz="12" w:space="0" w:color="014171"/>
              <w:bottom w:val="single" w:sz="4" w:space="0" w:color="014171"/>
            </w:tcBorders>
          </w:tcPr>
          <w:p w14:paraId="75D73EA4" w14:textId="1F76CD0D"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41</w:t>
            </w:r>
          </w:p>
        </w:tc>
        <w:tc>
          <w:tcPr>
            <w:tcW w:w="4253" w:type="dxa"/>
            <w:tcBorders>
              <w:top w:val="single" w:sz="12" w:space="0" w:color="014171"/>
              <w:bottom w:val="single" w:sz="4" w:space="0" w:color="014171"/>
            </w:tcBorders>
          </w:tcPr>
          <w:p w14:paraId="5D8B0C71" w14:textId="7D7901D8"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Fully paid up, directly issued capital instruments</w:t>
            </w:r>
          </w:p>
        </w:tc>
        <w:tc>
          <w:tcPr>
            <w:tcW w:w="1129" w:type="dxa"/>
            <w:tcBorders>
              <w:top w:val="single" w:sz="12" w:space="0" w:color="014171"/>
              <w:bottom w:val="single" w:sz="4" w:space="0" w:color="014171"/>
            </w:tcBorders>
          </w:tcPr>
          <w:p w14:paraId="3A69366C" w14:textId="21EE666A"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12" w:space="0" w:color="014171"/>
              <w:bottom w:val="single" w:sz="4" w:space="0" w:color="014171"/>
            </w:tcBorders>
          </w:tcPr>
          <w:p w14:paraId="7159B23C"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6ABDA114" w14:textId="77777777" w:rsidTr="006775E5">
        <w:trPr>
          <w:trHeight w:val="274"/>
        </w:trPr>
        <w:tc>
          <w:tcPr>
            <w:tcW w:w="567" w:type="dxa"/>
            <w:tcBorders>
              <w:top w:val="single" w:sz="4" w:space="0" w:color="014171"/>
              <w:bottom w:val="single" w:sz="4" w:space="0" w:color="014171"/>
            </w:tcBorders>
          </w:tcPr>
          <w:p w14:paraId="77402561" w14:textId="4F65C674"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42</w:t>
            </w:r>
          </w:p>
        </w:tc>
        <w:tc>
          <w:tcPr>
            <w:tcW w:w="4253" w:type="dxa"/>
            <w:tcBorders>
              <w:top w:val="single" w:sz="4" w:space="0" w:color="014171"/>
              <w:bottom w:val="single" w:sz="4" w:space="0" w:color="014171"/>
            </w:tcBorders>
          </w:tcPr>
          <w:p w14:paraId="72E6EAC7" w14:textId="290B9112"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 xml:space="preserve">Share premium </w:t>
            </w:r>
          </w:p>
        </w:tc>
        <w:tc>
          <w:tcPr>
            <w:tcW w:w="1129" w:type="dxa"/>
            <w:tcBorders>
              <w:top w:val="single" w:sz="4" w:space="0" w:color="014171"/>
              <w:bottom w:val="single" w:sz="4" w:space="0" w:color="014171"/>
            </w:tcBorders>
          </w:tcPr>
          <w:p w14:paraId="1FC9CDE7" w14:textId="51DBAF12"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1BECE944"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2CFB2B7A" w14:textId="77777777" w:rsidTr="00A02BEA">
        <w:trPr>
          <w:trHeight w:val="274"/>
        </w:trPr>
        <w:tc>
          <w:tcPr>
            <w:tcW w:w="567" w:type="dxa"/>
            <w:tcBorders>
              <w:top w:val="single" w:sz="4" w:space="0" w:color="014171"/>
              <w:bottom w:val="single" w:sz="4" w:space="0" w:color="014171"/>
            </w:tcBorders>
          </w:tcPr>
          <w:p w14:paraId="2CC42ED9" w14:textId="2C726C0C"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43</w:t>
            </w:r>
          </w:p>
        </w:tc>
        <w:tc>
          <w:tcPr>
            <w:tcW w:w="4253" w:type="dxa"/>
            <w:tcBorders>
              <w:top w:val="single" w:sz="4" w:space="0" w:color="014171"/>
              <w:bottom w:val="single" w:sz="4" w:space="0" w:color="014171"/>
            </w:tcBorders>
          </w:tcPr>
          <w:p w14:paraId="7D4617D1" w14:textId="0F447436"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 TOTAL DEDUCTIONS FROM TIER 2</w:t>
            </w:r>
          </w:p>
        </w:tc>
        <w:tc>
          <w:tcPr>
            <w:tcW w:w="1129" w:type="dxa"/>
            <w:tcBorders>
              <w:top w:val="single" w:sz="4" w:space="0" w:color="014171"/>
              <w:bottom w:val="single" w:sz="4" w:space="0" w:color="014171"/>
            </w:tcBorders>
          </w:tcPr>
          <w:p w14:paraId="050C96BA" w14:textId="73D83913" w:rsidR="006775E5" w:rsidRPr="00A02BEA"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4EFF2354" w14:textId="77777777" w:rsidR="006775E5" w:rsidRPr="00A02BEA"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3969D90B" w14:textId="77777777" w:rsidTr="00A02BEA">
        <w:trPr>
          <w:trHeight w:val="274"/>
        </w:trPr>
        <w:tc>
          <w:tcPr>
            <w:tcW w:w="567" w:type="dxa"/>
            <w:tcBorders>
              <w:top w:val="single" w:sz="4" w:space="0" w:color="014171"/>
              <w:bottom w:val="single" w:sz="4" w:space="0" w:color="014171"/>
            </w:tcBorders>
          </w:tcPr>
          <w:p w14:paraId="7DAF1F90" w14:textId="502AFB4E" w:rsidR="006775E5" w:rsidRPr="0074724B"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44</w:t>
            </w:r>
          </w:p>
        </w:tc>
        <w:tc>
          <w:tcPr>
            <w:tcW w:w="4253" w:type="dxa"/>
            <w:tcBorders>
              <w:top w:val="single" w:sz="4" w:space="0" w:color="014171"/>
              <w:bottom w:val="single" w:sz="4" w:space="0" w:color="014171"/>
            </w:tcBorders>
          </w:tcPr>
          <w:p w14:paraId="425AD6C4" w14:textId="1BF7C850" w:rsidR="006775E5" w:rsidRPr="0074724B" w:rsidRDefault="006775E5"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 Own T2 instruments</w:t>
            </w:r>
          </w:p>
        </w:tc>
        <w:tc>
          <w:tcPr>
            <w:tcW w:w="1129" w:type="dxa"/>
            <w:tcBorders>
              <w:top w:val="single" w:sz="4" w:space="0" w:color="014171"/>
              <w:bottom w:val="single" w:sz="4" w:space="0" w:color="014171"/>
            </w:tcBorders>
          </w:tcPr>
          <w:p w14:paraId="31EDF5FF" w14:textId="4912918D" w:rsidR="006775E5" w:rsidRPr="0074724B"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1102F47B" w14:textId="77777777" w:rsidR="006775E5" w:rsidRPr="006775E5"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1D4C375C" w14:textId="77777777" w:rsidTr="00A02BEA">
        <w:trPr>
          <w:trHeight w:val="274"/>
        </w:trPr>
        <w:tc>
          <w:tcPr>
            <w:tcW w:w="567" w:type="dxa"/>
            <w:tcBorders>
              <w:top w:val="single" w:sz="4" w:space="0" w:color="014171"/>
              <w:bottom w:val="single" w:sz="4" w:space="0" w:color="014171"/>
            </w:tcBorders>
          </w:tcPr>
          <w:p w14:paraId="08A45268" w14:textId="0BCC6AE6" w:rsidR="006775E5" w:rsidRPr="0074724B"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45</w:t>
            </w:r>
          </w:p>
        </w:tc>
        <w:tc>
          <w:tcPr>
            <w:tcW w:w="4253" w:type="dxa"/>
            <w:tcBorders>
              <w:top w:val="single" w:sz="4" w:space="0" w:color="014171"/>
              <w:bottom w:val="single" w:sz="4" w:space="0" w:color="014171"/>
            </w:tcBorders>
          </w:tcPr>
          <w:p w14:paraId="22FA234B" w14:textId="3C2DB81F" w:rsidR="006775E5" w:rsidRPr="0074724B" w:rsidRDefault="006775E5" w:rsidP="00A02BEA">
            <w:pPr>
              <w:autoSpaceDE w:val="0"/>
              <w:autoSpaceDN w:val="0"/>
              <w:adjustRightInd w:val="0"/>
              <w:spacing w:after="0"/>
              <w:ind w:left="227"/>
              <w:jc w:val="both"/>
              <w:rPr>
                <w:rFonts w:ascii="Segoe UI" w:hAnsi="Segoe UI" w:cs="Segoe UI"/>
                <w:color w:val="014171"/>
                <w:sz w:val="18"/>
                <w:szCs w:val="18"/>
              </w:rPr>
            </w:pPr>
            <w:r w:rsidRPr="00A02BEA">
              <w:rPr>
                <w:rFonts w:ascii="Segoe UI" w:hAnsi="Segoe UI" w:cs="Segoe UI"/>
                <w:color w:val="014171"/>
                <w:sz w:val="18"/>
                <w:szCs w:val="18"/>
              </w:rPr>
              <w:t>(-) Direct holdings of T2 instruments</w:t>
            </w:r>
          </w:p>
        </w:tc>
        <w:tc>
          <w:tcPr>
            <w:tcW w:w="1129" w:type="dxa"/>
            <w:tcBorders>
              <w:top w:val="single" w:sz="4" w:space="0" w:color="014171"/>
              <w:bottom w:val="single" w:sz="4" w:space="0" w:color="014171"/>
            </w:tcBorders>
          </w:tcPr>
          <w:p w14:paraId="7128C0F8" w14:textId="6866AD9B" w:rsidR="006775E5" w:rsidRPr="0074724B"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437FEA4C" w14:textId="77777777" w:rsidR="006775E5" w:rsidRPr="006775E5"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4F115B6A" w14:textId="77777777" w:rsidTr="00A02BEA">
        <w:trPr>
          <w:trHeight w:val="274"/>
        </w:trPr>
        <w:tc>
          <w:tcPr>
            <w:tcW w:w="567" w:type="dxa"/>
            <w:tcBorders>
              <w:top w:val="single" w:sz="4" w:space="0" w:color="014171"/>
              <w:bottom w:val="single" w:sz="4" w:space="0" w:color="014171"/>
            </w:tcBorders>
          </w:tcPr>
          <w:p w14:paraId="53C6B8F6" w14:textId="40FD4A70" w:rsidR="006775E5" w:rsidRPr="0074724B"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46</w:t>
            </w:r>
          </w:p>
        </w:tc>
        <w:tc>
          <w:tcPr>
            <w:tcW w:w="4253" w:type="dxa"/>
            <w:tcBorders>
              <w:top w:val="single" w:sz="4" w:space="0" w:color="014171"/>
              <w:bottom w:val="single" w:sz="4" w:space="0" w:color="014171"/>
            </w:tcBorders>
          </w:tcPr>
          <w:p w14:paraId="09B2997A" w14:textId="501D87F9" w:rsidR="006775E5" w:rsidRPr="0074724B" w:rsidRDefault="006775E5" w:rsidP="00A02BEA">
            <w:pPr>
              <w:autoSpaceDE w:val="0"/>
              <w:autoSpaceDN w:val="0"/>
              <w:adjustRightInd w:val="0"/>
              <w:spacing w:after="0"/>
              <w:ind w:left="227"/>
              <w:jc w:val="both"/>
              <w:rPr>
                <w:rFonts w:ascii="Segoe UI" w:hAnsi="Segoe UI" w:cs="Segoe UI"/>
                <w:color w:val="014171"/>
                <w:sz w:val="18"/>
                <w:szCs w:val="18"/>
              </w:rPr>
            </w:pPr>
            <w:r w:rsidRPr="00A02BEA">
              <w:rPr>
                <w:rFonts w:ascii="Segoe UI" w:hAnsi="Segoe UI" w:cs="Segoe UI"/>
                <w:color w:val="014171"/>
                <w:sz w:val="18"/>
                <w:szCs w:val="18"/>
              </w:rPr>
              <w:t>(-) Indirect holdings of T2 instruments</w:t>
            </w:r>
          </w:p>
        </w:tc>
        <w:tc>
          <w:tcPr>
            <w:tcW w:w="1129" w:type="dxa"/>
            <w:tcBorders>
              <w:top w:val="single" w:sz="4" w:space="0" w:color="014171"/>
              <w:bottom w:val="single" w:sz="4" w:space="0" w:color="014171"/>
            </w:tcBorders>
          </w:tcPr>
          <w:p w14:paraId="23B68436" w14:textId="461EF5EA" w:rsidR="006775E5" w:rsidRPr="0074724B"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2BFAC982" w14:textId="77777777" w:rsidR="006775E5" w:rsidRPr="006775E5"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43480E07" w14:textId="77777777" w:rsidTr="00A02BEA">
        <w:trPr>
          <w:trHeight w:val="274"/>
        </w:trPr>
        <w:tc>
          <w:tcPr>
            <w:tcW w:w="567" w:type="dxa"/>
            <w:tcBorders>
              <w:top w:val="single" w:sz="4" w:space="0" w:color="014171"/>
              <w:bottom w:val="single" w:sz="4" w:space="0" w:color="014171"/>
            </w:tcBorders>
          </w:tcPr>
          <w:p w14:paraId="6B6AC2E1" w14:textId="17F63AC5" w:rsidR="006775E5" w:rsidRPr="0074724B"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47</w:t>
            </w:r>
          </w:p>
        </w:tc>
        <w:tc>
          <w:tcPr>
            <w:tcW w:w="4253" w:type="dxa"/>
            <w:tcBorders>
              <w:top w:val="single" w:sz="4" w:space="0" w:color="014171"/>
              <w:bottom w:val="single" w:sz="4" w:space="0" w:color="014171"/>
            </w:tcBorders>
          </w:tcPr>
          <w:p w14:paraId="79C3134B" w14:textId="5C394CD7" w:rsidR="006775E5" w:rsidRPr="0074724B" w:rsidRDefault="006775E5" w:rsidP="00A02BEA">
            <w:pPr>
              <w:autoSpaceDE w:val="0"/>
              <w:autoSpaceDN w:val="0"/>
              <w:adjustRightInd w:val="0"/>
              <w:spacing w:after="0"/>
              <w:ind w:left="227"/>
              <w:jc w:val="both"/>
              <w:rPr>
                <w:rFonts w:ascii="Segoe UI" w:hAnsi="Segoe UI" w:cs="Segoe UI"/>
                <w:color w:val="014171"/>
                <w:sz w:val="18"/>
                <w:szCs w:val="18"/>
              </w:rPr>
            </w:pPr>
            <w:r w:rsidRPr="00A02BEA">
              <w:rPr>
                <w:rFonts w:ascii="Segoe UI" w:hAnsi="Segoe UI" w:cs="Segoe UI"/>
                <w:color w:val="014171"/>
                <w:sz w:val="18"/>
                <w:szCs w:val="18"/>
              </w:rPr>
              <w:t>(-) Synthetic holdings of T2 instruments</w:t>
            </w:r>
          </w:p>
        </w:tc>
        <w:tc>
          <w:tcPr>
            <w:tcW w:w="1129" w:type="dxa"/>
            <w:tcBorders>
              <w:top w:val="single" w:sz="4" w:space="0" w:color="014171"/>
              <w:bottom w:val="single" w:sz="4" w:space="0" w:color="014171"/>
            </w:tcBorders>
          </w:tcPr>
          <w:p w14:paraId="4BC81144" w14:textId="2CCCED59" w:rsidR="006775E5" w:rsidRPr="0074724B"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554B42A1" w14:textId="77777777" w:rsidR="006775E5" w:rsidRPr="006775E5"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400E535D" w14:textId="77777777" w:rsidTr="00A02BEA">
        <w:trPr>
          <w:trHeight w:val="274"/>
        </w:trPr>
        <w:tc>
          <w:tcPr>
            <w:tcW w:w="567" w:type="dxa"/>
            <w:tcBorders>
              <w:top w:val="single" w:sz="4" w:space="0" w:color="014171"/>
              <w:bottom w:val="single" w:sz="4" w:space="0" w:color="014171"/>
            </w:tcBorders>
          </w:tcPr>
          <w:p w14:paraId="4A8B15A9" w14:textId="1D45B391" w:rsidR="006775E5" w:rsidRPr="0074724B"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48</w:t>
            </w:r>
          </w:p>
        </w:tc>
        <w:tc>
          <w:tcPr>
            <w:tcW w:w="4253" w:type="dxa"/>
            <w:tcBorders>
              <w:top w:val="single" w:sz="4" w:space="0" w:color="014171"/>
              <w:bottom w:val="single" w:sz="4" w:space="0" w:color="014171"/>
            </w:tcBorders>
          </w:tcPr>
          <w:p w14:paraId="54CAC88A" w14:textId="160684E4" w:rsidR="006775E5" w:rsidRPr="0074724B" w:rsidRDefault="006775E5"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 T2 instruments of financial sector entities where the institution does not have a significant investment</w:t>
            </w:r>
          </w:p>
        </w:tc>
        <w:tc>
          <w:tcPr>
            <w:tcW w:w="1129" w:type="dxa"/>
            <w:tcBorders>
              <w:top w:val="single" w:sz="4" w:space="0" w:color="014171"/>
              <w:bottom w:val="single" w:sz="4" w:space="0" w:color="014171"/>
            </w:tcBorders>
          </w:tcPr>
          <w:p w14:paraId="027C2F4D" w14:textId="4CBA32EB" w:rsidR="006775E5" w:rsidRPr="0074724B"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712F564A" w14:textId="77777777" w:rsidR="006775E5" w:rsidRPr="006775E5"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38A1537A" w14:textId="77777777" w:rsidTr="00A02BEA">
        <w:trPr>
          <w:trHeight w:val="274"/>
        </w:trPr>
        <w:tc>
          <w:tcPr>
            <w:tcW w:w="567" w:type="dxa"/>
            <w:tcBorders>
              <w:top w:val="single" w:sz="4" w:space="0" w:color="014171"/>
              <w:bottom w:val="single" w:sz="4" w:space="0" w:color="014171"/>
            </w:tcBorders>
          </w:tcPr>
          <w:p w14:paraId="70332BCE" w14:textId="1324CFAF" w:rsidR="006775E5" w:rsidRPr="0074724B"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49</w:t>
            </w:r>
          </w:p>
        </w:tc>
        <w:tc>
          <w:tcPr>
            <w:tcW w:w="4253" w:type="dxa"/>
            <w:tcBorders>
              <w:top w:val="single" w:sz="4" w:space="0" w:color="014171"/>
              <w:bottom w:val="single" w:sz="4" w:space="0" w:color="014171"/>
            </w:tcBorders>
          </w:tcPr>
          <w:p w14:paraId="7624775E" w14:textId="0640308A" w:rsidR="006775E5" w:rsidRPr="0074724B" w:rsidRDefault="006775E5"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 T2 instruments of financial sector entities where the institution has a significant investment</w:t>
            </w:r>
          </w:p>
        </w:tc>
        <w:tc>
          <w:tcPr>
            <w:tcW w:w="1129" w:type="dxa"/>
            <w:tcBorders>
              <w:top w:val="single" w:sz="4" w:space="0" w:color="014171"/>
              <w:bottom w:val="single" w:sz="4" w:space="0" w:color="014171"/>
            </w:tcBorders>
          </w:tcPr>
          <w:p w14:paraId="700442F6" w14:textId="1E403512" w:rsidR="006775E5" w:rsidRPr="0074724B"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4" w:space="0" w:color="014171"/>
            </w:tcBorders>
          </w:tcPr>
          <w:p w14:paraId="6E89D445" w14:textId="77777777" w:rsidR="006775E5" w:rsidRPr="006775E5" w:rsidRDefault="006775E5" w:rsidP="006775E5">
            <w:pPr>
              <w:autoSpaceDE w:val="0"/>
              <w:autoSpaceDN w:val="0"/>
              <w:adjustRightInd w:val="0"/>
              <w:spacing w:after="0"/>
              <w:jc w:val="both"/>
              <w:rPr>
                <w:rFonts w:ascii="Segoe UI" w:hAnsi="Segoe UI" w:cs="Segoe UI"/>
                <w:color w:val="014171"/>
                <w:sz w:val="18"/>
                <w:szCs w:val="18"/>
                <w:lang w:eastAsia="en-GB"/>
              </w:rPr>
            </w:pPr>
          </w:p>
        </w:tc>
      </w:tr>
      <w:tr w:rsidR="006775E5" w:rsidRPr="006775E5" w14:paraId="6EEF6E09" w14:textId="77777777" w:rsidTr="00A02BEA">
        <w:trPr>
          <w:trHeight w:val="274"/>
        </w:trPr>
        <w:tc>
          <w:tcPr>
            <w:tcW w:w="567" w:type="dxa"/>
            <w:tcBorders>
              <w:top w:val="single" w:sz="4" w:space="0" w:color="014171"/>
              <w:bottom w:val="single" w:sz="12" w:space="0" w:color="014171"/>
            </w:tcBorders>
          </w:tcPr>
          <w:p w14:paraId="6E60B5AB" w14:textId="6792C7F1" w:rsidR="006775E5" w:rsidRPr="0074724B" w:rsidRDefault="006775E5" w:rsidP="006775E5">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50</w:t>
            </w:r>
          </w:p>
        </w:tc>
        <w:tc>
          <w:tcPr>
            <w:tcW w:w="4253" w:type="dxa"/>
            <w:tcBorders>
              <w:top w:val="single" w:sz="4" w:space="0" w:color="014171"/>
              <w:bottom w:val="single" w:sz="12" w:space="0" w:color="014171"/>
            </w:tcBorders>
          </w:tcPr>
          <w:p w14:paraId="0F2656E9" w14:textId="050D5008" w:rsidR="006775E5" w:rsidRPr="0074724B" w:rsidRDefault="006775E5" w:rsidP="006775E5">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Tier 2: Other capital elements, deductions and adjustments</w:t>
            </w:r>
          </w:p>
        </w:tc>
        <w:tc>
          <w:tcPr>
            <w:tcW w:w="1129" w:type="dxa"/>
            <w:tcBorders>
              <w:top w:val="single" w:sz="4" w:space="0" w:color="014171"/>
              <w:bottom w:val="single" w:sz="12" w:space="0" w:color="014171"/>
            </w:tcBorders>
          </w:tcPr>
          <w:p w14:paraId="4CE0F0CD" w14:textId="2040A2E5" w:rsidR="006775E5" w:rsidRPr="0074724B" w:rsidRDefault="006775E5" w:rsidP="00A02BEA">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w:t>
            </w:r>
          </w:p>
        </w:tc>
        <w:tc>
          <w:tcPr>
            <w:tcW w:w="3318" w:type="dxa"/>
            <w:tcBorders>
              <w:top w:val="single" w:sz="4" w:space="0" w:color="014171"/>
              <w:bottom w:val="single" w:sz="12" w:space="0" w:color="014171"/>
            </w:tcBorders>
          </w:tcPr>
          <w:p w14:paraId="6C82BF3D" w14:textId="77777777" w:rsidR="006775E5" w:rsidRPr="006775E5" w:rsidRDefault="006775E5" w:rsidP="006775E5">
            <w:pPr>
              <w:autoSpaceDE w:val="0"/>
              <w:autoSpaceDN w:val="0"/>
              <w:adjustRightInd w:val="0"/>
              <w:spacing w:after="0"/>
              <w:jc w:val="both"/>
              <w:rPr>
                <w:rFonts w:ascii="Segoe UI" w:hAnsi="Segoe UI" w:cs="Segoe UI"/>
                <w:color w:val="014171"/>
                <w:sz w:val="18"/>
                <w:szCs w:val="18"/>
                <w:lang w:eastAsia="en-GB"/>
              </w:rPr>
            </w:pPr>
          </w:p>
        </w:tc>
      </w:tr>
    </w:tbl>
    <w:p w14:paraId="49BB91BD" w14:textId="163634EE" w:rsidR="006A0637" w:rsidRDefault="006A0637" w:rsidP="00FA2278">
      <w:pPr>
        <w:spacing w:after="0" w:line="240" w:lineRule="auto"/>
        <w:jc w:val="both"/>
        <w:rPr>
          <w:rFonts w:ascii="Times New Roman" w:hAnsi="Times New Roman"/>
          <w:color w:val="0F243E" w:themeColor="text2" w:themeShade="80"/>
          <w:sz w:val="24"/>
          <w:szCs w:val="24"/>
        </w:rPr>
      </w:pPr>
    </w:p>
    <w:p w14:paraId="38994E3A" w14:textId="3B5FE951" w:rsidR="007C1172" w:rsidRDefault="007C1172" w:rsidP="00FA2278">
      <w:pPr>
        <w:spacing w:after="0" w:line="240" w:lineRule="auto"/>
        <w:jc w:val="both"/>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br w:type="page"/>
      </w:r>
    </w:p>
    <w:p w14:paraId="69868E08" w14:textId="49886317" w:rsidR="003B05F3" w:rsidRPr="00A02BEA" w:rsidRDefault="003B05F3" w:rsidP="00A02BEA">
      <w:pPr>
        <w:pStyle w:val="Heading2"/>
      </w:pPr>
      <w:bookmarkStart w:id="72" w:name="_Toc122626065"/>
      <w:r w:rsidRPr="00A02BEA">
        <w:lastRenderedPageBreak/>
        <w:t>Reconciliation of Own Funds</w:t>
      </w:r>
      <w:bookmarkEnd w:id="72"/>
    </w:p>
    <w:p w14:paraId="104E3E7A" w14:textId="4445A77F" w:rsidR="003B05F3" w:rsidRPr="00A02BEA" w:rsidRDefault="003B05F3" w:rsidP="00A02BEA">
      <w:pPr>
        <w:spacing w:after="0"/>
        <w:jc w:val="both"/>
        <w:rPr>
          <w:rFonts w:ascii="Segoe UI" w:hAnsi="Segoe UI" w:cs="Segoe UI"/>
          <w:color w:val="014171"/>
        </w:rPr>
      </w:pPr>
      <w:r w:rsidRPr="00A02BEA">
        <w:rPr>
          <w:rFonts w:ascii="Segoe UI" w:hAnsi="Segoe UI" w:cs="Segoe UI"/>
          <w:color w:val="014171"/>
        </w:rPr>
        <w:t>The below tables shows the reconciliation of DCMD’s regulatory own funds to the balance sheet in the Firm’s audited financial statements.</w:t>
      </w:r>
    </w:p>
    <w:p w14:paraId="3F379585" w14:textId="77777777" w:rsidR="003B05F3" w:rsidRPr="00A02BEA" w:rsidRDefault="003B05F3" w:rsidP="00A02BEA">
      <w:pPr>
        <w:spacing w:after="0"/>
        <w:jc w:val="both"/>
        <w:rPr>
          <w:rFonts w:ascii="Segoe UI" w:hAnsi="Segoe UI" w:cs="Segoe UI"/>
          <w:color w:val="014171"/>
        </w:rPr>
      </w:pPr>
    </w:p>
    <w:p w14:paraId="6BF0F6D9" w14:textId="2686F8C1" w:rsidR="007C1172" w:rsidRPr="00E27BB3" w:rsidRDefault="007C1172" w:rsidP="007C1172">
      <w:pPr>
        <w:spacing w:after="0"/>
        <w:jc w:val="center"/>
        <w:rPr>
          <w:rFonts w:ascii="Segoe UI" w:hAnsi="Segoe UI" w:cs="Segoe UI"/>
          <w:color w:val="014171"/>
        </w:rPr>
      </w:pPr>
      <w:r w:rsidRPr="00E27BB3">
        <w:rPr>
          <w:rFonts w:ascii="Segoe UI" w:hAnsi="Segoe UI" w:cs="Segoe UI"/>
          <w:b/>
          <w:color w:val="014171"/>
        </w:rPr>
        <w:t>T</w:t>
      </w:r>
      <w:r>
        <w:rPr>
          <w:rFonts w:ascii="Segoe UI" w:hAnsi="Segoe UI" w:cs="Segoe UI"/>
          <w:b/>
          <w:color w:val="014171"/>
        </w:rPr>
        <w:t>able 2</w:t>
      </w:r>
      <w:r w:rsidRPr="00E27BB3">
        <w:rPr>
          <w:rFonts w:ascii="Segoe UI" w:hAnsi="Segoe UI" w:cs="Segoe UI"/>
          <w:b/>
          <w:color w:val="014171"/>
        </w:rPr>
        <w:t xml:space="preserve"> - </w:t>
      </w:r>
      <w:r>
        <w:rPr>
          <w:rFonts w:ascii="Segoe UI" w:hAnsi="Segoe UI" w:cs="Segoe UI"/>
          <w:b/>
          <w:color w:val="014171"/>
        </w:rPr>
        <w:t>R</w:t>
      </w:r>
      <w:r w:rsidRPr="007C1172">
        <w:rPr>
          <w:rFonts w:ascii="Segoe UI" w:hAnsi="Segoe UI" w:cs="Segoe UI"/>
          <w:b/>
          <w:color w:val="014171"/>
        </w:rPr>
        <w:t xml:space="preserve">econciliation of </w:t>
      </w:r>
      <w:r>
        <w:rPr>
          <w:rFonts w:ascii="Segoe UI" w:hAnsi="Segoe UI" w:cs="Segoe UI"/>
          <w:b/>
          <w:color w:val="014171"/>
        </w:rPr>
        <w:t>O</w:t>
      </w:r>
      <w:r w:rsidRPr="007C1172">
        <w:rPr>
          <w:rFonts w:ascii="Segoe UI" w:hAnsi="Segoe UI" w:cs="Segoe UI"/>
          <w:b/>
          <w:color w:val="014171"/>
        </w:rPr>
        <w:t xml:space="preserve">wn </w:t>
      </w:r>
      <w:r>
        <w:rPr>
          <w:rFonts w:ascii="Segoe UI" w:hAnsi="Segoe UI" w:cs="Segoe UI"/>
          <w:b/>
          <w:color w:val="014171"/>
        </w:rPr>
        <w:t>F</w:t>
      </w:r>
      <w:r w:rsidRPr="007C1172">
        <w:rPr>
          <w:rFonts w:ascii="Segoe UI" w:hAnsi="Segoe UI" w:cs="Segoe UI"/>
          <w:b/>
          <w:color w:val="014171"/>
        </w:rPr>
        <w:t xml:space="preserve">unds to </w:t>
      </w:r>
      <w:r>
        <w:rPr>
          <w:rFonts w:ascii="Segoe UI" w:hAnsi="Segoe UI" w:cs="Segoe UI"/>
          <w:b/>
          <w:color w:val="014171"/>
        </w:rPr>
        <w:t>Audited B</w:t>
      </w:r>
      <w:r w:rsidRPr="007C1172">
        <w:rPr>
          <w:rFonts w:ascii="Segoe UI" w:hAnsi="Segoe UI" w:cs="Segoe UI"/>
          <w:b/>
          <w:color w:val="014171"/>
        </w:rPr>
        <w:t xml:space="preserve">alance </w:t>
      </w:r>
      <w:r>
        <w:rPr>
          <w:rFonts w:ascii="Segoe UI" w:hAnsi="Segoe UI" w:cs="Segoe UI"/>
          <w:b/>
          <w:color w:val="014171"/>
        </w:rPr>
        <w:t>S</w:t>
      </w:r>
      <w:r w:rsidRPr="007C1172">
        <w:rPr>
          <w:rFonts w:ascii="Segoe UI" w:hAnsi="Segoe UI" w:cs="Segoe UI"/>
          <w:b/>
          <w:color w:val="014171"/>
        </w:rPr>
        <w:t>heet</w:t>
      </w:r>
      <w:r>
        <w:rPr>
          <w:rFonts w:ascii="Segoe UI" w:hAnsi="Segoe UI" w:cs="Segoe UI"/>
          <w:b/>
          <w:color w:val="014171"/>
        </w:rPr>
        <w:t xml:space="preserve"> (EU IF CC2)</w:t>
      </w:r>
    </w:p>
    <w:p w14:paraId="163ACDE8" w14:textId="70AB3042" w:rsidR="007C1172" w:rsidRDefault="007C1172" w:rsidP="007C1172">
      <w:pPr>
        <w:spacing w:after="0"/>
        <w:jc w:val="center"/>
        <w:rPr>
          <w:rFonts w:ascii="Segoe UI" w:hAnsi="Segoe UI" w:cs="Segoe UI"/>
          <w:color w:val="014171"/>
        </w:rPr>
      </w:pPr>
      <w:r w:rsidRPr="00E27BB3">
        <w:rPr>
          <w:rFonts w:ascii="Segoe UI" w:hAnsi="Segoe UI" w:cs="Segoe UI"/>
          <w:color w:val="014171"/>
        </w:rPr>
        <w:t xml:space="preserve">Audited and </w:t>
      </w:r>
      <w:r w:rsidRPr="00750529">
        <w:rPr>
          <w:rFonts w:ascii="Segoe UI" w:hAnsi="Segoe UI" w:cs="Segoe UI"/>
          <w:color w:val="014171"/>
        </w:rPr>
        <w:t>approved</w:t>
      </w:r>
      <w:r w:rsidRPr="00E27BB3">
        <w:rPr>
          <w:rFonts w:ascii="Segoe UI" w:hAnsi="Segoe UI" w:cs="Segoe UI"/>
          <w:color w:val="014171"/>
        </w:rPr>
        <w:t xml:space="preserve"> Financial Statements as of 31 March 2022</w:t>
      </w:r>
    </w:p>
    <w:p w14:paraId="72675779" w14:textId="77777777" w:rsidR="007C1172" w:rsidRPr="006C6DDA" w:rsidRDefault="007C1172" w:rsidP="007C1172">
      <w:pPr>
        <w:spacing w:after="0"/>
        <w:jc w:val="center"/>
        <w:rPr>
          <w:rFonts w:ascii="Segoe UI" w:hAnsi="Segoe UI" w:cs="Segoe UI"/>
          <w:color w:val="014171"/>
        </w:rPr>
      </w:pPr>
    </w:p>
    <w:tbl>
      <w:tblPr>
        <w:tblW w:w="9267" w:type="dxa"/>
        <w:tblLayout w:type="fixed"/>
        <w:tblLook w:val="0000" w:firstRow="0" w:lastRow="0" w:firstColumn="0" w:lastColumn="0" w:noHBand="0" w:noVBand="0"/>
      </w:tblPr>
      <w:tblGrid>
        <w:gridCol w:w="567"/>
        <w:gridCol w:w="4111"/>
        <w:gridCol w:w="1701"/>
        <w:gridCol w:w="2888"/>
      </w:tblGrid>
      <w:tr w:rsidR="004938F1" w:rsidRPr="004938F1" w14:paraId="455FEAEE" w14:textId="77777777" w:rsidTr="00A02BEA">
        <w:trPr>
          <w:trHeight w:val="148"/>
        </w:trPr>
        <w:tc>
          <w:tcPr>
            <w:tcW w:w="567" w:type="dxa"/>
            <w:tcBorders>
              <w:top w:val="single" w:sz="4" w:space="0" w:color="014171"/>
              <w:bottom w:val="single" w:sz="4" w:space="0" w:color="014171"/>
            </w:tcBorders>
            <w:shd w:val="clear" w:color="auto" w:fill="002060"/>
          </w:tcPr>
          <w:p w14:paraId="5F10CA65" w14:textId="77777777" w:rsidR="007C1172" w:rsidRPr="0074724B" w:rsidRDefault="007C1172" w:rsidP="002F3D1B">
            <w:pPr>
              <w:autoSpaceDE w:val="0"/>
              <w:autoSpaceDN w:val="0"/>
              <w:adjustRightInd w:val="0"/>
              <w:spacing w:after="0"/>
              <w:jc w:val="both"/>
              <w:rPr>
                <w:rFonts w:ascii="Segoe UI" w:hAnsi="Segoe UI" w:cs="Segoe UI"/>
                <w:b/>
                <w:bCs/>
                <w:color w:val="FFFFFF" w:themeColor="background1"/>
                <w:sz w:val="18"/>
                <w:szCs w:val="18"/>
                <w:lang w:eastAsia="en-GB"/>
              </w:rPr>
            </w:pPr>
          </w:p>
        </w:tc>
        <w:tc>
          <w:tcPr>
            <w:tcW w:w="4111" w:type="dxa"/>
            <w:tcBorders>
              <w:top w:val="single" w:sz="4" w:space="0" w:color="014171"/>
              <w:bottom w:val="single" w:sz="4" w:space="0" w:color="014171"/>
            </w:tcBorders>
            <w:shd w:val="clear" w:color="auto" w:fill="002060"/>
            <w:vAlign w:val="center"/>
          </w:tcPr>
          <w:p w14:paraId="22315B16" w14:textId="77777777" w:rsidR="007C1172" w:rsidRPr="004938F1" w:rsidRDefault="007C1172" w:rsidP="002F3D1B">
            <w:pPr>
              <w:autoSpaceDE w:val="0"/>
              <w:autoSpaceDN w:val="0"/>
              <w:adjustRightInd w:val="0"/>
              <w:spacing w:after="0"/>
              <w:jc w:val="both"/>
              <w:rPr>
                <w:rFonts w:ascii="Segoe UI" w:hAnsi="Segoe UI" w:cs="Segoe UI"/>
                <w:b/>
                <w:bCs/>
                <w:color w:val="FFFFFF" w:themeColor="background1"/>
                <w:sz w:val="18"/>
                <w:szCs w:val="18"/>
                <w:lang w:eastAsia="en-GB"/>
              </w:rPr>
            </w:pPr>
            <w:r w:rsidRPr="004938F1">
              <w:rPr>
                <w:rFonts w:ascii="Segoe UI" w:hAnsi="Segoe UI" w:cs="Segoe UI"/>
                <w:b/>
                <w:bCs/>
                <w:color w:val="FFFFFF" w:themeColor="background1"/>
                <w:sz w:val="18"/>
                <w:szCs w:val="18"/>
                <w:lang w:eastAsia="en-GB"/>
              </w:rPr>
              <w:t>Item</w:t>
            </w:r>
          </w:p>
        </w:tc>
        <w:tc>
          <w:tcPr>
            <w:tcW w:w="1701" w:type="dxa"/>
            <w:tcBorders>
              <w:top w:val="single" w:sz="4" w:space="0" w:color="014171"/>
              <w:bottom w:val="single" w:sz="4" w:space="0" w:color="014171"/>
            </w:tcBorders>
            <w:shd w:val="clear" w:color="auto" w:fill="002060"/>
            <w:vAlign w:val="center"/>
          </w:tcPr>
          <w:p w14:paraId="5A801F07" w14:textId="77777777" w:rsidR="007C1172" w:rsidRPr="004938F1" w:rsidRDefault="007C1172" w:rsidP="002F3D1B">
            <w:pPr>
              <w:autoSpaceDE w:val="0"/>
              <w:autoSpaceDN w:val="0"/>
              <w:adjustRightInd w:val="0"/>
              <w:spacing w:after="0"/>
              <w:jc w:val="both"/>
              <w:rPr>
                <w:rFonts w:ascii="Segoe UI" w:hAnsi="Segoe UI" w:cs="Segoe UI"/>
                <w:b/>
                <w:bCs/>
                <w:color w:val="FFFFFF" w:themeColor="background1"/>
                <w:sz w:val="18"/>
                <w:szCs w:val="18"/>
                <w:lang w:eastAsia="en-GB"/>
              </w:rPr>
            </w:pPr>
            <w:r w:rsidRPr="004938F1">
              <w:rPr>
                <w:rFonts w:ascii="Segoe UI" w:hAnsi="Segoe UI" w:cs="Segoe UI"/>
                <w:b/>
                <w:bCs/>
                <w:color w:val="FFFFFF" w:themeColor="background1"/>
                <w:sz w:val="18"/>
                <w:szCs w:val="18"/>
                <w:lang w:eastAsia="en-GB"/>
              </w:rPr>
              <w:t>Amount in k EUR</w:t>
            </w:r>
          </w:p>
        </w:tc>
        <w:tc>
          <w:tcPr>
            <w:tcW w:w="2888" w:type="dxa"/>
            <w:tcBorders>
              <w:top w:val="single" w:sz="4" w:space="0" w:color="014171"/>
              <w:bottom w:val="single" w:sz="4" w:space="0" w:color="014171"/>
            </w:tcBorders>
            <w:shd w:val="clear" w:color="auto" w:fill="002060"/>
            <w:vAlign w:val="center"/>
          </w:tcPr>
          <w:p w14:paraId="003326B0" w14:textId="39736D68" w:rsidR="007C1172" w:rsidRPr="004938F1" w:rsidRDefault="00746F0A" w:rsidP="002F3D1B">
            <w:pPr>
              <w:autoSpaceDE w:val="0"/>
              <w:autoSpaceDN w:val="0"/>
              <w:adjustRightInd w:val="0"/>
              <w:spacing w:after="0"/>
              <w:jc w:val="both"/>
              <w:rPr>
                <w:rFonts w:ascii="Segoe UI" w:hAnsi="Segoe UI" w:cs="Segoe UI"/>
                <w:b/>
                <w:bCs/>
                <w:color w:val="FFFFFF" w:themeColor="background1"/>
                <w:sz w:val="18"/>
                <w:szCs w:val="18"/>
                <w:lang w:eastAsia="en-GB"/>
              </w:rPr>
            </w:pPr>
            <w:r w:rsidRPr="004938F1">
              <w:rPr>
                <w:rFonts w:ascii="Segoe UI" w:hAnsi="Segoe UI" w:cs="Segoe UI"/>
                <w:b/>
                <w:bCs/>
                <w:color w:val="FFFFFF" w:themeColor="background1"/>
                <w:sz w:val="18"/>
                <w:szCs w:val="18"/>
                <w:lang w:eastAsia="en-GB"/>
              </w:rPr>
              <w:t>Cross reference to EU IF CC1.01</w:t>
            </w:r>
          </w:p>
        </w:tc>
      </w:tr>
      <w:tr w:rsidR="004938F1" w:rsidRPr="004938F1" w14:paraId="04ACD431" w14:textId="77777777" w:rsidTr="002F3D1B">
        <w:trPr>
          <w:trHeight w:val="148"/>
        </w:trPr>
        <w:tc>
          <w:tcPr>
            <w:tcW w:w="9267" w:type="dxa"/>
            <w:gridSpan w:val="4"/>
            <w:tcBorders>
              <w:top w:val="single" w:sz="4" w:space="0" w:color="014171"/>
              <w:bottom w:val="single" w:sz="12" w:space="0" w:color="014171"/>
            </w:tcBorders>
          </w:tcPr>
          <w:p w14:paraId="28273F1C" w14:textId="22549B2A" w:rsidR="004938F1" w:rsidRPr="0074724B" w:rsidRDefault="004938F1" w:rsidP="002F3D1B">
            <w:pPr>
              <w:autoSpaceDE w:val="0"/>
              <w:autoSpaceDN w:val="0"/>
              <w:adjustRightInd w:val="0"/>
              <w:spacing w:after="0"/>
              <w:jc w:val="both"/>
              <w:rPr>
                <w:rFonts w:ascii="Segoe UI" w:hAnsi="Segoe UI" w:cs="Segoe UI"/>
                <w:b/>
                <w:bCs/>
                <w:color w:val="014171"/>
                <w:sz w:val="18"/>
                <w:szCs w:val="18"/>
                <w:lang w:eastAsia="en-GB"/>
              </w:rPr>
            </w:pPr>
            <w:r w:rsidRPr="004938F1">
              <w:rPr>
                <w:rFonts w:ascii="Segoe UI" w:hAnsi="Segoe UI" w:cs="Segoe UI"/>
                <w:b/>
                <w:color w:val="014171"/>
                <w:sz w:val="18"/>
                <w:szCs w:val="18"/>
              </w:rPr>
              <w:t>ASSETS</w:t>
            </w:r>
            <w:r w:rsidRPr="00A02BEA">
              <w:rPr>
                <w:rFonts w:ascii="Segoe UI" w:hAnsi="Segoe UI" w:cs="Segoe UI"/>
                <w:b/>
                <w:i/>
                <w:color w:val="014171"/>
                <w:sz w:val="18"/>
                <w:szCs w:val="18"/>
              </w:rPr>
              <w:t xml:space="preserve"> </w:t>
            </w:r>
            <w:r w:rsidRPr="00A02BEA">
              <w:rPr>
                <w:rFonts w:ascii="Segoe UI" w:hAnsi="Segoe UI" w:cs="Segoe UI"/>
                <w:i/>
                <w:color w:val="014171"/>
                <w:sz w:val="18"/>
                <w:szCs w:val="18"/>
              </w:rPr>
              <w:t xml:space="preserve"> - Breakdown by asset classes according to the balance sheet in the published/audited financial statements</w:t>
            </w:r>
          </w:p>
        </w:tc>
      </w:tr>
      <w:tr w:rsidR="004938F1" w:rsidRPr="004938F1" w14:paraId="27CA54B2" w14:textId="77777777" w:rsidTr="00A02BEA">
        <w:trPr>
          <w:trHeight w:val="142"/>
        </w:trPr>
        <w:tc>
          <w:tcPr>
            <w:tcW w:w="567" w:type="dxa"/>
            <w:tcBorders>
              <w:top w:val="single" w:sz="12" w:space="0" w:color="014171"/>
              <w:bottom w:val="single" w:sz="4" w:space="0" w:color="014171"/>
            </w:tcBorders>
          </w:tcPr>
          <w:p w14:paraId="5D586757" w14:textId="58A9F9D5"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lang w:eastAsia="en-GB"/>
              </w:rPr>
              <w:t>1</w:t>
            </w:r>
          </w:p>
        </w:tc>
        <w:tc>
          <w:tcPr>
            <w:tcW w:w="4111" w:type="dxa"/>
            <w:tcBorders>
              <w:top w:val="single" w:sz="12" w:space="0" w:color="014171"/>
              <w:bottom w:val="single" w:sz="4" w:space="0" w:color="014171"/>
            </w:tcBorders>
          </w:tcPr>
          <w:p w14:paraId="23816081" w14:textId="18614223" w:rsidR="004938F1" w:rsidRPr="0074724B" w:rsidRDefault="004938F1" w:rsidP="0074724B">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Cash and Due from Banks</w:t>
            </w:r>
          </w:p>
        </w:tc>
        <w:tc>
          <w:tcPr>
            <w:tcW w:w="1701" w:type="dxa"/>
            <w:tcBorders>
              <w:top w:val="single" w:sz="12" w:space="0" w:color="014171"/>
              <w:bottom w:val="single" w:sz="4" w:space="0" w:color="014171"/>
            </w:tcBorders>
          </w:tcPr>
          <w:p w14:paraId="355FFDEB" w14:textId="66A2F0D6"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305,524.20 </w:t>
            </w:r>
          </w:p>
        </w:tc>
        <w:tc>
          <w:tcPr>
            <w:tcW w:w="2888" w:type="dxa"/>
            <w:tcBorders>
              <w:top w:val="single" w:sz="12" w:space="0" w:color="014171"/>
              <w:bottom w:val="single" w:sz="4" w:space="0" w:color="014171"/>
            </w:tcBorders>
          </w:tcPr>
          <w:p w14:paraId="3E9CFE08" w14:textId="7B0573B0"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5FA39F65" w14:textId="77777777" w:rsidTr="00A02BEA">
        <w:trPr>
          <w:trHeight w:val="142"/>
        </w:trPr>
        <w:tc>
          <w:tcPr>
            <w:tcW w:w="567" w:type="dxa"/>
            <w:tcBorders>
              <w:top w:val="single" w:sz="4" w:space="0" w:color="014171"/>
              <w:bottom w:val="single" w:sz="4" w:space="0" w:color="014171"/>
            </w:tcBorders>
          </w:tcPr>
          <w:p w14:paraId="181FF7B3" w14:textId="2C3E29D0"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1a</w:t>
            </w:r>
          </w:p>
        </w:tc>
        <w:tc>
          <w:tcPr>
            <w:tcW w:w="4111" w:type="dxa"/>
            <w:tcBorders>
              <w:top w:val="single" w:sz="4" w:space="0" w:color="014171"/>
              <w:bottom w:val="single" w:sz="4" w:space="0" w:color="014171"/>
            </w:tcBorders>
          </w:tcPr>
          <w:p w14:paraId="1D6E4900" w14:textId="51BE9571" w:rsidR="004938F1" w:rsidRPr="0074724B" w:rsidRDefault="004938F1"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Due Daily</w:t>
            </w:r>
          </w:p>
        </w:tc>
        <w:tc>
          <w:tcPr>
            <w:tcW w:w="1701" w:type="dxa"/>
            <w:tcBorders>
              <w:top w:val="single" w:sz="4" w:space="0" w:color="014171"/>
              <w:bottom w:val="single" w:sz="4" w:space="0" w:color="014171"/>
            </w:tcBorders>
          </w:tcPr>
          <w:p w14:paraId="2AF3369B" w14:textId="1B09C00A"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30,948.90 </w:t>
            </w:r>
          </w:p>
        </w:tc>
        <w:tc>
          <w:tcPr>
            <w:tcW w:w="2888" w:type="dxa"/>
            <w:tcBorders>
              <w:top w:val="single" w:sz="4" w:space="0" w:color="014171"/>
              <w:bottom w:val="single" w:sz="4" w:space="0" w:color="014171"/>
            </w:tcBorders>
          </w:tcPr>
          <w:p w14:paraId="4F82953A"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60C99256" w14:textId="77777777" w:rsidTr="00A02BEA">
        <w:trPr>
          <w:trHeight w:val="142"/>
        </w:trPr>
        <w:tc>
          <w:tcPr>
            <w:tcW w:w="567" w:type="dxa"/>
            <w:tcBorders>
              <w:top w:val="single" w:sz="4" w:space="0" w:color="014171"/>
              <w:bottom w:val="single" w:sz="4" w:space="0" w:color="014171"/>
            </w:tcBorders>
          </w:tcPr>
          <w:p w14:paraId="2326D0EA" w14:textId="351C3F0B"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1b</w:t>
            </w:r>
          </w:p>
        </w:tc>
        <w:tc>
          <w:tcPr>
            <w:tcW w:w="4111" w:type="dxa"/>
            <w:tcBorders>
              <w:top w:val="single" w:sz="4" w:space="0" w:color="014171"/>
              <w:bottom w:val="single" w:sz="4" w:space="0" w:color="014171"/>
            </w:tcBorders>
          </w:tcPr>
          <w:p w14:paraId="23297814" w14:textId="0101A9C4" w:rsidR="004938F1" w:rsidRPr="0074724B" w:rsidRDefault="004938F1"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Other Receivables</w:t>
            </w:r>
          </w:p>
        </w:tc>
        <w:tc>
          <w:tcPr>
            <w:tcW w:w="1701" w:type="dxa"/>
            <w:tcBorders>
              <w:top w:val="single" w:sz="4" w:space="0" w:color="014171"/>
              <w:bottom w:val="single" w:sz="4" w:space="0" w:color="014171"/>
            </w:tcBorders>
          </w:tcPr>
          <w:p w14:paraId="08F04D4B" w14:textId="4F8808F7"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274,575.30 </w:t>
            </w:r>
          </w:p>
        </w:tc>
        <w:tc>
          <w:tcPr>
            <w:tcW w:w="2888" w:type="dxa"/>
            <w:tcBorders>
              <w:top w:val="single" w:sz="4" w:space="0" w:color="014171"/>
              <w:bottom w:val="single" w:sz="4" w:space="0" w:color="014171"/>
            </w:tcBorders>
          </w:tcPr>
          <w:p w14:paraId="05D1E84D" w14:textId="38FCB6C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01CBFF62" w14:textId="77777777" w:rsidTr="00A02BEA">
        <w:trPr>
          <w:trHeight w:val="142"/>
        </w:trPr>
        <w:tc>
          <w:tcPr>
            <w:tcW w:w="567" w:type="dxa"/>
            <w:tcBorders>
              <w:top w:val="single" w:sz="4" w:space="0" w:color="014171"/>
              <w:bottom w:val="single" w:sz="4" w:space="0" w:color="014171"/>
            </w:tcBorders>
          </w:tcPr>
          <w:p w14:paraId="2FFFC835" w14:textId="119B73ED"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2</w:t>
            </w:r>
          </w:p>
        </w:tc>
        <w:tc>
          <w:tcPr>
            <w:tcW w:w="4111" w:type="dxa"/>
            <w:tcBorders>
              <w:top w:val="single" w:sz="4" w:space="0" w:color="014171"/>
              <w:bottom w:val="single" w:sz="4" w:space="0" w:color="014171"/>
            </w:tcBorders>
          </w:tcPr>
          <w:p w14:paraId="02B0605D" w14:textId="70E28224" w:rsidR="004938F1" w:rsidRPr="0074724B" w:rsidRDefault="004938F1" w:rsidP="0074724B">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Due from Customers</w:t>
            </w:r>
          </w:p>
        </w:tc>
        <w:tc>
          <w:tcPr>
            <w:tcW w:w="1701" w:type="dxa"/>
            <w:tcBorders>
              <w:top w:val="single" w:sz="4" w:space="0" w:color="014171"/>
              <w:bottom w:val="single" w:sz="4" w:space="0" w:color="014171"/>
            </w:tcBorders>
          </w:tcPr>
          <w:p w14:paraId="436D91B9" w14:textId="3A8AC64C"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10,414.29 </w:t>
            </w:r>
          </w:p>
        </w:tc>
        <w:tc>
          <w:tcPr>
            <w:tcW w:w="2888" w:type="dxa"/>
            <w:tcBorders>
              <w:top w:val="single" w:sz="4" w:space="0" w:color="014171"/>
              <w:bottom w:val="single" w:sz="4" w:space="0" w:color="014171"/>
            </w:tcBorders>
          </w:tcPr>
          <w:p w14:paraId="5D7C3A0D"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24085496" w14:textId="77777777" w:rsidTr="00A02BEA">
        <w:trPr>
          <w:trHeight w:val="142"/>
        </w:trPr>
        <w:tc>
          <w:tcPr>
            <w:tcW w:w="567" w:type="dxa"/>
            <w:tcBorders>
              <w:top w:val="single" w:sz="4" w:space="0" w:color="014171"/>
              <w:bottom w:val="single" w:sz="4" w:space="0" w:color="014171"/>
            </w:tcBorders>
          </w:tcPr>
          <w:p w14:paraId="0A111358" w14:textId="114E332D"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3</w:t>
            </w:r>
          </w:p>
        </w:tc>
        <w:tc>
          <w:tcPr>
            <w:tcW w:w="4111" w:type="dxa"/>
            <w:tcBorders>
              <w:top w:val="single" w:sz="4" w:space="0" w:color="014171"/>
              <w:bottom w:val="single" w:sz="4" w:space="0" w:color="014171"/>
            </w:tcBorders>
          </w:tcPr>
          <w:p w14:paraId="4C1FC80C" w14:textId="6CB74326" w:rsidR="004938F1" w:rsidRPr="0074724B" w:rsidRDefault="004938F1" w:rsidP="0074724B">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Intangible Assets</w:t>
            </w:r>
          </w:p>
        </w:tc>
        <w:tc>
          <w:tcPr>
            <w:tcW w:w="1701" w:type="dxa"/>
            <w:tcBorders>
              <w:top w:val="single" w:sz="4" w:space="0" w:color="014171"/>
              <w:bottom w:val="single" w:sz="4" w:space="0" w:color="014171"/>
            </w:tcBorders>
          </w:tcPr>
          <w:p w14:paraId="7A4A6437" w14:textId="31E6E366"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213.79 </w:t>
            </w:r>
          </w:p>
        </w:tc>
        <w:tc>
          <w:tcPr>
            <w:tcW w:w="2888" w:type="dxa"/>
            <w:tcBorders>
              <w:top w:val="single" w:sz="4" w:space="0" w:color="014171"/>
              <w:bottom w:val="single" w:sz="4" w:space="0" w:color="014171"/>
            </w:tcBorders>
          </w:tcPr>
          <w:p w14:paraId="12F38A2B"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4F679833" w14:textId="77777777" w:rsidTr="00A02BEA">
        <w:trPr>
          <w:trHeight w:val="142"/>
        </w:trPr>
        <w:tc>
          <w:tcPr>
            <w:tcW w:w="567" w:type="dxa"/>
            <w:tcBorders>
              <w:top w:val="single" w:sz="4" w:space="0" w:color="014171"/>
              <w:bottom w:val="single" w:sz="4" w:space="0" w:color="014171"/>
            </w:tcBorders>
          </w:tcPr>
          <w:p w14:paraId="6EA1C479" w14:textId="0EB6A29D"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4</w:t>
            </w:r>
          </w:p>
        </w:tc>
        <w:tc>
          <w:tcPr>
            <w:tcW w:w="4111" w:type="dxa"/>
            <w:tcBorders>
              <w:top w:val="single" w:sz="4" w:space="0" w:color="014171"/>
              <w:bottom w:val="single" w:sz="4" w:space="0" w:color="014171"/>
            </w:tcBorders>
          </w:tcPr>
          <w:p w14:paraId="4EFB48D2" w14:textId="63A5B492" w:rsidR="004938F1" w:rsidRPr="0074724B" w:rsidRDefault="004938F1" w:rsidP="0074724B">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Fixed Assets</w:t>
            </w:r>
          </w:p>
        </w:tc>
        <w:tc>
          <w:tcPr>
            <w:tcW w:w="1701" w:type="dxa"/>
            <w:tcBorders>
              <w:top w:val="single" w:sz="4" w:space="0" w:color="014171"/>
              <w:bottom w:val="single" w:sz="4" w:space="0" w:color="014171"/>
            </w:tcBorders>
          </w:tcPr>
          <w:p w14:paraId="19258BAA" w14:textId="1F44DB0B"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122.16 </w:t>
            </w:r>
          </w:p>
        </w:tc>
        <w:tc>
          <w:tcPr>
            <w:tcW w:w="2888" w:type="dxa"/>
            <w:tcBorders>
              <w:top w:val="single" w:sz="4" w:space="0" w:color="014171"/>
              <w:bottom w:val="single" w:sz="4" w:space="0" w:color="014171"/>
            </w:tcBorders>
          </w:tcPr>
          <w:p w14:paraId="506BB766"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7087711E" w14:textId="77777777" w:rsidTr="00A02BEA">
        <w:trPr>
          <w:trHeight w:val="142"/>
        </w:trPr>
        <w:tc>
          <w:tcPr>
            <w:tcW w:w="567" w:type="dxa"/>
            <w:tcBorders>
              <w:top w:val="single" w:sz="4" w:space="0" w:color="014171"/>
              <w:bottom w:val="single" w:sz="4" w:space="0" w:color="014171"/>
            </w:tcBorders>
          </w:tcPr>
          <w:p w14:paraId="5446B5B1" w14:textId="127137FB"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5</w:t>
            </w:r>
          </w:p>
        </w:tc>
        <w:tc>
          <w:tcPr>
            <w:tcW w:w="4111" w:type="dxa"/>
            <w:tcBorders>
              <w:top w:val="single" w:sz="4" w:space="0" w:color="014171"/>
              <w:bottom w:val="single" w:sz="4" w:space="0" w:color="014171"/>
            </w:tcBorders>
          </w:tcPr>
          <w:p w14:paraId="37B526FC" w14:textId="3F76FAFE" w:rsidR="004938F1" w:rsidRPr="0074724B" w:rsidRDefault="004938F1" w:rsidP="0074724B">
            <w:pPr>
              <w:autoSpaceDE w:val="0"/>
              <w:autoSpaceDN w:val="0"/>
              <w:adjustRightInd w:val="0"/>
              <w:spacing w:after="0"/>
              <w:jc w:val="both"/>
              <w:rPr>
                <w:rFonts w:ascii="Segoe UI" w:hAnsi="Segoe UI" w:cs="Segoe UI"/>
                <w:color w:val="014171"/>
                <w:sz w:val="18"/>
                <w:szCs w:val="18"/>
                <w:lang w:eastAsia="en-GB"/>
              </w:rPr>
            </w:pPr>
            <w:r>
              <w:rPr>
                <w:rFonts w:ascii="Segoe UI" w:hAnsi="Segoe UI" w:cs="Segoe UI"/>
                <w:color w:val="014171"/>
                <w:sz w:val="18"/>
                <w:szCs w:val="18"/>
              </w:rPr>
              <w:t>O</w:t>
            </w:r>
            <w:r w:rsidRPr="00A02BEA">
              <w:rPr>
                <w:rFonts w:ascii="Segoe UI" w:hAnsi="Segoe UI" w:cs="Segoe UI"/>
                <w:color w:val="014171"/>
                <w:sz w:val="18"/>
                <w:szCs w:val="18"/>
              </w:rPr>
              <w:t>ther Assets</w:t>
            </w:r>
          </w:p>
        </w:tc>
        <w:tc>
          <w:tcPr>
            <w:tcW w:w="1701" w:type="dxa"/>
            <w:tcBorders>
              <w:top w:val="single" w:sz="4" w:space="0" w:color="014171"/>
              <w:bottom w:val="single" w:sz="4" w:space="0" w:color="014171"/>
            </w:tcBorders>
          </w:tcPr>
          <w:p w14:paraId="3BA569AA" w14:textId="597B04EC"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547.01 </w:t>
            </w:r>
          </w:p>
        </w:tc>
        <w:tc>
          <w:tcPr>
            <w:tcW w:w="2888" w:type="dxa"/>
            <w:tcBorders>
              <w:top w:val="single" w:sz="4" w:space="0" w:color="014171"/>
              <w:bottom w:val="single" w:sz="4" w:space="0" w:color="014171"/>
            </w:tcBorders>
          </w:tcPr>
          <w:p w14:paraId="53D3699C"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1C095080" w14:textId="77777777" w:rsidTr="00A02BEA">
        <w:trPr>
          <w:trHeight w:val="274"/>
        </w:trPr>
        <w:tc>
          <w:tcPr>
            <w:tcW w:w="567" w:type="dxa"/>
            <w:tcBorders>
              <w:top w:val="single" w:sz="4" w:space="0" w:color="014171"/>
              <w:bottom w:val="single" w:sz="4" w:space="0" w:color="014171"/>
            </w:tcBorders>
          </w:tcPr>
          <w:p w14:paraId="170B77DF" w14:textId="3074049E"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6</w:t>
            </w:r>
          </w:p>
        </w:tc>
        <w:tc>
          <w:tcPr>
            <w:tcW w:w="4111" w:type="dxa"/>
            <w:tcBorders>
              <w:top w:val="single" w:sz="4" w:space="0" w:color="014171"/>
              <w:bottom w:val="single" w:sz="4" w:space="0" w:color="014171"/>
            </w:tcBorders>
          </w:tcPr>
          <w:p w14:paraId="2E02761D" w14:textId="10BDFF21" w:rsidR="004938F1" w:rsidRPr="0074724B" w:rsidRDefault="004938F1" w:rsidP="0074724B">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Accrued Items</w:t>
            </w:r>
          </w:p>
        </w:tc>
        <w:tc>
          <w:tcPr>
            <w:tcW w:w="1701" w:type="dxa"/>
            <w:tcBorders>
              <w:top w:val="single" w:sz="4" w:space="0" w:color="014171"/>
              <w:bottom w:val="single" w:sz="4" w:space="0" w:color="014171"/>
            </w:tcBorders>
          </w:tcPr>
          <w:p w14:paraId="2F79F0AE" w14:textId="35747FE4"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85.77 </w:t>
            </w:r>
          </w:p>
        </w:tc>
        <w:tc>
          <w:tcPr>
            <w:tcW w:w="2888" w:type="dxa"/>
            <w:tcBorders>
              <w:top w:val="single" w:sz="4" w:space="0" w:color="014171"/>
              <w:bottom w:val="single" w:sz="4" w:space="0" w:color="014171"/>
            </w:tcBorders>
          </w:tcPr>
          <w:p w14:paraId="74131B40"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005C198D" w14:textId="77777777" w:rsidTr="00A02BEA">
        <w:trPr>
          <w:trHeight w:val="274"/>
        </w:trPr>
        <w:tc>
          <w:tcPr>
            <w:tcW w:w="567" w:type="dxa"/>
            <w:tcBorders>
              <w:top w:val="single" w:sz="4" w:space="0" w:color="014171"/>
              <w:bottom w:val="single" w:sz="12" w:space="0" w:color="014171"/>
            </w:tcBorders>
          </w:tcPr>
          <w:p w14:paraId="2C6207DB" w14:textId="6EFABCDD" w:rsidR="004938F1" w:rsidRPr="00A02BEA" w:rsidRDefault="004938F1" w:rsidP="004938F1">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7</w:t>
            </w:r>
          </w:p>
        </w:tc>
        <w:tc>
          <w:tcPr>
            <w:tcW w:w="4111" w:type="dxa"/>
            <w:tcBorders>
              <w:top w:val="single" w:sz="4" w:space="0" w:color="014171"/>
              <w:bottom w:val="single" w:sz="12" w:space="0" w:color="014171"/>
            </w:tcBorders>
          </w:tcPr>
          <w:p w14:paraId="47D42FBB" w14:textId="1C558C06" w:rsidR="004938F1" w:rsidRPr="00A02BEA" w:rsidRDefault="004938F1" w:rsidP="0074724B">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TOTAL ASSETS</w:t>
            </w:r>
          </w:p>
        </w:tc>
        <w:tc>
          <w:tcPr>
            <w:tcW w:w="1701" w:type="dxa"/>
            <w:tcBorders>
              <w:top w:val="single" w:sz="4" w:space="0" w:color="014171"/>
              <w:bottom w:val="single" w:sz="12" w:space="0" w:color="014171"/>
            </w:tcBorders>
          </w:tcPr>
          <w:p w14:paraId="3237E43D" w14:textId="31AF9F9A" w:rsidR="004938F1" w:rsidRPr="00A02BEA" w:rsidRDefault="004938F1" w:rsidP="004938F1">
            <w:pPr>
              <w:autoSpaceDE w:val="0"/>
              <w:autoSpaceDN w:val="0"/>
              <w:adjustRightInd w:val="0"/>
              <w:spacing w:after="0"/>
              <w:jc w:val="right"/>
              <w:rPr>
                <w:rFonts w:ascii="Segoe UI" w:hAnsi="Segoe UI" w:cs="Segoe UI"/>
                <w:b/>
                <w:color w:val="014171"/>
                <w:sz w:val="18"/>
                <w:szCs w:val="18"/>
                <w:lang w:eastAsia="en-GB"/>
              </w:rPr>
            </w:pPr>
            <w:r w:rsidRPr="00A02BEA">
              <w:rPr>
                <w:rFonts w:ascii="Segoe UI" w:hAnsi="Segoe UI" w:cs="Segoe UI"/>
                <w:b/>
                <w:color w:val="014171"/>
                <w:sz w:val="18"/>
                <w:szCs w:val="18"/>
              </w:rPr>
              <w:t xml:space="preserve">316,907.22 </w:t>
            </w:r>
          </w:p>
        </w:tc>
        <w:tc>
          <w:tcPr>
            <w:tcW w:w="2888" w:type="dxa"/>
            <w:tcBorders>
              <w:top w:val="single" w:sz="4" w:space="0" w:color="014171"/>
              <w:bottom w:val="single" w:sz="12" w:space="0" w:color="014171"/>
            </w:tcBorders>
          </w:tcPr>
          <w:p w14:paraId="253BC0B1" w14:textId="77777777" w:rsidR="004938F1" w:rsidRPr="00A02BEA" w:rsidRDefault="004938F1" w:rsidP="004938F1">
            <w:pPr>
              <w:autoSpaceDE w:val="0"/>
              <w:autoSpaceDN w:val="0"/>
              <w:adjustRightInd w:val="0"/>
              <w:spacing w:after="0"/>
              <w:jc w:val="both"/>
              <w:rPr>
                <w:rFonts w:ascii="Segoe UI" w:hAnsi="Segoe UI" w:cs="Segoe UI"/>
                <w:b/>
                <w:color w:val="014171"/>
                <w:sz w:val="18"/>
                <w:szCs w:val="18"/>
                <w:lang w:eastAsia="en-GB"/>
              </w:rPr>
            </w:pPr>
          </w:p>
        </w:tc>
      </w:tr>
      <w:tr w:rsidR="004938F1" w:rsidRPr="004938F1" w14:paraId="28609193" w14:textId="77777777" w:rsidTr="002F3D1B">
        <w:trPr>
          <w:trHeight w:val="148"/>
        </w:trPr>
        <w:tc>
          <w:tcPr>
            <w:tcW w:w="9267" w:type="dxa"/>
            <w:gridSpan w:val="4"/>
            <w:tcBorders>
              <w:top w:val="single" w:sz="12" w:space="0" w:color="014171"/>
              <w:bottom w:val="single" w:sz="12" w:space="0" w:color="014171"/>
            </w:tcBorders>
          </w:tcPr>
          <w:p w14:paraId="2DD6E6CA" w14:textId="250FE11A" w:rsidR="004938F1" w:rsidRPr="0074724B" w:rsidRDefault="004938F1" w:rsidP="0074724B">
            <w:pPr>
              <w:autoSpaceDE w:val="0"/>
              <w:autoSpaceDN w:val="0"/>
              <w:adjustRightInd w:val="0"/>
              <w:spacing w:after="0"/>
              <w:jc w:val="both"/>
              <w:rPr>
                <w:rFonts w:ascii="Segoe UI" w:hAnsi="Segoe UI" w:cs="Segoe UI"/>
                <w:b/>
                <w:bCs/>
                <w:color w:val="014171"/>
                <w:sz w:val="18"/>
                <w:szCs w:val="18"/>
                <w:lang w:eastAsia="en-GB"/>
              </w:rPr>
            </w:pPr>
            <w:r w:rsidRPr="00A02BEA">
              <w:rPr>
                <w:rFonts w:ascii="Segoe UI" w:hAnsi="Segoe UI" w:cs="Segoe UI"/>
                <w:b/>
                <w:color w:val="014171"/>
                <w:sz w:val="18"/>
                <w:szCs w:val="18"/>
                <w:lang w:eastAsia="en-GB"/>
              </w:rPr>
              <w:t>LIABILITIES</w:t>
            </w:r>
            <w:r w:rsidRPr="00A02BEA">
              <w:rPr>
                <w:rFonts w:ascii="Segoe UI" w:hAnsi="Segoe UI" w:cs="Segoe UI"/>
                <w:i/>
                <w:color w:val="014171"/>
                <w:sz w:val="18"/>
                <w:szCs w:val="18"/>
                <w:lang w:eastAsia="en-GB"/>
              </w:rPr>
              <w:t xml:space="preserve"> - Breakdown by liability classes according to the balance sheet in the published/audited financial statements</w:t>
            </w:r>
          </w:p>
        </w:tc>
      </w:tr>
      <w:tr w:rsidR="004938F1" w:rsidRPr="004938F1" w14:paraId="1869BE4D" w14:textId="77777777" w:rsidTr="00A02BEA">
        <w:trPr>
          <w:trHeight w:val="142"/>
        </w:trPr>
        <w:tc>
          <w:tcPr>
            <w:tcW w:w="567" w:type="dxa"/>
            <w:tcBorders>
              <w:top w:val="single" w:sz="12" w:space="0" w:color="014171"/>
              <w:bottom w:val="single" w:sz="4" w:space="0" w:color="014171"/>
            </w:tcBorders>
          </w:tcPr>
          <w:p w14:paraId="1BBD851A" w14:textId="40787404"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1</w:t>
            </w:r>
          </w:p>
        </w:tc>
        <w:tc>
          <w:tcPr>
            <w:tcW w:w="4111" w:type="dxa"/>
            <w:tcBorders>
              <w:top w:val="single" w:sz="12" w:space="0" w:color="014171"/>
              <w:bottom w:val="single" w:sz="4" w:space="0" w:color="014171"/>
            </w:tcBorders>
          </w:tcPr>
          <w:p w14:paraId="50A801F9" w14:textId="0C09A065" w:rsidR="004938F1" w:rsidRPr="0074724B" w:rsidRDefault="004938F1" w:rsidP="00A02BEA">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Due to Customers</w:t>
            </w:r>
          </w:p>
        </w:tc>
        <w:tc>
          <w:tcPr>
            <w:tcW w:w="1701" w:type="dxa"/>
            <w:tcBorders>
              <w:top w:val="single" w:sz="12" w:space="0" w:color="014171"/>
              <w:bottom w:val="single" w:sz="4" w:space="0" w:color="014171"/>
            </w:tcBorders>
          </w:tcPr>
          <w:p w14:paraId="58608AE4" w14:textId="5282D944"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283,302.09 </w:t>
            </w:r>
          </w:p>
        </w:tc>
        <w:tc>
          <w:tcPr>
            <w:tcW w:w="2888" w:type="dxa"/>
            <w:tcBorders>
              <w:top w:val="single" w:sz="12" w:space="0" w:color="014171"/>
              <w:bottom w:val="single" w:sz="4" w:space="0" w:color="014171"/>
            </w:tcBorders>
          </w:tcPr>
          <w:p w14:paraId="0ABD3A14"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488C26F3" w14:textId="77777777" w:rsidTr="00A02BEA">
        <w:trPr>
          <w:trHeight w:val="142"/>
        </w:trPr>
        <w:tc>
          <w:tcPr>
            <w:tcW w:w="567" w:type="dxa"/>
            <w:tcBorders>
              <w:top w:val="single" w:sz="4" w:space="0" w:color="014171"/>
              <w:bottom w:val="single" w:sz="4" w:space="0" w:color="014171"/>
            </w:tcBorders>
          </w:tcPr>
          <w:p w14:paraId="2BB649D2" w14:textId="5F908131"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1a</w:t>
            </w:r>
          </w:p>
        </w:tc>
        <w:tc>
          <w:tcPr>
            <w:tcW w:w="4111" w:type="dxa"/>
            <w:tcBorders>
              <w:top w:val="single" w:sz="4" w:space="0" w:color="014171"/>
              <w:bottom w:val="single" w:sz="4" w:space="0" w:color="014171"/>
            </w:tcBorders>
          </w:tcPr>
          <w:p w14:paraId="0B3AB976" w14:textId="64E8B4F2" w:rsidR="004938F1" w:rsidRPr="0074724B" w:rsidRDefault="004938F1" w:rsidP="00A02BEA">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Due Other</w:t>
            </w:r>
          </w:p>
        </w:tc>
        <w:tc>
          <w:tcPr>
            <w:tcW w:w="1701" w:type="dxa"/>
            <w:tcBorders>
              <w:top w:val="single" w:sz="4" w:space="0" w:color="014171"/>
              <w:bottom w:val="single" w:sz="4" w:space="0" w:color="014171"/>
            </w:tcBorders>
          </w:tcPr>
          <w:p w14:paraId="66E991DF" w14:textId="1BFBD8F6"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 </w:t>
            </w:r>
          </w:p>
        </w:tc>
        <w:tc>
          <w:tcPr>
            <w:tcW w:w="2888" w:type="dxa"/>
            <w:tcBorders>
              <w:top w:val="single" w:sz="4" w:space="0" w:color="014171"/>
              <w:bottom w:val="single" w:sz="4" w:space="0" w:color="014171"/>
            </w:tcBorders>
          </w:tcPr>
          <w:p w14:paraId="298E0615"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3D55703D" w14:textId="77777777" w:rsidTr="00A02BEA">
        <w:trPr>
          <w:trHeight w:val="142"/>
        </w:trPr>
        <w:tc>
          <w:tcPr>
            <w:tcW w:w="567" w:type="dxa"/>
            <w:tcBorders>
              <w:top w:val="single" w:sz="4" w:space="0" w:color="014171"/>
              <w:bottom w:val="single" w:sz="4" w:space="0" w:color="014171"/>
            </w:tcBorders>
          </w:tcPr>
          <w:p w14:paraId="43BF1184" w14:textId="5800B2C1"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1aa</w:t>
            </w:r>
          </w:p>
        </w:tc>
        <w:tc>
          <w:tcPr>
            <w:tcW w:w="4111" w:type="dxa"/>
            <w:tcBorders>
              <w:top w:val="single" w:sz="4" w:space="0" w:color="014171"/>
              <w:bottom w:val="single" w:sz="4" w:space="0" w:color="014171"/>
            </w:tcBorders>
          </w:tcPr>
          <w:p w14:paraId="140FDB9C" w14:textId="3E4C8194" w:rsidR="004938F1" w:rsidRPr="0074724B" w:rsidRDefault="004938F1" w:rsidP="0074724B">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Due Daily</w:t>
            </w:r>
          </w:p>
        </w:tc>
        <w:tc>
          <w:tcPr>
            <w:tcW w:w="1701" w:type="dxa"/>
            <w:tcBorders>
              <w:top w:val="single" w:sz="4" w:space="0" w:color="014171"/>
              <w:bottom w:val="single" w:sz="4" w:space="0" w:color="014171"/>
            </w:tcBorders>
          </w:tcPr>
          <w:p w14:paraId="3F689D4E" w14:textId="28743329"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8,726.80 </w:t>
            </w:r>
          </w:p>
        </w:tc>
        <w:tc>
          <w:tcPr>
            <w:tcW w:w="2888" w:type="dxa"/>
            <w:tcBorders>
              <w:top w:val="single" w:sz="4" w:space="0" w:color="014171"/>
              <w:bottom w:val="single" w:sz="4" w:space="0" w:color="014171"/>
            </w:tcBorders>
          </w:tcPr>
          <w:p w14:paraId="2B678491"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2217A4FD" w14:textId="77777777" w:rsidTr="00A02BEA">
        <w:trPr>
          <w:trHeight w:val="274"/>
        </w:trPr>
        <w:tc>
          <w:tcPr>
            <w:tcW w:w="567" w:type="dxa"/>
            <w:tcBorders>
              <w:top w:val="single" w:sz="4" w:space="0" w:color="014171"/>
              <w:bottom w:val="single" w:sz="4" w:space="0" w:color="014171"/>
            </w:tcBorders>
          </w:tcPr>
          <w:p w14:paraId="11BFAB88" w14:textId="0FFCBF9A"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1ab</w:t>
            </w:r>
          </w:p>
        </w:tc>
        <w:tc>
          <w:tcPr>
            <w:tcW w:w="4111" w:type="dxa"/>
            <w:tcBorders>
              <w:top w:val="single" w:sz="4" w:space="0" w:color="014171"/>
              <w:bottom w:val="single" w:sz="4" w:space="0" w:color="014171"/>
            </w:tcBorders>
          </w:tcPr>
          <w:p w14:paraId="01242BF2" w14:textId="3054DAB5" w:rsidR="004938F1" w:rsidRPr="0074724B" w:rsidRDefault="004938F1" w:rsidP="00A02BEA">
            <w:pPr>
              <w:autoSpaceDE w:val="0"/>
              <w:autoSpaceDN w:val="0"/>
              <w:adjustRightInd w:val="0"/>
              <w:spacing w:after="0"/>
              <w:ind w:left="227"/>
              <w:jc w:val="both"/>
              <w:rPr>
                <w:rFonts w:ascii="Segoe UI" w:hAnsi="Segoe UI" w:cs="Segoe UI"/>
                <w:color w:val="014171"/>
                <w:sz w:val="18"/>
                <w:szCs w:val="18"/>
                <w:lang w:eastAsia="en-GB"/>
              </w:rPr>
            </w:pPr>
            <w:r w:rsidRPr="00A02BEA">
              <w:rPr>
                <w:rFonts w:ascii="Segoe UI" w:hAnsi="Segoe UI" w:cs="Segoe UI"/>
                <w:color w:val="014171"/>
                <w:sz w:val="18"/>
                <w:szCs w:val="18"/>
              </w:rPr>
              <w:t>With Agreed Terms/Notice Period</w:t>
            </w:r>
          </w:p>
        </w:tc>
        <w:tc>
          <w:tcPr>
            <w:tcW w:w="1701" w:type="dxa"/>
            <w:tcBorders>
              <w:top w:val="single" w:sz="4" w:space="0" w:color="014171"/>
              <w:bottom w:val="single" w:sz="4" w:space="0" w:color="014171"/>
            </w:tcBorders>
          </w:tcPr>
          <w:p w14:paraId="63B6847B" w14:textId="594515E5"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274,575.30 </w:t>
            </w:r>
          </w:p>
        </w:tc>
        <w:tc>
          <w:tcPr>
            <w:tcW w:w="2888" w:type="dxa"/>
            <w:tcBorders>
              <w:top w:val="single" w:sz="4" w:space="0" w:color="014171"/>
              <w:bottom w:val="single" w:sz="4" w:space="0" w:color="014171"/>
            </w:tcBorders>
          </w:tcPr>
          <w:p w14:paraId="6C054AE8"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5096F243" w14:textId="77777777" w:rsidTr="00A02BEA">
        <w:trPr>
          <w:trHeight w:val="148"/>
        </w:trPr>
        <w:tc>
          <w:tcPr>
            <w:tcW w:w="567" w:type="dxa"/>
            <w:tcBorders>
              <w:top w:val="single" w:sz="4" w:space="0" w:color="014171"/>
            </w:tcBorders>
          </w:tcPr>
          <w:p w14:paraId="00213762" w14:textId="06D440AB"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2</w:t>
            </w:r>
          </w:p>
        </w:tc>
        <w:tc>
          <w:tcPr>
            <w:tcW w:w="4111" w:type="dxa"/>
            <w:tcBorders>
              <w:top w:val="single" w:sz="4" w:space="0" w:color="014171"/>
            </w:tcBorders>
          </w:tcPr>
          <w:p w14:paraId="15566A4B" w14:textId="70E099E0" w:rsidR="004938F1" w:rsidRPr="0074724B" w:rsidRDefault="004938F1" w:rsidP="00A02BEA">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Other Liabilities</w:t>
            </w:r>
          </w:p>
        </w:tc>
        <w:tc>
          <w:tcPr>
            <w:tcW w:w="1701" w:type="dxa"/>
            <w:tcBorders>
              <w:top w:val="single" w:sz="4" w:space="0" w:color="014171"/>
            </w:tcBorders>
          </w:tcPr>
          <w:p w14:paraId="2F3881DC" w14:textId="402B6B3D" w:rsidR="004938F1" w:rsidRPr="0074724B" w:rsidRDefault="004938F1" w:rsidP="004938F1">
            <w:pPr>
              <w:autoSpaceDE w:val="0"/>
              <w:autoSpaceDN w:val="0"/>
              <w:adjustRightInd w:val="0"/>
              <w:spacing w:after="0"/>
              <w:jc w:val="right"/>
              <w:rPr>
                <w:rFonts w:ascii="Segoe UI" w:hAnsi="Segoe UI" w:cs="Segoe UI"/>
                <w:b/>
                <w:bCs/>
                <w:color w:val="014171"/>
                <w:sz w:val="18"/>
                <w:szCs w:val="18"/>
                <w:lang w:eastAsia="en-GB"/>
              </w:rPr>
            </w:pPr>
            <w:r w:rsidRPr="00A02BEA">
              <w:rPr>
                <w:rFonts w:ascii="Segoe UI" w:hAnsi="Segoe UI" w:cs="Segoe UI"/>
                <w:color w:val="014171"/>
                <w:sz w:val="18"/>
                <w:szCs w:val="18"/>
              </w:rPr>
              <w:t xml:space="preserve">445.25 </w:t>
            </w:r>
          </w:p>
        </w:tc>
        <w:tc>
          <w:tcPr>
            <w:tcW w:w="2888" w:type="dxa"/>
            <w:tcBorders>
              <w:top w:val="single" w:sz="4" w:space="0" w:color="014171"/>
            </w:tcBorders>
          </w:tcPr>
          <w:p w14:paraId="25DAA920" w14:textId="77777777" w:rsidR="004938F1" w:rsidRPr="004938F1" w:rsidRDefault="004938F1" w:rsidP="004938F1">
            <w:pPr>
              <w:autoSpaceDE w:val="0"/>
              <w:autoSpaceDN w:val="0"/>
              <w:adjustRightInd w:val="0"/>
              <w:spacing w:after="0"/>
              <w:jc w:val="both"/>
              <w:rPr>
                <w:rFonts w:ascii="Segoe UI" w:hAnsi="Segoe UI" w:cs="Segoe UI"/>
                <w:b/>
                <w:bCs/>
                <w:color w:val="014171"/>
                <w:sz w:val="18"/>
                <w:szCs w:val="18"/>
                <w:lang w:eastAsia="en-GB"/>
              </w:rPr>
            </w:pPr>
          </w:p>
        </w:tc>
      </w:tr>
      <w:tr w:rsidR="004938F1" w:rsidRPr="004938F1" w14:paraId="5FBB9E64" w14:textId="77777777" w:rsidTr="00A02BEA">
        <w:trPr>
          <w:trHeight w:val="142"/>
        </w:trPr>
        <w:tc>
          <w:tcPr>
            <w:tcW w:w="567" w:type="dxa"/>
            <w:tcBorders>
              <w:top w:val="single" w:sz="4" w:space="0" w:color="014171"/>
              <w:bottom w:val="single" w:sz="4" w:space="0" w:color="014171"/>
            </w:tcBorders>
          </w:tcPr>
          <w:p w14:paraId="49D8D2AD" w14:textId="1B396FBE"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3</w:t>
            </w:r>
          </w:p>
        </w:tc>
        <w:tc>
          <w:tcPr>
            <w:tcW w:w="4111" w:type="dxa"/>
            <w:tcBorders>
              <w:top w:val="single" w:sz="4" w:space="0" w:color="014171"/>
              <w:bottom w:val="single" w:sz="4" w:space="0" w:color="014171"/>
            </w:tcBorders>
          </w:tcPr>
          <w:p w14:paraId="1E1704A0" w14:textId="756D08D7" w:rsidR="004938F1" w:rsidRPr="0074724B" w:rsidRDefault="004938F1" w:rsidP="00A02BEA">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Reserves</w:t>
            </w:r>
          </w:p>
        </w:tc>
        <w:tc>
          <w:tcPr>
            <w:tcW w:w="1701" w:type="dxa"/>
            <w:tcBorders>
              <w:top w:val="single" w:sz="4" w:space="0" w:color="014171"/>
              <w:bottom w:val="single" w:sz="4" w:space="0" w:color="014171"/>
            </w:tcBorders>
          </w:tcPr>
          <w:p w14:paraId="7419366E" w14:textId="41475D58"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 </w:t>
            </w:r>
          </w:p>
        </w:tc>
        <w:tc>
          <w:tcPr>
            <w:tcW w:w="2888" w:type="dxa"/>
            <w:tcBorders>
              <w:top w:val="single" w:sz="4" w:space="0" w:color="014171"/>
              <w:bottom w:val="single" w:sz="4" w:space="0" w:color="014171"/>
            </w:tcBorders>
          </w:tcPr>
          <w:p w14:paraId="0649FEAB"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1B643DAA" w14:textId="77777777" w:rsidTr="00A02BEA">
        <w:trPr>
          <w:trHeight w:val="142"/>
        </w:trPr>
        <w:tc>
          <w:tcPr>
            <w:tcW w:w="567" w:type="dxa"/>
            <w:tcBorders>
              <w:top w:val="single" w:sz="4" w:space="0" w:color="014171"/>
              <w:bottom w:val="single" w:sz="4" w:space="0" w:color="014171"/>
            </w:tcBorders>
          </w:tcPr>
          <w:p w14:paraId="3BB84BFA" w14:textId="1DA47440"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3a</w:t>
            </w:r>
          </w:p>
        </w:tc>
        <w:tc>
          <w:tcPr>
            <w:tcW w:w="4111" w:type="dxa"/>
            <w:tcBorders>
              <w:top w:val="single" w:sz="4" w:space="0" w:color="014171"/>
              <w:bottom w:val="single" w:sz="4" w:space="0" w:color="014171"/>
            </w:tcBorders>
          </w:tcPr>
          <w:p w14:paraId="28479402" w14:textId="1A86E793" w:rsidR="004938F1" w:rsidRPr="0074724B" w:rsidRDefault="004938F1" w:rsidP="0074724B">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Other Reserves</w:t>
            </w:r>
          </w:p>
        </w:tc>
        <w:tc>
          <w:tcPr>
            <w:tcW w:w="1701" w:type="dxa"/>
            <w:tcBorders>
              <w:top w:val="single" w:sz="4" w:space="0" w:color="014171"/>
              <w:bottom w:val="single" w:sz="4" w:space="0" w:color="014171"/>
            </w:tcBorders>
          </w:tcPr>
          <w:p w14:paraId="5D05D090" w14:textId="0B5AD661"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1,476.40 </w:t>
            </w:r>
          </w:p>
        </w:tc>
        <w:tc>
          <w:tcPr>
            <w:tcW w:w="2888" w:type="dxa"/>
            <w:tcBorders>
              <w:top w:val="single" w:sz="4" w:space="0" w:color="014171"/>
              <w:bottom w:val="single" w:sz="4" w:space="0" w:color="014171"/>
            </w:tcBorders>
          </w:tcPr>
          <w:p w14:paraId="431F1B39" w14:textId="77777777"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p>
        </w:tc>
      </w:tr>
      <w:tr w:rsidR="004938F1" w:rsidRPr="004938F1" w14:paraId="120FC623" w14:textId="77777777" w:rsidTr="00A02BEA">
        <w:trPr>
          <w:trHeight w:val="142"/>
        </w:trPr>
        <w:tc>
          <w:tcPr>
            <w:tcW w:w="567" w:type="dxa"/>
            <w:tcBorders>
              <w:top w:val="single" w:sz="4" w:space="0" w:color="014171"/>
              <w:bottom w:val="single" w:sz="4" w:space="0" w:color="014171"/>
            </w:tcBorders>
          </w:tcPr>
          <w:p w14:paraId="6F9E6212" w14:textId="486CD783" w:rsidR="004938F1" w:rsidRPr="00A02BEA" w:rsidRDefault="004938F1" w:rsidP="004938F1">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4</w:t>
            </w:r>
          </w:p>
        </w:tc>
        <w:tc>
          <w:tcPr>
            <w:tcW w:w="4111" w:type="dxa"/>
            <w:tcBorders>
              <w:top w:val="single" w:sz="4" w:space="0" w:color="014171"/>
              <w:bottom w:val="single" w:sz="4" w:space="0" w:color="014171"/>
            </w:tcBorders>
          </w:tcPr>
          <w:p w14:paraId="2A253909" w14:textId="27D8390F" w:rsidR="004938F1" w:rsidRPr="00A02BEA" w:rsidRDefault="004938F1" w:rsidP="00A02BE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Shareholders' Equity</w:t>
            </w:r>
          </w:p>
        </w:tc>
        <w:tc>
          <w:tcPr>
            <w:tcW w:w="1701" w:type="dxa"/>
            <w:tcBorders>
              <w:top w:val="single" w:sz="4" w:space="0" w:color="014171"/>
              <w:bottom w:val="single" w:sz="4" w:space="0" w:color="014171"/>
            </w:tcBorders>
          </w:tcPr>
          <w:p w14:paraId="7109E8B5" w14:textId="21FA7F07" w:rsidR="004938F1" w:rsidRPr="00A02BEA" w:rsidRDefault="004938F1" w:rsidP="004938F1">
            <w:pPr>
              <w:autoSpaceDE w:val="0"/>
              <w:autoSpaceDN w:val="0"/>
              <w:adjustRightInd w:val="0"/>
              <w:spacing w:after="0"/>
              <w:jc w:val="right"/>
              <w:rPr>
                <w:rFonts w:ascii="Segoe UI" w:hAnsi="Segoe UI" w:cs="Segoe UI"/>
                <w:b/>
                <w:color w:val="014171"/>
                <w:sz w:val="18"/>
                <w:szCs w:val="18"/>
                <w:lang w:eastAsia="en-GB"/>
              </w:rPr>
            </w:pPr>
            <w:r w:rsidRPr="00A02BEA">
              <w:rPr>
                <w:rFonts w:ascii="Segoe UI" w:hAnsi="Segoe UI" w:cs="Segoe UI"/>
                <w:b/>
                <w:color w:val="014171"/>
                <w:sz w:val="18"/>
                <w:szCs w:val="18"/>
              </w:rPr>
              <w:t xml:space="preserve">31,683.48 </w:t>
            </w:r>
          </w:p>
        </w:tc>
        <w:tc>
          <w:tcPr>
            <w:tcW w:w="2888" w:type="dxa"/>
            <w:tcBorders>
              <w:top w:val="single" w:sz="4" w:space="0" w:color="014171"/>
              <w:bottom w:val="single" w:sz="4" w:space="0" w:color="014171"/>
            </w:tcBorders>
          </w:tcPr>
          <w:p w14:paraId="24314AD0" w14:textId="77777777" w:rsidR="004938F1" w:rsidRPr="00A02BEA" w:rsidRDefault="004938F1" w:rsidP="004938F1">
            <w:pPr>
              <w:autoSpaceDE w:val="0"/>
              <w:autoSpaceDN w:val="0"/>
              <w:adjustRightInd w:val="0"/>
              <w:spacing w:after="0"/>
              <w:jc w:val="both"/>
              <w:rPr>
                <w:rFonts w:ascii="Segoe UI" w:hAnsi="Segoe UI" w:cs="Segoe UI"/>
                <w:b/>
                <w:color w:val="014171"/>
                <w:sz w:val="18"/>
                <w:szCs w:val="18"/>
                <w:lang w:eastAsia="en-GB"/>
              </w:rPr>
            </w:pPr>
          </w:p>
        </w:tc>
      </w:tr>
      <w:tr w:rsidR="004938F1" w:rsidRPr="004938F1" w14:paraId="251D4159" w14:textId="77777777" w:rsidTr="00A02BEA">
        <w:trPr>
          <w:trHeight w:val="274"/>
        </w:trPr>
        <w:tc>
          <w:tcPr>
            <w:tcW w:w="567" w:type="dxa"/>
            <w:tcBorders>
              <w:top w:val="single" w:sz="4" w:space="0" w:color="014171"/>
              <w:bottom w:val="single" w:sz="4" w:space="0" w:color="014171"/>
            </w:tcBorders>
          </w:tcPr>
          <w:p w14:paraId="0230E584" w14:textId="7804B3DC" w:rsidR="004938F1" w:rsidRPr="0074724B" w:rsidRDefault="004938F1" w:rsidP="004938F1">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rPr>
              <w:t>4a</w:t>
            </w:r>
          </w:p>
        </w:tc>
        <w:tc>
          <w:tcPr>
            <w:tcW w:w="4111" w:type="dxa"/>
            <w:tcBorders>
              <w:top w:val="single" w:sz="4" w:space="0" w:color="014171"/>
              <w:bottom w:val="single" w:sz="4" w:space="0" w:color="014171"/>
            </w:tcBorders>
          </w:tcPr>
          <w:p w14:paraId="28E1A04B" w14:textId="64CA1124" w:rsidR="004938F1" w:rsidRPr="0074724B" w:rsidRDefault="004938F1" w:rsidP="0074724B">
            <w:pPr>
              <w:autoSpaceDE w:val="0"/>
              <w:autoSpaceDN w:val="0"/>
              <w:adjustRightInd w:val="0"/>
              <w:spacing w:after="0"/>
              <w:ind w:left="113"/>
              <w:jc w:val="both"/>
              <w:rPr>
                <w:rFonts w:ascii="Segoe UI" w:hAnsi="Segoe UI" w:cs="Segoe UI"/>
                <w:color w:val="014171"/>
                <w:sz w:val="18"/>
                <w:szCs w:val="18"/>
                <w:lang w:eastAsia="en-GB"/>
              </w:rPr>
            </w:pPr>
            <w:r>
              <w:rPr>
                <w:rFonts w:ascii="Segoe UI" w:hAnsi="Segoe UI" w:cs="Segoe UI"/>
                <w:color w:val="014171"/>
                <w:sz w:val="18"/>
                <w:szCs w:val="18"/>
              </w:rPr>
              <w:t>F</w:t>
            </w:r>
            <w:r w:rsidRPr="00A02BEA">
              <w:rPr>
                <w:rFonts w:ascii="Segoe UI" w:hAnsi="Segoe UI" w:cs="Segoe UI"/>
                <w:color w:val="014171"/>
                <w:sz w:val="18"/>
                <w:szCs w:val="18"/>
              </w:rPr>
              <w:t>ully Paid Up Capital Instruments</w:t>
            </w:r>
          </w:p>
        </w:tc>
        <w:tc>
          <w:tcPr>
            <w:tcW w:w="1701" w:type="dxa"/>
            <w:tcBorders>
              <w:top w:val="single" w:sz="4" w:space="0" w:color="014171"/>
              <w:bottom w:val="single" w:sz="4" w:space="0" w:color="014171"/>
            </w:tcBorders>
          </w:tcPr>
          <w:p w14:paraId="72CF1E95" w14:textId="59F411DB"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35,000.00 </w:t>
            </w:r>
          </w:p>
        </w:tc>
        <w:tc>
          <w:tcPr>
            <w:tcW w:w="2888" w:type="dxa"/>
            <w:tcBorders>
              <w:top w:val="single" w:sz="4" w:space="0" w:color="014171"/>
              <w:bottom w:val="single" w:sz="4" w:space="0" w:color="014171"/>
            </w:tcBorders>
          </w:tcPr>
          <w:p w14:paraId="0ED539F6" w14:textId="465B0EE3" w:rsidR="004938F1" w:rsidRPr="0074724B" w:rsidRDefault="004938F1" w:rsidP="004938F1">
            <w:pPr>
              <w:autoSpaceDE w:val="0"/>
              <w:autoSpaceDN w:val="0"/>
              <w:adjustRightInd w:val="0"/>
              <w:spacing w:after="0"/>
              <w:jc w:val="both"/>
              <w:rPr>
                <w:rFonts w:ascii="Segoe UI" w:hAnsi="Segoe UI" w:cs="Segoe UI"/>
                <w:color w:val="014171"/>
                <w:sz w:val="18"/>
                <w:szCs w:val="18"/>
                <w:lang w:eastAsia="en-GB"/>
              </w:rPr>
            </w:pPr>
            <w:r>
              <w:rPr>
                <w:rFonts w:ascii="Segoe UI" w:hAnsi="Segoe UI" w:cs="Segoe UI"/>
                <w:color w:val="014171"/>
                <w:sz w:val="18"/>
                <w:szCs w:val="18"/>
                <w:lang w:eastAsia="en-GB"/>
              </w:rPr>
              <w:t>Row 4</w:t>
            </w:r>
          </w:p>
        </w:tc>
      </w:tr>
      <w:tr w:rsidR="004938F1" w:rsidRPr="004938F1" w14:paraId="7FDEF979" w14:textId="77777777" w:rsidTr="00A02BEA">
        <w:trPr>
          <w:trHeight w:val="274"/>
        </w:trPr>
        <w:tc>
          <w:tcPr>
            <w:tcW w:w="567" w:type="dxa"/>
            <w:tcBorders>
              <w:top w:val="single" w:sz="4" w:space="0" w:color="014171"/>
            </w:tcBorders>
          </w:tcPr>
          <w:p w14:paraId="6E60C8E6" w14:textId="47DAD4FB" w:rsidR="004938F1" w:rsidRPr="004938F1" w:rsidRDefault="004938F1" w:rsidP="004938F1">
            <w:pPr>
              <w:autoSpaceDE w:val="0"/>
              <w:autoSpaceDN w:val="0"/>
              <w:adjustRightInd w:val="0"/>
              <w:spacing w:after="0"/>
              <w:jc w:val="both"/>
              <w:rPr>
                <w:rFonts w:ascii="Segoe UI" w:hAnsi="Segoe UI" w:cs="Segoe UI"/>
                <w:color w:val="014171"/>
                <w:sz w:val="18"/>
                <w:szCs w:val="18"/>
                <w:lang w:eastAsia="en-GB"/>
              </w:rPr>
            </w:pPr>
            <w:r w:rsidRPr="004938F1">
              <w:rPr>
                <w:rFonts w:ascii="Segoe UI" w:hAnsi="Segoe UI" w:cs="Segoe UI"/>
                <w:color w:val="014171"/>
                <w:sz w:val="18"/>
                <w:szCs w:val="18"/>
              </w:rPr>
              <w:t>4b</w:t>
            </w:r>
          </w:p>
        </w:tc>
        <w:tc>
          <w:tcPr>
            <w:tcW w:w="4111" w:type="dxa"/>
            <w:tcBorders>
              <w:top w:val="single" w:sz="4" w:space="0" w:color="014171"/>
            </w:tcBorders>
          </w:tcPr>
          <w:p w14:paraId="12080A08" w14:textId="5F227F7A" w:rsidR="004938F1" w:rsidRPr="0074724B" w:rsidRDefault="004938F1" w:rsidP="0074724B">
            <w:pPr>
              <w:autoSpaceDE w:val="0"/>
              <w:autoSpaceDN w:val="0"/>
              <w:adjustRightInd w:val="0"/>
              <w:spacing w:after="0"/>
              <w:ind w:left="113"/>
              <w:jc w:val="both"/>
              <w:rPr>
                <w:rFonts w:ascii="Segoe UI" w:hAnsi="Segoe UI" w:cs="Segoe UI"/>
                <w:color w:val="014171"/>
                <w:sz w:val="18"/>
                <w:szCs w:val="18"/>
                <w:lang w:eastAsia="en-GB"/>
              </w:rPr>
            </w:pPr>
            <w:r w:rsidRPr="00A02BEA">
              <w:rPr>
                <w:rFonts w:ascii="Segoe UI" w:hAnsi="Segoe UI" w:cs="Segoe UI"/>
                <w:color w:val="014171"/>
                <w:sz w:val="18"/>
                <w:szCs w:val="18"/>
              </w:rPr>
              <w:t>Retained Earnings</w:t>
            </w:r>
          </w:p>
        </w:tc>
        <w:tc>
          <w:tcPr>
            <w:tcW w:w="1701" w:type="dxa"/>
            <w:tcBorders>
              <w:top w:val="single" w:sz="4" w:space="0" w:color="014171"/>
            </w:tcBorders>
          </w:tcPr>
          <w:p w14:paraId="59758CBA" w14:textId="435A662F" w:rsidR="004938F1" w:rsidRPr="0074724B" w:rsidRDefault="004938F1" w:rsidP="004938F1">
            <w:pPr>
              <w:autoSpaceDE w:val="0"/>
              <w:autoSpaceDN w:val="0"/>
              <w:adjustRightInd w:val="0"/>
              <w:spacing w:after="0"/>
              <w:jc w:val="right"/>
              <w:rPr>
                <w:rFonts w:ascii="Segoe UI" w:hAnsi="Segoe UI" w:cs="Segoe UI"/>
                <w:color w:val="014171"/>
                <w:sz w:val="18"/>
                <w:szCs w:val="18"/>
                <w:lang w:eastAsia="en-GB"/>
              </w:rPr>
            </w:pPr>
            <w:r w:rsidRPr="00A02BEA">
              <w:rPr>
                <w:rFonts w:ascii="Segoe UI" w:hAnsi="Segoe UI" w:cs="Segoe UI"/>
                <w:color w:val="014171"/>
                <w:sz w:val="18"/>
                <w:szCs w:val="18"/>
              </w:rPr>
              <w:t xml:space="preserve">-3,316.52 </w:t>
            </w:r>
          </w:p>
        </w:tc>
        <w:tc>
          <w:tcPr>
            <w:tcW w:w="2888" w:type="dxa"/>
            <w:tcBorders>
              <w:top w:val="single" w:sz="4" w:space="0" w:color="014171"/>
            </w:tcBorders>
          </w:tcPr>
          <w:p w14:paraId="0DA4A1C7" w14:textId="476F5983" w:rsidR="004938F1" w:rsidRPr="0074724B" w:rsidRDefault="004938F1" w:rsidP="004938F1">
            <w:pPr>
              <w:autoSpaceDE w:val="0"/>
              <w:autoSpaceDN w:val="0"/>
              <w:adjustRightInd w:val="0"/>
              <w:spacing w:after="0"/>
              <w:jc w:val="both"/>
              <w:rPr>
                <w:rFonts w:ascii="Segoe UI" w:hAnsi="Segoe UI" w:cs="Segoe UI"/>
                <w:color w:val="014171"/>
                <w:sz w:val="18"/>
                <w:szCs w:val="18"/>
                <w:lang w:eastAsia="en-GB"/>
              </w:rPr>
            </w:pPr>
            <w:r>
              <w:rPr>
                <w:rFonts w:ascii="Segoe UI" w:hAnsi="Segoe UI" w:cs="Segoe UI"/>
                <w:color w:val="014171"/>
                <w:sz w:val="18"/>
                <w:szCs w:val="18"/>
                <w:lang w:eastAsia="en-GB"/>
              </w:rPr>
              <w:t>Row 6</w:t>
            </w:r>
          </w:p>
        </w:tc>
      </w:tr>
      <w:tr w:rsidR="004938F1" w:rsidRPr="004938F1" w14:paraId="6680D5D3" w14:textId="77777777" w:rsidTr="00A02BEA">
        <w:trPr>
          <w:trHeight w:val="274"/>
        </w:trPr>
        <w:tc>
          <w:tcPr>
            <w:tcW w:w="567" w:type="dxa"/>
            <w:tcBorders>
              <w:top w:val="single" w:sz="4" w:space="0" w:color="014171"/>
              <w:bottom w:val="single" w:sz="12" w:space="0" w:color="014171"/>
            </w:tcBorders>
          </w:tcPr>
          <w:p w14:paraId="1798F24F" w14:textId="0842C5EE" w:rsidR="007C1172" w:rsidRPr="00A02BEA" w:rsidRDefault="004938F1" w:rsidP="002F3D1B">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5</w:t>
            </w:r>
          </w:p>
        </w:tc>
        <w:tc>
          <w:tcPr>
            <w:tcW w:w="4111" w:type="dxa"/>
            <w:tcBorders>
              <w:top w:val="single" w:sz="4" w:space="0" w:color="014171"/>
              <w:bottom w:val="single" w:sz="12" w:space="0" w:color="014171"/>
            </w:tcBorders>
          </w:tcPr>
          <w:p w14:paraId="61946D48" w14:textId="52F69F81" w:rsidR="007C1172" w:rsidRPr="00A02BEA" w:rsidRDefault="004938F1" w:rsidP="002F3D1B">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TOTAL LIABILITIES &amp; EQUITY</w:t>
            </w:r>
          </w:p>
        </w:tc>
        <w:tc>
          <w:tcPr>
            <w:tcW w:w="1701" w:type="dxa"/>
            <w:tcBorders>
              <w:top w:val="single" w:sz="4" w:space="0" w:color="014171"/>
              <w:bottom w:val="single" w:sz="12" w:space="0" w:color="014171"/>
            </w:tcBorders>
          </w:tcPr>
          <w:p w14:paraId="16313FEC" w14:textId="13132C6E" w:rsidR="007C1172" w:rsidRPr="00A02BEA" w:rsidRDefault="004938F1" w:rsidP="002F3D1B">
            <w:pPr>
              <w:autoSpaceDE w:val="0"/>
              <w:autoSpaceDN w:val="0"/>
              <w:adjustRightInd w:val="0"/>
              <w:spacing w:after="0"/>
              <w:jc w:val="right"/>
              <w:rPr>
                <w:rFonts w:ascii="Segoe UI" w:hAnsi="Segoe UI" w:cs="Segoe UI"/>
                <w:b/>
                <w:color w:val="014171"/>
                <w:sz w:val="18"/>
                <w:szCs w:val="18"/>
                <w:lang w:eastAsia="en-GB"/>
              </w:rPr>
            </w:pPr>
            <w:r w:rsidRPr="00A02BEA">
              <w:rPr>
                <w:rFonts w:ascii="Segoe UI" w:hAnsi="Segoe UI" w:cs="Segoe UI"/>
                <w:b/>
                <w:color w:val="014171"/>
                <w:sz w:val="18"/>
                <w:szCs w:val="18"/>
              </w:rPr>
              <w:t>316,907.22</w:t>
            </w:r>
          </w:p>
        </w:tc>
        <w:tc>
          <w:tcPr>
            <w:tcW w:w="2888" w:type="dxa"/>
            <w:tcBorders>
              <w:top w:val="single" w:sz="4" w:space="0" w:color="014171"/>
              <w:bottom w:val="single" w:sz="12" w:space="0" w:color="014171"/>
            </w:tcBorders>
          </w:tcPr>
          <w:p w14:paraId="7A6DEF43" w14:textId="77777777" w:rsidR="007C1172" w:rsidRPr="00A02BEA" w:rsidRDefault="007C1172" w:rsidP="002F3D1B">
            <w:pPr>
              <w:autoSpaceDE w:val="0"/>
              <w:autoSpaceDN w:val="0"/>
              <w:adjustRightInd w:val="0"/>
              <w:spacing w:after="0"/>
              <w:jc w:val="both"/>
              <w:rPr>
                <w:rFonts w:ascii="Segoe UI" w:hAnsi="Segoe UI" w:cs="Segoe UI"/>
                <w:b/>
                <w:color w:val="014171"/>
                <w:sz w:val="18"/>
                <w:szCs w:val="18"/>
                <w:lang w:eastAsia="en-GB"/>
              </w:rPr>
            </w:pPr>
          </w:p>
        </w:tc>
      </w:tr>
    </w:tbl>
    <w:p w14:paraId="70B629D2" w14:textId="77777777" w:rsidR="007C1172" w:rsidRPr="00E27BB3" w:rsidRDefault="007C1172" w:rsidP="00FA2278">
      <w:pPr>
        <w:spacing w:after="0" w:line="240" w:lineRule="auto"/>
        <w:jc w:val="both"/>
        <w:rPr>
          <w:rFonts w:ascii="Times New Roman" w:hAnsi="Times New Roman"/>
          <w:color w:val="0F243E" w:themeColor="text2" w:themeShade="80"/>
          <w:sz w:val="24"/>
          <w:szCs w:val="24"/>
        </w:rPr>
      </w:pPr>
    </w:p>
    <w:p w14:paraId="4B386B19" w14:textId="60AD2F5C" w:rsidR="002F3D1B" w:rsidRDefault="002F3D1B" w:rsidP="00FA2278">
      <w:pPr>
        <w:spacing w:after="0" w:line="240" w:lineRule="auto"/>
        <w:jc w:val="both"/>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br w:type="page"/>
      </w:r>
    </w:p>
    <w:p w14:paraId="41186F96" w14:textId="4E02EB06" w:rsidR="002034F4" w:rsidRPr="00A02BEA" w:rsidRDefault="002034F4" w:rsidP="00A02BEA">
      <w:pPr>
        <w:pStyle w:val="Heading2"/>
      </w:pPr>
      <w:bookmarkStart w:id="73" w:name="_Toc120891006"/>
      <w:bookmarkStart w:id="74" w:name="_Toc122626066"/>
      <w:bookmarkEnd w:id="73"/>
      <w:r>
        <w:lastRenderedPageBreak/>
        <w:t>M</w:t>
      </w:r>
      <w:r w:rsidRPr="0074724B">
        <w:t xml:space="preserve">ain </w:t>
      </w:r>
      <w:r>
        <w:t>F</w:t>
      </w:r>
      <w:r w:rsidRPr="00A02BEA">
        <w:t xml:space="preserve">eatures of </w:t>
      </w:r>
      <w:r>
        <w:t>O</w:t>
      </w:r>
      <w:r w:rsidRPr="00A02BEA">
        <w:t xml:space="preserve">wn </w:t>
      </w:r>
      <w:r>
        <w:t>I</w:t>
      </w:r>
      <w:r w:rsidRPr="00A02BEA">
        <w:t xml:space="preserve">nstruments </w:t>
      </w:r>
      <w:r>
        <w:t>I</w:t>
      </w:r>
      <w:r w:rsidRPr="00A02BEA">
        <w:t xml:space="preserve">ssued by </w:t>
      </w:r>
      <w:r>
        <w:t>DCMD</w:t>
      </w:r>
      <w:bookmarkEnd w:id="74"/>
    </w:p>
    <w:p w14:paraId="61A10638" w14:textId="3CD928B4" w:rsidR="00261A48" w:rsidRDefault="002034F4" w:rsidP="00A02BEA">
      <w:pPr>
        <w:spacing w:after="0"/>
        <w:jc w:val="both"/>
        <w:rPr>
          <w:rFonts w:ascii="Segoe UI" w:hAnsi="Segoe UI" w:cs="Segoe UI"/>
          <w:color w:val="014171"/>
        </w:rPr>
      </w:pPr>
      <w:r w:rsidRPr="00A02BEA">
        <w:rPr>
          <w:rFonts w:ascii="Segoe UI" w:hAnsi="Segoe UI" w:cs="Segoe UI"/>
          <w:color w:val="014171"/>
        </w:rPr>
        <w:t>The below tables shows the main features of own instruments issued by the firm as of 31 March 2022.</w:t>
      </w:r>
    </w:p>
    <w:p w14:paraId="6097ACDB" w14:textId="77777777" w:rsidR="00261A48" w:rsidRDefault="00261A48" w:rsidP="00A02BEA">
      <w:pPr>
        <w:spacing w:after="0"/>
        <w:jc w:val="both"/>
        <w:rPr>
          <w:rFonts w:ascii="Segoe UI" w:hAnsi="Segoe UI" w:cs="Segoe UI"/>
          <w:color w:val="014171"/>
        </w:rPr>
      </w:pPr>
    </w:p>
    <w:p w14:paraId="04117AA7" w14:textId="53735B37" w:rsidR="002F3D1B" w:rsidRPr="00A02BEA" w:rsidRDefault="002F3D1B" w:rsidP="0074724B">
      <w:pPr>
        <w:spacing w:after="0"/>
        <w:jc w:val="center"/>
        <w:rPr>
          <w:rFonts w:ascii="Segoe UI" w:hAnsi="Segoe UI" w:cs="Segoe UI"/>
          <w:b/>
          <w:color w:val="014171"/>
        </w:rPr>
      </w:pPr>
      <w:r w:rsidRPr="00E27BB3">
        <w:rPr>
          <w:rFonts w:ascii="Segoe UI" w:hAnsi="Segoe UI" w:cs="Segoe UI"/>
          <w:b/>
          <w:color w:val="014171"/>
        </w:rPr>
        <w:t>T</w:t>
      </w:r>
      <w:r>
        <w:rPr>
          <w:rFonts w:ascii="Segoe UI" w:hAnsi="Segoe UI" w:cs="Segoe UI"/>
          <w:b/>
          <w:color w:val="014171"/>
        </w:rPr>
        <w:t>able 3</w:t>
      </w:r>
      <w:r w:rsidRPr="00E27BB3">
        <w:rPr>
          <w:rFonts w:ascii="Segoe UI" w:hAnsi="Segoe UI" w:cs="Segoe UI"/>
          <w:b/>
          <w:color w:val="014171"/>
        </w:rPr>
        <w:t xml:space="preserve"> - </w:t>
      </w:r>
      <w:r w:rsidR="00261A48" w:rsidRPr="00261A48">
        <w:rPr>
          <w:rFonts w:ascii="Segoe UI" w:hAnsi="Segoe UI" w:cs="Segoe UI"/>
          <w:b/>
          <w:color w:val="014171"/>
        </w:rPr>
        <w:t>Main Features of Own Instruments Issued by DCMD</w:t>
      </w:r>
      <w:r>
        <w:rPr>
          <w:rFonts w:ascii="Segoe UI" w:hAnsi="Segoe UI" w:cs="Segoe UI"/>
          <w:b/>
          <w:color w:val="014171"/>
        </w:rPr>
        <w:t xml:space="preserve"> (EU IF CC</w:t>
      </w:r>
      <w:r w:rsidR="00261A48">
        <w:rPr>
          <w:rFonts w:ascii="Segoe UI" w:hAnsi="Segoe UI" w:cs="Segoe UI"/>
          <w:b/>
          <w:color w:val="014171"/>
        </w:rPr>
        <w:t>A</w:t>
      </w:r>
      <w:r>
        <w:rPr>
          <w:rFonts w:ascii="Segoe UI" w:hAnsi="Segoe UI" w:cs="Segoe UI"/>
          <w:b/>
          <w:color w:val="014171"/>
        </w:rPr>
        <w:t>)</w:t>
      </w:r>
    </w:p>
    <w:p w14:paraId="30FCAFCE" w14:textId="77777777" w:rsidR="002F3D1B" w:rsidRPr="006C6DDA" w:rsidRDefault="002F3D1B" w:rsidP="002F3D1B">
      <w:pPr>
        <w:spacing w:after="0"/>
        <w:jc w:val="center"/>
        <w:rPr>
          <w:rFonts w:ascii="Segoe UI" w:hAnsi="Segoe UI" w:cs="Segoe UI"/>
          <w:color w:val="014171"/>
        </w:rPr>
      </w:pPr>
    </w:p>
    <w:tbl>
      <w:tblPr>
        <w:tblW w:w="9267" w:type="dxa"/>
        <w:tblLayout w:type="fixed"/>
        <w:tblLook w:val="0000" w:firstRow="0" w:lastRow="0" w:firstColumn="0" w:lastColumn="0" w:noHBand="0" w:noVBand="0"/>
      </w:tblPr>
      <w:tblGrid>
        <w:gridCol w:w="567"/>
        <w:gridCol w:w="5103"/>
        <w:gridCol w:w="3597"/>
      </w:tblGrid>
      <w:tr w:rsidR="00261A48" w:rsidRPr="008E3909" w14:paraId="02E452FC" w14:textId="77777777" w:rsidTr="00A02BEA">
        <w:trPr>
          <w:trHeight w:val="148"/>
        </w:trPr>
        <w:tc>
          <w:tcPr>
            <w:tcW w:w="567" w:type="dxa"/>
            <w:tcBorders>
              <w:top w:val="single" w:sz="4" w:space="0" w:color="014171"/>
              <w:bottom w:val="single" w:sz="4" w:space="0" w:color="014171"/>
            </w:tcBorders>
            <w:shd w:val="clear" w:color="auto" w:fill="002060"/>
          </w:tcPr>
          <w:p w14:paraId="68F12F0D" w14:textId="77777777" w:rsidR="00261A48" w:rsidRPr="0074724B" w:rsidRDefault="00261A48" w:rsidP="002F3D1B">
            <w:pPr>
              <w:autoSpaceDE w:val="0"/>
              <w:autoSpaceDN w:val="0"/>
              <w:adjustRightInd w:val="0"/>
              <w:spacing w:after="0"/>
              <w:jc w:val="both"/>
              <w:rPr>
                <w:rFonts w:ascii="Segoe UI" w:hAnsi="Segoe UI" w:cs="Segoe UI"/>
                <w:b/>
                <w:bCs/>
                <w:color w:val="FFFFFF" w:themeColor="background1"/>
                <w:sz w:val="18"/>
                <w:szCs w:val="18"/>
                <w:lang w:eastAsia="en-GB"/>
              </w:rPr>
            </w:pPr>
          </w:p>
        </w:tc>
        <w:tc>
          <w:tcPr>
            <w:tcW w:w="5103" w:type="dxa"/>
            <w:tcBorders>
              <w:top w:val="single" w:sz="4" w:space="0" w:color="014171"/>
              <w:bottom w:val="single" w:sz="4" w:space="0" w:color="014171"/>
            </w:tcBorders>
            <w:shd w:val="clear" w:color="auto" w:fill="002060"/>
            <w:vAlign w:val="center"/>
          </w:tcPr>
          <w:p w14:paraId="2A28AE79" w14:textId="635CF0F8" w:rsidR="00261A48" w:rsidRPr="008E3909" w:rsidRDefault="00261A48" w:rsidP="002F3D1B">
            <w:pPr>
              <w:autoSpaceDE w:val="0"/>
              <w:autoSpaceDN w:val="0"/>
              <w:adjustRightInd w:val="0"/>
              <w:spacing w:after="0"/>
              <w:jc w:val="both"/>
              <w:rPr>
                <w:rFonts w:ascii="Segoe UI" w:hAnsi="Segoe UI" w:cs="Segoe UI"/>
                <w:b/>
                <w:bCs/>
                <w:color w:val="FFFFFF" w:themeColor="background1"/>
                <w:sz w:val="18"/>
                <w:szCs w:val="18"/>
                <w:lang w:eastAsia="en-GB"/>
              </w:rPr>
            </w:pPr>
            <w:r w:rsidRPr="008E3909">
              <w:rPr>
                <w:rFonts w:ascii="Segoe UI" w:hAnsi="Segoe UI" w:cs="Segoe UI"/>
                <w:b/>
                <w:bCs/>
                <w:color w:val="FFFFFF" w:themeColor="background1"/>
                <w:sz w:val="18"/>
                <w:szCs w:val="18"/>
                <w:lang w:eastAsia="en-GB"/>
              </w:rPr>
              <w:t>Item</w:t>
            </w:r>
          </w:p>
        </w:tc>
        <w:tc>
          <w:tcPr>
            <w:tcW w:w="3597" w:type="dxa"/>
            <w:tcBorders>
              <w:top w:val="single" w:sz="4" w:space="0" w:color="014171"/>
              <w:bottom w:val="single" w:sz="4" w:space="0" w:color="014171"/>
            </w:tcBorders>
            <w:shd w:val="clear" w:color="auto" w:fill="002060"/>
            <w:vAlign w:val="center"/>
          </w:tcPr>
          <w:p w14:paraId="75BA3085" w14:textId="1FAC4597" w:rsidR="00261A48" w:rsidRPr="008E3909" w:rsidRDefault="00261A48" w:rsidP="002F3D1B">
            <w:pPr>
              <w:autoSpaceDE w:val="0"/>
              <w:autoSpaceDN w:val="0"/>
              <w:adjustRightInd w:val="0"/>
              <w:spacing w:after="0"/>
              <w:jc w:val="both"/>
              <w:rPr>
                <w:rFonts w:ascii="Segoe UI" w:hAnsi="Segoe UI" w:cs="Segoe UI"/>
                <w:b/>
                <w:bCs/>
                <w:color w:val="FFFFFF" w:themeColor="background1"/>
                <w:sz w:val="18"/>
                <w:szCs w:val="18"/>
                <w:lang w:eastAsia="en-GB"/>
              </w:rPr>
            </w:pPr>
            <w:r w:rsidRPr="008E3909">
              <w:rPr>
                <w:rFonts w:ascii="Segoe UI" w:hAnsi="Segoe UI" w:cs="Segoe UI"/>
                <w:b/>
                <w:bCs/>
                <w:color w:val="FFFFFF" w:themeColor="background1"/>
                <w:sz w:val="18"/>
                <w:szCs w:val="18"/>
                <w:lang w:eastAsia="en-GB"/>
              </w:rPr>
              <w:t>Comment</w:t>
            </w:r>
          </w:p>
        </w:tc>
      </w:tr>
      <w:tr w:rsidR="008E3909" w:rsidRPr="00BB56AD" w14:paraId="1A6DA0D2" w14:textId="77777777" w:rsidTr="00A02BEA">
        <w:trPr>
          <w:trHeight w:val="142"/>
        </w:trPr>
        <w:tc>
          <w:tcPr>
            <w:tcW w:w="567" w:type="dxa"/>
            <w:tcBorders>
              <w:top w:val="single" w:sz="12" w:space="0" w:color="014171"/>
              <w:bottom w:val="single" w:sz="4" w:space="0" w:color="014171"/>
            </w:tcBorders>
          </w:tcPr>
          <w:p w14:paraId="64783DDB" w14:textId="77777777"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w:t>
            </w:r>
          </w:p>
        </w:tc>
        <w:tc>
          <w:tcPr>
            <w:tcW w:w="5103" w:type="dxa"/>
            <w:tcBorders>
              <w:top w:val="single" w:sz="12" w:space="0" w:color="014171"/>
              <w:bottom w:val="single" w:sz="4" w:space="0" w:color="014171"/>
            </w:tcBorders>
          </w:tcPr>
          <w:p w14:paraId="6D6094E5" w14:textId="789C95D1" w:rsidR="008E3909" w:rsidRPr="0074724B" w:rsidRDefault="008E3909" w:rsidP="00A02BEA">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Issuer</w:t>
            </w:r>
          </w:p>
        </w:tc>
        <w:tc>
          <w:tcPr>
            <w:tcW w:w="3597" w:type="dxa"/>
            <w:tcBorders>
              <w:top w:val="single" w:sz="12" w:space="0" w:color="014171"/>
              <w:bottom w:val="single" w:sz="4" w:space="0" w:color="014171"/>
            </w:tcBorders>
          </w:tcPr>
          <w:p w14:paraId="2D3D0ECD" w14:textId="1A2DB039" w:rsidR="008E3909" w:rsidRPr="00A02BEA" w:rsidRDefault="008E3909" w:rsidP="008E3909">
            <w:pPr>
              <w:autoSpaceDE w:val="0"/>
              <w:autoSpaceDN w:val="0"/>
              <w:adjustRightInd w:val="0"/>
              <w:spacing w:after="0"/>
              <w:jc w:val="both"/>
              <w:rPr>
                <w:rFonts w:ascii="Segoe UI" w:hAnsi="Segoe UI" w:cs="Segoe UI"/>
                <w:color w:val="014171"/>
                <w:sz w:val="18"/>
                <w:szCs w:val="18"/>
                <w:lang w:val="de-DE" w:eastAsia="en-GB"/>
              </w:rPr>
            </w:pPr>
            <w:r w:rsidRPr="00A02BEA">
              <w:rPr>
                <w:rFonts w:ascii="Segoe UI" w:hAnsi="Segoe UI" w:cs="Segoe UI"/>
                <w:color w:val="014171"/>
                <w:sz w:val="18"/>
                <w:szCs w:val="18"/>
                <w:lang w:val="de-DE"/>
              </w:rPr>
              <w:t>Daiwa Capital Markets Deutschland GmbH</w:t>
            </w:r>
          </w:p>
        </w:tc>
      </w:tr>
      <w:tr w:rsidR="008E3909" w:rsidRPr="008E3909" w14:paraId="20198E13" w14:textId="77777777" w:rsidTr="00A02BEA">
        <w:trPr>
          <w:trHeight w:val="142"/>
        </w:trPr>
        <w:tc>
          <w:tcPr>
            <w:tcW w:w="567" w:type="dxa"/>
            <w:tcBorders>
              <w:top w:val="single" w:sz="4" w:space="0" w:color="014171"/>
              <w:bottom w:val="single" w:sz="4" w:space="0" w:color="014171"/>
            </w:tcBorders>
          </w:tcPr>
          <w:p w14:paraId="57DD549D" w14:textId="76B5203A"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2</w:t>
            </w:r>
          </w:p>
        </w:tc>
        <w:tc>
          <w:tcPr>
            <w:tcW w:w="5103" w:type="dxa"/>
            <w:tcBorders>
              <w:top w:val="single" w:sz="4" w:space="0" w:color="014171"/>
              <w:bottom w:val="single" w:sz="4" w:space="0" w:color="014171"/>
            </w:tcBorders>
          </w:tcPr>
          <w:p w14:paraId="6103F728" w14:textId="2A2C77ED"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Unique identifier (e.g. CUSIP, ISIN or Bloomberg identifier for private placement)</w:t>
            </w:r>
          </w:p>
        </w:tc>
        <w:tc>
          <w:tcPr>
            <w:tcW w:w="3597" w:type="dxa"/>
            <w:tcBorders>
              <w:top w:val="single" w:sz="4" w:space="0" w:color="014171"/>
              <w:bottom w:val="single" w:sz="4" w:space="0" w:color="014171"/>
            </w:tcBorders>
          </w:tcPr>
          <w:p w14:paraId="702D977D" w14:textId="65CE3C0B"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04D4458D" w14:textId="77777777" w:rsidTr="00A02BEA">
        <w:trPr>
          <w:trHeight w:val="142"/>
        </w:trPr>
        <w:tc>
          <w:tcPr>
            <w:tcW w:w="567" w:type="dxa"/>
            <w:tcBorders>
              <w:top w:val="single" w:sz="4" w:space="0" w:color="014171"/>
              <w:bottom w:val="single" w:sz="4" w:space="0" w:color="014171"/>
            </w:tcBorders>
          </w:tcPr>
          <w:p w14:paraId="2BC32D6F" w14:textId="179D461A"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w:t>
            </w:r>
          </w:p>
        </w:tc>
        <w:tc>
          <w:tcPr>
            <w:tcW w:w="5103" w:type="dxa"/>
            <w:tcBorders>
              <w:top w:val="single" w:sz="4" w:space="0" w:color="014171"/>
              <w:bottom w:val="single" w:sz="4" w:space="0" w:color="014171"/>
            </w:tcBorders>
          </w:tcPr>
          <w:p w14:paraId="79B2B3E4" w14:textId="07018276"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Public or private placement</w:t>
            </w:r>
          </w:p>
        </w:tc>
        <w:tc>
          <w:tcPr>
            <w:tcW w:w="3597" w:type="dxa"/>
            <w:tcBorders>
              <w:top w:val="single" w:sz="4" w:space="0" w:color="014171"/>
              <w:bottom w:val="single" w:sz="4" w:space="0" w:color="014171"/>
            </w:tcBorders>
          </w:tcPr>
          <w:p w14:paraId="57AC3759" w14:textId="33E25AD2"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Private</w:t>
            </w:r>
          </w:p>
        </w:tc>
      </w:tr>
      <w:tr w:rsidR="008E3909" w:rsidRPr="008E3909" w14:paraId="6F454423" w14:textId="77777777" w:rsidTr="00A02BEA">
        <w:trPr>
          <w:trHeight w:val="142"/>
        </w:trPr>
        <w:tc>
          <w:tcPr>
            <w:tcW w:w="567" w:type="dxa"/>
            <w:tcBorders>
              <w:top w:val="single" w:sz="4" w:space="0" w:color="014171"/>
              <w:bottom w:val="single" w:sz="4" w:space="0" w:color="014171"/>
            </w:tcBorders>
          </w:tcPr>
          <w:p w14:paraId="485C2506" w14:textId="5E85548C"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4</w:t>
            </w:r>
          </w:p>
        </w:tc>
        <w:tc>
          <w:tcPr>
            <w:tcW w:w="5103" w:type="dxa"/>
            <w:tcBorders>
              <w:top w:val="single" w:sz="4" w:space="0" w:color="014171"/>
              <w:bottom w:val="single" w:sz="4" w:space="0" w:color="014171"/>
            </w:tcBorders>
          </w:tcPr>
          <w:p w14:paraId="120527E1" w14:textId="5FF6A7A8"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Governing law(s) of the instrument</w:t>
            </w:r>
          </w:p>
        </w:tc>
        <w:tc>
          <w:tcPr>
            <w:tcW w:w="3597" w:type="dxa"/>
            <w:tcBorders>
              <w:top w:val="single" w:sz="4" w:space="0" w:color="014171"/>
              <w:bottom w:val="single" w:sz="4" w:space="0" w:color="014171"/>
            </w:tcBorders>
          </w:tcPr>
          <w:p w14:paraId="6AD7AE44" w14:textId="0DC3088D"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German Law</w:t>
            </w:r>
          </w:p>
        </w:tc>
      </w:tr>
      <w:tr w:rsidR="008E3909" w:rsidRPr="008E3909" w14:paraId="787A0F4F" w14:textId="77777777" w:rsidTr="00A02BEA">
        <w:trPr>
          <w:trHeight w:val="142"/>
        </w:trPr>
        <w:tc>
          <w:tcPr>
            <w:tcW w:w="567" w:type="dxa"/>
            <w:tcBorders>
              <w:top w:val="single" w:sz="4" w:space="0" w:color="014171"/>
              <w:bottom w:val="single" w:sz="4" w:space="0" w:color="014171"/>
            </w:tcBorders>
          </w:tcPr>
          <w:p w14:paraId="28F792EB" w14:textId="114F9B4D"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5</w:t>
            </w:r>
          </w:p>
        </w:tc>
        <w:tc>
          <w:tcPr>
            <w:tcW w:w="5103" w:type="dxa"/>
            <w:tcBorders>
              <w:top w:val="single" w:sz="4" w:space="0" w:color="014171"/>
              <w:bottom w:val="single" w:sz="4" w:space="0" w:color="014171"/>
            </w:tcBorders>
          </w:tcPr>
          <w:p w14:paraId="3CCC0A0D" w14:textId="148ABA1E"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Instrument type (types to be specified by each jurisdiction)</w:t>
            </w:r>
          </w:p>
        </w:tc>
        <w:tc>
          <w:tcPr>
            <w:tcW w:w="3597" w:type="dxa"/>
            <w:tcBorders>
              <w:top w:val="single" w:sz="4" w:space="0" w:color="014171"/>
              <w:bottom w:val="single" w:sz="4" w:space="0" w:color="014171"/>
            </w:tcBorders>
          </w:tcPr>
          <w:p w14:paraId="7AAA75E7" w14:textId="0E2BD009"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GmbH-Shares</w:t>
            </w:r>
          </w:p>
        </w:tc>
      </w:tr>
      <w:tr w:rsidR="008E3909" w:rsidRPr="008E3909" w14:paraId="3C7DB538" w14:textId="77777777" w:rsidTr="00A02BEA">
        <w:trPr>
          <w:trHeight w:val="142"/>
        </w:trPr>
        <w:tc>
          <w:tcPr>
            <w:tcW w:w="567" w:type="dxa"/>
            <w:tcBorders>
              <w:top w:val="single" w:sz="4" w:space="0" w:color="014171"/>
              <w:bottom w:val="single" w:sz="4" w:space="0" w:color="014171"/>
            </w:tcBorders>
          </w:tcPr>
          <w:p w14:paraId="20BB5ECF" w14:textId="41FE40AE"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6</w:t>
            </w:r>
          </w:p>
        </w:tc>
        <w:tc>
          <w:tcPr>
            <w:tcW w:w="5103" w:type="dxa"/>
            <w:tcBorders>
              <w:top w:val="single" w:sz="4" w:space="0" w:color="014171"/>
              <w:bottom w:val="single" w:sz="4" w:space="0" w:color="014171"/>
            </w:tcBorders>
          </w:tcPr>
          <w:p w14:paraId="4F30F90D" w14:textId="2912BB76"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Amount recognised in regulatory capital (Currency in million, as of most recent reporting date)</w:t>
            </w:r>
          </w:p>
        </w:tc>
        <w:tc>
          <w:tcPr>
            <w:tcW w:w="3597" w:type="dxa"/>
            <w:tcBorders>
              <w:top w:val="single" w:sz="4" w:space="0" w:color="014171"/>
              <w:bottom w:val="single" w:sz="4" w:space="0" w:color="014171"/>
            </w:tcBorders>
          </w:tcPr>
          <w:p w14:paraId="24CF3700" w14:textId="5E13FFE5" w:rsidR="008E3909" w:rsidRPr="0074724B" w:rsidRDefault="00DC41F6" w:rsidP="008E3909">
            <w:pPr>
              <w:autoSpaceDE w:val="0"/>
              <w:autoSpaceDN w:val="0"/>
              <w:adjustRightInd w:val="0"/>
              <w:spacing w:after="0"/>
              <w:jc w:val="both"/>
              <w:rPr>
                <w:rFonts w:ascii="Segoe UI" w:hAnsi="Segoe UI" w:cs="Segoe UI"/>
                <w:color w:val="014171"/>
                <w:sz w:val="18"/>
                <w:szCs w:val="18"/>
                <w:lang w:eastAsia="en-GB"/>
              </w:rPr>
            </w:pPr>
            <w:r>
              <w:rPr>
                <w:rFonts w:ascii="Segoe UI" w:hAnsi="Segoe UI" w:cs="Segoe UI"/>
                <w:color w:val="014171"/>
                <w:sz w:val="18"/>
                <w:szCs w:val="18"/>
              </w:rPr>
              <w:t>EUR 35 million</w:t>
            </w:r>
          </w:p>
        </w:tc>
      </w:tr>
      <w:tr w:rsidR="008E3909" w:rsidRPr="008E3909" w14:paraId="4DDFE4C9" w14:textId="77777777" w:rsidTr="00A02BEA">
        <w:trPr>
          <w:trHeight w:val="142"/>
        </w:trPr>
        <w:tc>
          <w:tcPr>
            <w:tcW w:w="567" w:type="dxa"/>
            <w:tcBorders>
              <w:top w:val="single" w:sz="4" w:space="0" w:color="014171"/>
              <w:bottom w:val="single" w:sz="4" w:space="0" w:color="014171"/>
            </w:tcBorders>
          </w:tcPr>
          <w:p w14:paraId="2757B1BA" w14:textId="370EB4F2"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7</w:t>
            </w:r>
          </w:p>
        </w:tc>
        <w:tc>
          <w:tcPr>
            <w:tcW w:w="5103" w:type="dxa"/>
            <w:tcBorders>
              <w:top w:val="single" w:sz="4" w:space="0" w:color="014171"/>
              <w:bottom w:val="single" w:sz="4" w:space="0" w:color="014171"/>
            </w:tcBorders>
          </w:tcPr>
          <w:p w14:paraId="6A4A0775" w14:textId="4EAE57F0"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 xml:space="preserve">Nominal amount of instrument </w:t>
            </w:r>
          </w:p>
        </w:tc>
        <w:tc>
          <w:tcPr>
            <w:tcW w:w="3597" w:type="dxa"/>
            <w:tcBorders>
              <w:top w:val="single" w:sz="4" w:space="0" w:color="014171"/>
              <w:bottom w:val="single" w:sz="4" w:space="0" w:color="014171"/>
            </w:tcBorders>
          </w:tcPr>
          <w:p w14:paraId="350CFA02" w14:textId="65000CAC" w:rsidR="008E3909" w:rsidRPr="0074724B" w:rsidRDefault="00DC41F6" w:rsidP="008E3909">
            <w:pPr>
              <w:autoSpaceDE w:val="0"/>
              <w:autoSpaceDN w:val="0"/>
              <w:adjustRightInd w:val="0"/>
              <w:spacing w:after="0"/>
              <w:jc w:val="both"/>
              <w:rPr>
                <w:rFonts w:ascii="Segoe UI" w:hAnsi="Segoe UI" w:cs="Segoe UI"/>
                <w:color w:val="014171"/>
                <w:sz w:val="18"/>
                <w:szCs w:val="18"/>
                <w:lang w:eastAsia="en-GB"/>
              </w:rPr>
            </w:pPr>
            <w:r>
              <w:rPr>
                <w:rFonts w:ascii="Segoe UI" w:hAnsi="Segoe UI" w:cs="Segoe UI"/>
                <w:color w:val="014171"/>
                <w:sz w:val="18"/>
                <w:szCs w:val="18"/>
              </w:rPr>
              <w:t>EUR 35 million</w:t>
            </w:r>
          </w:p>
        </w:tc>
      </w:tr>
      <w:tr w:rsidR="008E3909" w:rsidRPr="008E3909" w14:paraId="5087BBF6" w14:textId="77777777" w:rsidTr="00A02BEA">
        <w:trPr>
          <w:trHeight w:val="142"/>
        </w:trPr>
        <w:tc>
          <w:tcPr>
            <w:tcW w:w="567" w:type="dxa"/>
            <w:tcBorders>
              <w:top w:val="single" w:sz="4" w:space="0" w:color="014171"/>
              <w:bottom w:val="single" w:sz="4" w:space="0" w:color="014171"/>
            </w:tcBorders>
          </w:tcPr>
          <w:p w14:paraId="47473ADD" w14:textId="7C5ABD70"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8</w:t>
            </w:r>
          </w:p>
        </w:tc>
        <w:tc>
          <w:tcPr>
            <w:tcW w:w="5103" w:type="dxa"/>
            <w:tcBorders>
              <w:top w:val="single" w:sz="4" w:space="0" w:color="014171"/>
              <w:bottom w:val="single" w:sz="4" w:space="0" w:color="014171"/>
            </w:tcBorders>
          </w:tcPr>
          <w:p w14:paraId="12A9FF30" w14:textId="11706343"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Issue price</w:t>
            </w:r>
          </w:p>
        </w:tc>
        <w:tc>
          <w:tcPr>
            <w:tcW w:w="3597" w:type="dxa"/>
            <w:tcBorders>
              <w:top w:val="single" w:sz="4" w:space="0" w:color="014171"/>
              <w:bottom w:val="single" w:sz="4" w:space="0" w:color="014171"/>
            </w:tcBorders>
          </w:tcPr>
          <w:p w14:paraId="1EAF922E" w14:textId="06E5976A"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48F00A5D" w14:textId="77777777" w:rsidTr="00A02BEA">
        <w:trPr>
          <w:trHeight w:val="142"/>
        </w:trPr>
        <w:tc>
          <w:tcPr>
            <w:tcW w:w="567" w:type="dxa"/>
            <w:tcBorders>
              <w:top w:val="single" w:sz="4" w:space="0" w:color="014171"/>
              <w:bottom w:val="single" w:sz="4" w:space="0" w:color="014171"/>
            </w:tcBorders>
          </w:tcPr>
          <w:p w14:paraId="50D4B697" w14:textId="42E3E31B"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9</w:t>
            </w:r>
          </w:p>
        </w:tc>
        <w:tc>
          <w:tcPr>
            <w:tcW w:w="5103" w:type="dxa"/>
            <w:tcBorders>
              <w:top w:val="single" w:sz="4" w:space="0" w:color="014171"/>
              <w:bottom w:val="single" w:sz="4" w:space="0" w:color="014171"/>
            </w:tcBorders>
          </w:tcPr>
          <w:p w14:paraId="0B6D9208" w14:textId="1F9CC959"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Redemption price</w:t>
            </w:r>
          </w:p>
        </w:tc>
        <w:tc>
          <w:tcPr>
            <w:tcW w:w="3597" w:type="dxa"/>
            <w:tcBorders>
              <w:top w:val="single" w:sz="4" w:space="0" w:color="014171"/>
              <w:bottom w:val="single" w:sz="4" w:space="0" w:color="014171"/>
            </w:tcBorders>
          </w:tcPr>
          <w:p w14:paraId="0587E1DA" w14:textId="30EE6F09"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542BB6EC" w14:textId="77777777" w:rsidTr="00A02BEA">
        <w:trPr>
          <w:trHeight w:val="142"/>
        </w:trPr>
        <w:tc>
          <w:tcPr>
            <w:tcW w:w="567" w:type="dxa"/>
            <w:tcBorders>
              <w:top w:val="single" w:sz="4" w:space="0" w:color="014171"/>
              <w:bottom w:val="single" w:sz="4" w:space="0" w:color="014171"/>
            </w:tcBorders>
          </w:tcPr>
          <w:p w14:paraId="5B5DF04C" w14:textId="24C956DE"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10</w:t>
            </w:r>
          </w:p>
        </w:tc>
        <w:tc>
          <w:tcPr>
            <w:tcW w:w="5103" w:type="dxa"/>
            <w:tcBorders>
              <w:top w:val="single" w:sz="4" w:space="0" w:color="014171"/>
              <w:bottom w:val="single" w:sz="4" w:space="0" w:color="014171"/>
            </w:tcBorders>
          </w:tcPr>
          <w:p w14:paraId="3DD875D7" w14:textId="5CE52429"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Accounting classification</w:t>
            </w:r>
          </w:p>
        </w:tc>
        <w:tc>
          <w:tcPr>
            <w:tcW w:w="3597" w:type="dxa"/>
            <w:tcBorders>
              <w:top w:val="single" w:sz="4" w:space="0" w:color="014171"/>
              <w:bottom w:val="single" w:sz="4" w:space="0" w:color="014171"/>
            </w:tcBorders>
          </w:tcPr>
          <w:p w14:paraId="342D97F7" w14:textId="46268895"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Share capital</w:t>
            </w:r>
          </w:p>
        </w:tc>
      </w:tr>
      <w:tr w:rsidR="008E3909" w:rsidRPr="008E3909" w14:paraId="2B91E1B7" w14:textId="77777777" w:rsidTr="00A02BEA">
        <w:trPr>
          <w:trHeight w:val="142"/>
        </w:trPr>
        <w:tc>
          <w:tcPr>
            <w:tcW w:w="567" w:type="dxa"/>
            <w:tcBorders>
              <w:top w:val="single" w:sz="4" w:space="0" w:color="014171"/>
              <w:bottom w:val="single" w:sz="4" w:space="0" w:color="014171"/>
            </w:tcBorders>
          </w:tcPr>
          <w:p w14:paraId="271E6CD8" w14:textId="11F80789"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11</w:t>
            </w:r>
          </w:p>
        </w:tc>
        <w:tc>
          <w:tcPr>
            <w:tcW w:w="5103" w:type="dxa"/>
            <w:tcBorders>
              <w:top w:val="single" w:sz="4" w:space="0" w:color="014171"/>
              <w:bottom w:val="single" w:sz="4" w:space="0" w:color="014171"/>
            </w:tcBorders>
          </w:tcPr>
          <w:p w14:paraId="554254E9" w14:textId="5DA92803"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Original date of issuance</w:t>
            </w:r>
          </w:p>
        </w:tc>
        <w:tc>
          <w:tcPr>
            <w:tcW w:w="3597" w:type="dxa"/>
            <w:tcBorders>
              <w:top w:val="single" w:sz="4" w:space="0" w:color="014171"/>
              <w:bottom w:val="single" w:sz="4" w:space="0" w:color="014171"/>
            </w:tcBorders>
          </w:tcPr>
          <w:p w14:paraId="6CC0628E" w14:textId="4F528D93"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30/07/2018</w:t>
            </w:r>
          </w:p>
        </w:tc>
      </w:tr>
      <w:tr w:rsidR="008E3909" w:rsidRPr="008E3909" w14:paraId="513937D0" w14:textId="77777777" w:rsidTr="00A02BEA">
        <w:trPr>
          <w:trHeight w:val="142"/>
        </w:trPr>
        <w:tc>
          <w:tcPr>
            <w:tcW w:w="567" w:type="dxa"/>
            <w:tcBorders>
              <w:top w:val="single" w:sz="4" w:space="0" w:color="014171"/>
              <w:bottom w:val="single" w:sz="4" w:space="0" w:color="014171"/>
            </w:tcBorders>
          </w:tcPr>
          <w:p w14:paraId="45CC4FA3" w14:textId="6431F9C3"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12</w:t>
            </w:r>
          </w:p>
        </w:tc>
        <w:tc>
          <w:tcPr>
            <w:tcW w:w="5103" w:type="dxa"/>
            <w:tcBorders>
              <w:top w:val="single" w:sz="4" w:space="0" w:color="014171"/>
              <w:bottom w:val="single" w:sz="4" w:space="0" w:color="014171"/>
            </w:tcBorders>
          </w:tcPr>
          <w:p w14:paraId="4A180A8A" w14:textId="3D70E33E"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Perpetual or dated</w:t>
            </w:r>
          </w:p>
        </w:tc>
        <w:tc>
          <w:tcPr>
            <w:tcW w:w="3597" w:type="dxa"/>
            <w:tcBorders>
              <w:top w:val="single" w:sz="4" w:space="0" w:color="014171"/>
              <w:bottom w:val="single" w:sz="4" w:space="0" w:color="014171"/>
            </w:tcBorders>
          </w:tcPr>
          <w:p w14:paraId="1759204F" w14:textId="2D0E2B40"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Perpetual</w:t>
            </w:r>
          </w:p>
        </w:tc>
      </w:tr>
      <w:tr w:rsidR="008E3909" w:rsidRPr="008E3909" w14:paraId="2F20FECC" w14:textId="77777777" w:rsidTr="00A02BEA">
        <w:trPr>
          <w:trHeight w:val="142"/>
        </w:trPr>
        <w:tc>
          <w:tcPr>
            <w:tcW w:w="567" w:type="dxa"/>
            <w:tcBorders>
              <w:top w:val="single" w:sz="4" w:space="0" w:color="014171"/>
              <w:bottom w:val="single" w:sz="4" w:space="0" w:color="014171"/>
            </w:tcBorders>
          </w:tcPr>
          <w:p w14:paraId="09453DF4" w14:textId="602EFD13"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13</w:t>
            </w:r>
          </w:p>
        </w:tc>
        <w:tc>
          <w:tcPr>
            <w:tcW w:w="5103" w:type="dxa"/>
            <w:tcBorders>
              <w:top w:val="single" w:sz="4" w:space="0" w:color="014171"/>
              <w:bottom w:val="single" w:sz="4" w:space="0" w:color="014171"/>
            </w:tcBorders>
          </w:tcPr>
          <w:p w14:paraId="40667CA0" w14:textId="2ECA876F"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 xml:space="preserve">Original maturity date </w:t>
            </w:r>
          </w:p>
        </w:tc>
        <w:tc>
          <w:tcPr>
            <w:tcW w:w="3597" w:type="dxa"/>
            <w:tcBorders>
              <w:top w:val="single" w:sz="4" w:space="0" w:color="014171"/>
              <w:bottom w:val="single" w:sz="4" w:space="0" w:color="014171"/>
            </w:tcBorders>
          </w:tcPr>
          <w:p w14:paraId="36C7EECD" w14:textId="139E10D7"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No maturity</w:t>
            </w:r>
          </w:p>
        </w:tc>
      </w:tr>
      <w:tr w:rsidR="008E3909" w:rsidRPr="008E3909" w14:paraId="3D3A0C1D" w14:textId="77777777" w:rsidTr="00A02BEA">
        <w:trPr>
          <w:trHeight w:val="142"/>
        </w:trPr>
        <w:tc>
          <w:tcPr>
            <w:tcW w:w="567" w:type="dxa"/>
            <w:tcBorders>
              <w:top w:val="single" w:sz="4" w:space="0" w:color="014171"/>
              <w:bottom w:val="single" w:sz="4" w:space="0" w:color="014171"/>
            </w:tcBorders>
          </w:tcPr>
          <w:p w14:paraId="3118DFC2" w14:textId="172D6022"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14</w:t>
            </w:r>
          </w:p>
        </w:tc>
        <w:tc>
          <w:tcPr>
            <w:tcW w:w="5103" w:type="dxa"/>
            <w:tcBorders>
              <w:top w:val="single" w:sz="4" w:space="0" w:color="014171"/>
              <w:bottom w:val="single" w:sz="4" w:space="0" w:color="014171"/>
            </w:tcBorders>
          </w:tcPr>
          <w:p w14:paraId="224CEE32" w14:textId="2ABA72DC"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Issuer call subject to prior supervisory approval</w:t>
            </w:r>
          </w:p>
        </w:tc>
        <w:tc>
          <w:tcPr>
            <w:tcW w:w="3597" w:type="dxa"/>
            <w:tcBorders>
              <w:top w:val="single" w:sz="4" w:space="0" w:color="014171"/>
              <w:bottom w:val="single" w:sz="4" w:space="0" w:color="014171"/>
            </w:tcBorders>
          </w:tcPr>
          <w:p w14:paraId="7C5AAA09" w14:textId="31F8D2BC"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No</w:t>
            </w:r>
          </w:p>
        </w:tc>
      </w:tr>
      <w:tr w:rsidR="008E3909" w:rsidRPr="008E3909" w14:paraId="63B8F27F" w14:textId="77777777" w:rsidTr="00A02BEA">
        <w:trPr>
          <w:trHeight w:val="142"/>
        </w:trPr>
        <w:tc>
          <w:tcPr>
            <w:tcW w:w="567" w:type="dxa"/>
            <w:tcBorders>
              <w:top w:val="single" w:sz="4" w:space="0" w:color="014171"/>
              <w:bottom w:val="single" w:sz="4" w:space="0" w:color="014171"/>
            </w:tcBorders>
          </w:tcPr>
          <w:p w14:paraId="3960795A" w14:textId="32C4400B"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15</w:t>
            </w:r>
          </w:p>
        </w:tc>
        <w:tc>
          <w:tcPr>
            <w:tcW w:w="5103" w:type="dxa"/>
            <w:tcBorders>
              <w:top w:val="single" w:sz="4" w:space="0" w:color="014171"/>
              <w:bottom w:val="single" w:sz="4" w:space="0" w:color="014171"/>
            </w:tcBorders>
          </w:tcPr>
          <w:p w14:paraId="451C44A4" w14:textId="4DD52AFA"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 xml:space="preserve">Optional call date, contingent call dates and redemption amount </w:t>
            </w:r>
          </w:p>
        </w:tc>
        <w:tc>
          <w:tcPr>
            <w:tcW w:w="3597" w:type="dxa"/>
            <w:tcBorders>
              <w:top w:val="single" w:sz="4" w:space="0" w:color="014171"/>
              <w:bottom w:val="single" w:sz="4" w:space="0" w:color="014171"/>
            </w:tcBorders>
          </w:tcPr>
          <w:p w14:paraId="68822456" w14:textId="31B94CD7"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30837D18" w14:textId="77777777" w:rsidTr="00A02BEA">
        <w:trPr>
          <w:trHeight w:val="142"/>
        </w:trPr>
        <w:tc>
          <w:tcPr>
            <w:tcW w:w="567" w:type="dxa"/>
            <w:tcBorders>
              <w:top w:val="single" w:sz="4" w:space="0" w:color="014171"/>
              <w:bottom w:val="single" w:sz="4" w:space="0" w:color="014171"/>
            </w:tcBorders>
          </w:tcPr>
          <w:p w14:paraId="2C92A3F1" w14:textId="401ABB61"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16</w:t>
            </w:r>
          </w:p>
        </w:tc>
        <w:tc>
          <w:tcPr>
            <w:tcW w:w="5103" w:type="dxa"/>
            <w:tcBorders>
              <w:top w:val="single" w:sz="4" w:space="0" w:color="014171"/>
              <w:bottom w:val="single" w:sz="4" w:space="0" w:color="014171"/>
            </w:tcBorders>
          </w:tcPr>
          <w:p w14:paraId="10A82FF7" w14:textId="05DE967C"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Subsequent call dates, if applicable</w:t>
            </w:r>
          </w:p>
        </w:tc>
        <w:tc>
          <w:tcPr>
            <w:tcW w:w="3597" w:type="dxa"/>
            <w:tcBorders>
              <w:top w:val="single" w:sz="4" w:space="0" w:color="014171"/>
              <w:bottom w:val="single" w:sz="4" w:space="0" w:color="014171"/>
            </w:tcBorders>
          </w:tcPr>
          <w:p w14:paraId="1F44E149" w14:textId="2CC5A614"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776ADF" w14:paraId="3CC8250C" w14:textId="77777777" w:rsidTr="00A02BEA">
        <w:trPr>
          <w:trHeight w:val="142"/>
        </w:trPr>
        <w:tc>
          <w:tcPr>
            <w:tcW w:w="567" w:type="dxa"/>
            <w:tcBorders>
              <w:top w:val="single" w:sz="4" w:space="0" w:color="014171"/>
              <w:bottom w:val="single" w:sz="4" w:space="0" w:color="014171"/>
            </w:tcBorders>
          </w:tcPr>
          <w:p w14:paraId="5F365E27" w14:textId="77777777" w:rsidR="008E3909" w:rsidRPr="00A02BEA" w:rsidRDefault="008E3909" w:rsidP="008E3909">
            <w:pPr>
              <w:autoSpaceDE w:val="0"/>
              <w:autoSpaceDN w:val="0"/>
              <w:adjustRightInd w:val="0"/>
              <w:spacing w:after="0"/>
              <w:jc w:val="both"/>
              <w:rPr>
                <w:rFonts w:ascii="Segoe UI" w:hAnsi="Segoe UI" w:cs="Segoe UI"/>
                <w:b/>
                <w:color w:val="014171"/>
                <w:sz w:val="18"/>
                <w:szCs w:val="18"/>
                <w:lang w:eastAsia="en-GB"/>
              </w:rPr>
            </w:pPr>
          </w:p>
        </w:tc>
        <w:tc>
          <w:tcPr>
            <w:tcW w:w="5103" w:type="dxa"/>
            <w:tcBorders>
              <w:top w:val="single" w:sz="4" w:space="0" w:color="014171"/>
              <w:bottom w:val="single" w:sz="4" w:space="0" w:color="014171"/>
            </w:tcBorders>
          </w:tcPr>
          <w:p w14:paraId="43C6E80B" w14:textId="7FB37D76" w:rsidR="008E3909" w:rsidRPr="00A02BEA" w:rsidRDefault="00776ADF" w:rsidP="008E3909">
            <w:pPr>
              <w:autoSpaceDE w:val="0"/>
              <w:autoSpaceDN w:val="0"/>
              <w:adjustRightInd w:val="0"/>
              <w:spacing w:after="0"/>
              <w:jc w:val="both"/>
              <w:rPr>
                <w:rFonts w:ascii="Segoe UI" w:hAnsi="Segoe UI" w:cs="Segoe UI"/>
                <w:b/>
                <w:color w:val="014171"/>
                <w:sz w:val="18"/>
                <w:szCs w:val="18"/>
              </w:rPr>
            </w:pPr>
            <w:r w:rsidRPr="00A02BEA">
              <w:rPr>
                <w:rFonts w:ascii="Segoe UI" w:hAnsi="Segoe UI" w:cs="Segoe UI"/>
                <w:b/>
                <w:color w:val="014171"/>
                <w:sz w:val="18"/>
                <w:szCs w:val="18"/>
              </w:rPr>
              <w:t>Coupons / D</w:t>
            </w:r>
            <w:r w:rsidR="008E3909" w:rsidRPr="00A02BEA">
              <w:rPr>
                <w:rFonts w:ascii="Segoe UI" w:hAnsi="Segoe UI" w:cs="Segoe UI"/>
                <w:b/>
                <w:color w:val="014171"/>
                <w:sz w:val="18"/>
                <w:szCs w:val="18"/>
              </w:rPr>
              <w:t>ividends</w:t>
            </w:r>
          </w:p>
        </w:tc>
        <w:tc>
          <w:tcPr>
            <w:tcW w:w="3597" w:type="dxa"/>
            <w:tcBorders>
              <w:top w:val="single" w:sz="4" w:space="0" w:color="014171"/>
              <w:bottom w:val="single" w:sz="4" w:space="0" w:color="014171"/>
            </w:tcBorders>
          </w:tcPr>
          <w:p w14:paraId="40C0BAB9" w14:textId="77777777" w:rsidR="008E3909" w:rsidRPr="00A02BEA" w:rsidRDefault="008E3909" w:rsidP="008E3909">
            <w:pPr>
              <w:autoSpaceDE w:val="0"/>
              <w:autoSpaceDN w:val="0"/>
              <w:adjustRightInd w:val="0"/>
              <w:spacing w:after="0"/>
              <w:jc w:val="both"/>
              <w:rPr>
                <w:rFonts w:ascii="Segoe UI" w:hAnsi="Segoe UI" w:cs="Segoe UI"/>
                <w:b/>
                <w:color w:val="014171"/>
                <w:sz w:val="18"/>
                <w:szCs w:val="18"/>
                <w:lang w:eastAsia="en-GB"/>
              </w:rPr>
            </w:pPr>
          </w:p>
        </w:tc>
      </w:tr>
      <w:tr w:rsidR="008E3909" w:rsidRPr="008E3909" w14:paraId="417C43F6" w14:textId="77777777" w:rsidTr="00A02BEA">
        <w:trPr>
          <w:trHeight w:val="142"/>
        </w:trPr>
        <w:tc>
          <w:tcPr>
            <w:tcW w:w="567" w:type="dxa"/>
            <w:tcBorders>
              <w:top w:val="single" w:sz="4" w:space="0" w:color="014171"/>
              <w:bottom w:val="single" w:sz="4" w:space="0" w:color="014171"/>
            </w:tcBorders>
          </w:tcPr>
          <w:p w14:paraId="050D8184" w14:textId="636E854B"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17</w:t>
            </w:r>
          </w:p>
        </w:tc>
        <w:tc>
          <w:tcPr>
            <w:tcW w:w="5103" w:type="dxa"/>
            <w:tcBorders>
              <w:top w:val="single" w:sz="4" w:space="0" w:color="014171"/>
              <w:bottom w:val="single" w:sz="4" w:space="0" w:color="014171"/>
            </w:tcBorders>
          </w:tcPr>
          <w:p w14:paraId="722E671D" w14:textId="74FA90FC"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 xml:space="preserve">Fixed or floating dividend/coupon </w:t>
            </w:r>
          </w:p>
        </w:tc>
        <w:tc>
          <w:tcPr>
            <w:tcW w:w="3597" w:type="dxa"/>
            <w:tcBorders>
              <w:top w:val="single" w:sz="4" w:space="0" w:color="014171"/>
              <w:bottom w:val="single" w:sz="4" w:space="0" w:color="014171"/>
            </w:tcBorders>
          </w:tcPr>
          <w:p w14:paraId="7936AC48" w14:textId="35811C2B"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None</w:t>
            </w:r>
          </w:p>
        </w:tc>
      </w:tr>
      <w:tr w:rsidR="008E3909" w:rsidRPr="008E3909" w14:paraId="086A4562" w14:textId="77777777" w:rsidTr="00A02BEA">
        <w:trPr>
          <w:trHeight w:val="142"/>
        </w:trPr>
        <w:tc>
          <w:tcPr>
            <w:tcW w:w="567" w:type="dxa"/>
            <w:tcBorders>
              <w:top w:val="single" w:sz="4" w:space="0" w:color="014171"/>
              <w:bottom w:val="single" w:sz="4" w:space="0" w:color="014171"/>
            </w:tcBorders>
          </w:tcPr>
          <w:p w14:paraId="61F333A3" w14:textId="1A18EC29"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18</w:t>
            </w:r>
          </w:p>
        </w:tc>
        <w:tc>
          <w:tcPr>
            <w:tcW w:w="5103" w:type="dxa"/>
            <w:tcBorders>
              <w:top w:val="single" w:sz="4" w:space="0" w:color="014171"/>
              <w:bottom w:val="single" w:sz="4" w:space="0" w:color="014171"/>
            </w:tcBorders>
          </w:tcPr>
          <w:p w14:paraId="4A10E86E" w14:textId="4B991B3E"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 xml:space="preserve">Coupon rate and any related index </w:t>
            </w:r>
          </w:p>
        </w:tc>
        <w:tc>
          <w:tcPr>
            <w:tcW w:w="3597" w:type="dxa"/>
            <w:tcBorders>
              <w:top w:val="single" w:sz="4" w:space="0" w:color="014171"/>
              <w:bottom w:val="single" w:sz="4" w:space="0" w:color="014171"/>
            </w:tcBorders>
          </w:tcPr>
          <w:p w14:paraId="05B1933D" w14:textId="35225B5D"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2FF162FA" w14:textId="77777777" w:rsidTr="00A02BEA">
        <w:trPr>
          <w:trHeight w:val="142"/>
        </w:trPr>
        <w:tc>
          <w:tcPr>
            <w:tcW w:w="567" w:type="dxa"/>
            <w:tcBorders>
              <w:top w:val="single" w:sz="4" w:space="0" w:color="014171"/>
              <w:bottom w:val="single" w:sz="4" w:space="0" w:color="014171"/>
            </w:tcBorders>
          </w:tcPr>
          <w:p w14:paraId="69959D5A" w14:textId="69A55225"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19</w:t>
            </w:r>
          </w:p>
        </w:tc>
        <w:tc>
          <w:tcPr>
            <w:tcW w:w="5103" w:type="dxa"/>
            <w:tcBorders>
              <w:top w:val="single" w:sz="4" w:space="0" w:color="014171"/>
              <w:bottom w:val="single" w:sz="4" w:space="0" w:color="014171"/>
            </w:tcBorders>
          </w:tcPr>
          <w:p w14:paraId="2BC26348" w14:textId="4BB6F190"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 xml:space="preserve">Existence of a dividend stopper </w:t>
            </w:r>
          </w:p>
        </w:tc>
        <w:tc>
          <w:tcPr>
            <w:tcW w:w="3597" w:type="dxa"/>
            <w:tcBorders>
              <w:top w:val="single" w:sz="4" w:space="0" w:color="014171"/>
              <w:bottom w:val="single" w:sz="4" w:space="0" w:color="014171"/>
            </w:tcBorders>
          </w:tcPr>
          <w:p w14:paraId="5B6795F9" w14:textId="0217CC0A"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072F5C04" w14:textId="77777777" w:rsidTr="00A02BEA">
        <w:trPr>
          <w:trHeight w:val="142"/>
        </w:trPr>
        <w:tc>
          <w:tcPr>
            <w:tcW w:w="567" w:type="dxa"/>
            <w:tcBorders>
              <w:top w:val="single" w:sz="4" w:space="0" w:color="014171"/>
              <w:bottom w:val="single" w:sz="4" w:space="0" w:color="014171"/>
            </w:tcBorders>
          </w:tcPr>
          <w:p w14:paraId="28F834B5" w14:textId="5E71CB22"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20</w:t>
            </w:r>
          </w:p>
        </w:tc>
        <w:tc>
          <w:tcPr>
            <w:tcW w:w="5103" w:type="dxa"/>
            <w:tcBorders>
              <w:top w:val="single" w:sz="4" w:space="0" w:color="014171"/>
              <w:bottom w:val="single" w:sz="4" w:space="0" w:color="014171"/>
            </w:tcBorders>
          </w:tcPr>
          <w:p w14:paraId="550AD4D3" w14:textId="445E0B90"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Fully discretionary, partially discretionary or mandatory (in terms of timing)</w:t>
            </w:r>
          </w:p>
        </w:tc>
        <w:tc>
          <w:tcPr>
            <w:tcW w:w="3597" w:type="dxa"/>
            <w:tcBorders>
              <w:top w:val="single" w:sz="4" w:space="0" w:color="014171"/>
              <w:bottom w:val="single" w:sz="4" w:space="0" w:color="014171"/>
            </w:tcBorders>
          </w:tcPr>
          <w:p w14:paraId="1B939106" w14:textId="65FB5986"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Fully discretionary</w:t>
            </w:r>
          </w:p>
        </w:tc>
      </w:tr>
      <w:tr w:rsidR="008E3909" w:rsidRPr="008E3909" w14:paraId="2932AAE1" w14:textId="77777777" w:rsidTr="00A02BEA">
        <w:trPr>
          <w:trHeight w:val="142"/>
        </w:trPr>
        <w:tc>
          <w:tcPr>
            <w:tcW w:w="567" w:type="dxa"/>
            <w:tcBorders>
              <w:top w:val="single" w:sz="4" w:space="0" w:color="014171"/>
              <w:bottom w:val="single" w:sz="4" w:space="0" w:color="014171"/>
            </w:tcBorders>
          </w:tcPr>
          <w:p w14:paraId="79265545" w14:textId="25F5F6FA"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21</w:t>
            </w:r>
          </w:p>
        </w:tc>
        <w:tc>
          <w:tcPr>
            <w:tcW w:w="5103" w:type="dxa"/>
            <w:tcBorders>
              <w:top w:val="single" w:sz="4" w:space="0" w:color="014171"/>
              <w:bottom w:val="single" w:sz="4" w:space="0" w:color="014171"/>
            </w:tcBorders>
          </w:tcPr>
          <w:p w14:paraId="4EA23A71" w14:textId="66EE5C84"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Fully discretionary, partially discretionary or mandatory (in terms of amount)</w:t>
            </w:r>
          </w:p>
        </w:tc>
        <w:tc>
          <w:tcPr>
            <w:tcW w:w="3597" w:type="dxa"/>
            <w:tcBorders>
              <w:top w:val="single" w:sz="4" w:space="0" w:color="014171"/>
              <w:bottom w:val="single" w:sz="4" w:space="0" w:color="014171"/>
            </w:tcBorders>
          </w:tcPr>
          <w:p w14:paraId="40A8DCFD" w14:textId="76A644DE"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Fully discretionary</w:t>
            </w:r>
          </w:p>
        </w:tc>
      </w:tr>
      <w:tr w:rsidR="008E3909" w:rsidRPr="008E3909" w14:paraId="6D60FB27" w14:textId="77777777" w:rsidTr="00A02BEA">
        <w:trPr>
          <w:trHeight w:val="142"/>
        </w:trPr>
        <w:tc>
          <w:tcPr>
            <w:tcW w:w="567" w:type="dxa"/>
            <w:tcBorders>
              <w:top w:val="single" w:sz="4" w:space="0" w:color="014171"/>
              <w:bottom w:val="single" w:sz="4" w:space="0" w:color="014171"/>
            </w:tcBorders>
          </w:tcPr>
          <w:p w14:paraId="77C52C91" w14:textId="57B464A1"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22</w:t>
            </w:r>
          </w:p>
        </w:tc>
        <w:tc>
          <w:tcPr>
            <w:tcW w:w="5103" w:type="dxa"/>
            <w:tcBorders>
              <w:top w:val="single" w:sz="4" w:space="0" w:color="014171"/>
              <w:bottom w:val="single" w:sz="4" w:space="0" w:color="014171"/>
            </w:tcBorders>
          </w:tcPr>
          <w:p w14:paraId="624BBA79" w14:textId="61601F8C"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Existence of step up or other incentive to redeem</w:t>
            </w:r>
          </w:p>
        </w:tc>
        <w:tc>
          <w:tcPr>
            <w:tcW w:w="3597" w:type="dxa"/>
            <w:tcBorders>
              <w:top w:val="single" w:sz="4" w:space="0" w:color="014171"/>
              <w:bottom w:val="single" w:sz="4" w:space="0" w:color="014171"/>
            </w:tcBorders>
          </w:tcPr>
          <w:p w14:paraId="0E3DA148" w14:textId="63ACEBA9"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54D305A3" w14:textId="77777777" w:rsidTr="00A02BEA">
        <w:trPr>
          <w:trHeight w:val="142"/>
        </w:trPr>
        <w:tc>
          <w:tcPr>
            <w:tcW w:w="567" w:type="dxa"/>
            <w:tcBorders>
              <w:top w:val="single" w:sz="4" w:space="0" w:color="014171"/>
              <w:bottom w:val="single" w:sz="4" w:space="0" w:color="014171"/>
            </w:tcBorders>
          </w:tcPr>
          <w:p w14:paraId="0A91B14A" w14:textId="7AE690FA"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23</w:t>
            </w:r>
          </w:p>
        </w:tc>
        <w:tc>
          <w:tcPr>
            <w:tcW w:w="5103" w:type="dxa"/>
            <w:tcBorders>
              <w:top w:val="single" w:sz="4" w:space="0" w:color="014171"/>
              <w:bottom w:val="single" w:sz="4" w:space="0" w:color="014171"/>
            </w:tcBorders>
          </w:tcPr>
          <w:p w14:paraId="124B1650" w14:textId="3FA737C5"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Noncumulative or cumulative</w:t>
            </w:r>
          </w:p>
        </w:tc>
        <w:tc>
          <w:tcPr>
            <w:tcW w:w="3597" w:type="dxa"/>
            <w:tcBorders>
              <w:top w:val="single" w:sz="4" w:space="0" w:color="014171"/>
              <w:bottom w:val="single" w:sz="4" w:space="0" w:color="014171"/>
            </w:tcBorders>
          </w:tcPr>
          <w:p w14:paraId="65A3B7E7" w14:textId="7BD9ABB3"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0C413828" w14:textId="77777777" w:rsidTr="00A02BEA">
        <w:trPr>
          <w:trHeight w:val="142"/>
        </w:trPr>
        <w:tc>
          <w:tcPr>
            <w:tcW w:w="567" w:type="dxa"/>
            <w:tcBorders>
              <w:top w:val="single" w:sz="4" w:space="0" w:color="014171"/>
              <w:bottom w:val="single" w:sz="4" w:space="0" w:color="014171"/>
            </w:tcBorders>
          </w:tcPr>
          <w:p w14:paraId="52E52B06" w14:textId="3554A048"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24</w:t>
            </w:r>
          </w:p>
        </w:tc>
        <w:tc>
          <w:tcPr>
            <w:tcW w:w="5103" w:type="dxa"/>
            <w:tcBorders>
              <w:top w:val="single" w:sz="4" w:space="0" w:color="014171"/>
              <w:bottom w:val="single" w:sz="4" w:space="0" w:color="014171"/>
            </w:tcBorders>
          </w:tcPr>
          <w:p w14:paraId="3CB072A7" w14:textId="0D13485A"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Convertible or non-convertible</w:t>
            </w:r>
          </w:p>
        </w:tc>
        <w:tc>
          <w:tcPr>
            <w:tcW w:w="3597" w:type="dxa"/>
            <w:tcBorders>
              <w:top w:val="single" w:sz="4" w:space="0" w:color="014171"/>
              <w:bottom w:val="single" w:sz="4" w:space="0" w:color="014171"/>
            </w:tcBorders>
          </w:tcPr>
          <w:p w14:paraId="582B329B" w14:textId="689CF526"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Non-convertible</w:t>
            </w:r>
          </w:p>
        </w:tc>
      </w:tr>
      <w:tr w:rsidR="008E3909" w:rsidRPr="008E3909" w14:paraId="30D3A5F7" w14:textId="77777777" w:rsidTr="00A02BEA">
        <w:trPr>
          <w:trHeight w:val="142"/>
        </w:trPr>
        <w:tc>
          <w:tcPr>
            <w:tcW w:w="567" w:type="dxa"/>
            <w:tcBorders>
              <w:top w:val="single" w:sz="4" w:space="0" w:color="014171"/>
              <w:bottom w:val="single" w:sz="4" w:space="0" w:color="014171"/>
            </w:tcBorders>
          </w:tcPr>
          <w:p w14:paraId="00109F6B" w14:textId="0680E5A0"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25</w:t>
            </w:r>
          </w:p>
        </w:tc>
        <w:tc>
          <w:tcPr>
            <w:tcW w:w="5103" w:type="dxa"/>
            <w:tcBorders>
              <w:top w:val="single" w:sz="4" w:space="0" w:color="014171"/>
              <w:bottom w:val="single" w:sz="4" w:space="0" w:color="014171"/>
            </w:tcBorders>
          </w:tcPr>
          <w:p w14:paraId="18C08D5C" w14:textId="37CB589F"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convertible, conversion trigger(s)</w:t>
            </w:r>
          </w:p>
        </w:tc>
        <w:tc>
          <w:tcPr>
            <w:tcW w:w="3597" w:type="dxa"/>
            <w:tcBorders>
              <w:top w:val="single" w:sz="4" w:space="0" w:color="014171"/>
              <w:bottom w:val="single" w:sz="4" w:space="0" w:color="014171"/>
            </w:tcBorders>
          </w:tcPr>
          <w:p w14:paraId="2DFBD2D3" w14:textId="6875AE36"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66927A65" w14:textId="77777777" w:rsidTr="00A02BEA">
        <w:trPr>
          <w:trHeight w:val="142"/>
        </w:trPr>
        <w:tc>
          <w:tcPr>
            <w:tcW w:w="567" w:type="dxa"/>
            <w:tcBorders>
              <w:top w:val="single" w:sz="4" w:space="0" w:color="014171"/>
              <w:bottom w:val="single" w:sz="4" w:space="0" w:color="014171"/>
            </w:tcBorders>
          </w:tcPr>
          <w:p w14:paraId="56B8899A" w14:textId="5C18CDE8"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26</w:t>
            </w:r>
          </w:p>
        </w:tc>
        <w:tc>
          <w:tcPr>
            <w:tcW w:w="5103" w:type="dxa"/>
            <w:tcBorders>
              <w:top w:val="single" w:sz="4" w:space="0" w:color="014171"/>
              <w:bottom w:val="single" w:sz="4" w:space="0" w:color="014171"/>
            </w:tcBorders>
          </w:tcPr>
          <w:p w14:paraId="0083B928" w14:textId="0F13A0E2"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convertible, fully or partially</w:t>
            </w:r>
          </w:p>
        </w:tc>
        <w:tc>
          <w:tcPr>
            <w:tcW w:w="3597" w:type="dxa"/>
            <w:tcBorders>
              <w:top w:val="single" w:sz="4" w:space="0" w:color="014171"/>
              <w:bottom w:val="single" w:sz="4" w:space="0" w:color="014171"/>
            </w:tcBorders>
          </w:tcPr>
          <w:p w14:paraId="5862EFB3" w14:textId="05A92DAE"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7CAB5A8F" w14:textId="77777777" w:rsidTr="00A02BEA">
        <w:trPr>
          <w:trHeight w:val="142"/>
        </w:trPr>
        <w:tc>
          <w:tcPr>
            <w:tcW w:w="567" w:type="dxa"/>
            <w:tcBorders>
              <w:top w:val="single" w:sz="4" w:space="0" w:color="014171"/>
              <w:bottom w:val="single" w:sz="4" w:space="0" w:color="014171"/>
            </w:tcBorders>
          </w:tcPr>
          <w:p w14:paraId="246F318A" w14:textId="2871642D"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27</w:t>
            </w:r>
          </w:p>
        </w:tc>
        <w:tc>
          <w:tcPr>
            <w:tcW w:w="5103" w:type="dxa"/>
            <w:tcBorders>
              <w:top w:val="single" w:sz="4" w:space="0" w:color="014171"/>
              <w:bottom w:val="single" w:sz="4" w:space="0" w:color="014171"/>
            </w:tcBorders>
          </w:tcPr>
          <w:p w14:paraId="58CC4EAD" w14:textId="7F0FBEC3"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convertible, conversion rate</w:t>
            </w:r>
          </w:p>
        </w:tc>
        <w:tc>
          <w:tcPr>
            <w:tcW w:w="3597" w:type="dxa"/>
            <w:tcBorders>
              <w:top w:val="single" w:sz="4" w:space="0" w:color="014171"/>
              <w:bottom w:val="single" w:sz="4" w:space="0" w:color="014171"/>
            </w:tcBorders>
          </w:tcPr>
          <w:p w14:paraId="30F330FE" w14:textId="464A1A71"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289503D2" w14:textId="77777777" w:rsidTr="00A02BEA">
        <w:trPr>
          <w:trHeight w:val="142"/>
        </w:trPr>
        <w:tc>
          <w:tcPr>
            <w:tcW w:w="567" w:type="dxa"/>
            <w:tcBorders>
              <w:top w:val="single" w:sz="4" w:space="0" w:color="014171"/>
              <w:bottom w:val="single" w:sz="4" w:space="0" w:color="014171"/>
            </w:tcBorders>
          </w:tcPr>
          <w:p w14:paraId="202CB3CC" w14:textId="311CFAF9"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28</w:t>
            </w:r>
          </w:p>
        </w:tc>
        <w:tc>
          <w:tcPr>
            <w:tcW w:w="5103" w:type="dxa"/>
            <w:tcBorders>
              <w:top w:val="single" w:sz="4" w:space="0" w:color="014171"/>
              <w:bottom w:val="single" w:sz="4" w:space="0" w:color="014171"/>
            </w:tcBorders>
          </w:tcPr>
          <w:p w14:paraId="6DFA6B4E" w14:textId="1A1635AE"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convertible, mandatory or optional conversion</w:t>
            </w:r>
          </w:p>
        </w:tc>
        <w:tc>
          <w:tcPr>
            <w:tcW w:w="3597" w:type="dxa"/>
            <w:tcBorders>
              <w:top w:val="single" w:sz="4" w:space="0" w:color="014171"/>
              <w:bottom w:val="single" w:sz="4" w:space="0" w:color="014171"/>
            </w:tcBorders>
          </w:tcPr>
          <w:p w14:paraId="3AF37324" w14:textId="23E53DAA"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7A63FFD1" w14:textId="77777777" w:rsidTr="00A02BEA">
        <w:trPr>
          <w:trHeight w:val="142"/>
        </w:trPr>
        <w:tc>
          <w:tcPr>
            <w:tcW w:w="567" w:type="dxa"/>
            <w:tcBorders>
              <w:top w:val="single" w:sz="4" w:space="0" w:color="014171"/>
              <w:bottom w:val="single" w:sz="4" w:space="0" w:color="014171"/>
            </w:tcBorders>
          </w:tcPr>
          <w:p w14:paraId="483945E5" w14:textId="05A03C23"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29</w:t>
            </w:r>
          </w:p>
        </w:tc>
        <w:tc>
          <w:tcPr>
            <w:tcW w:w="5103" w:type="dxa"/>
            <w:tcBorders>
              <w:top w:val="single" w:sz="4" w:space="0" w:color="014171"/>
              <w:bottom w:val="single" w:sz="4" w:space="0" w:color="014171"/>
            </w:tcBorders>
          </w:tcPr>
          <w:p w14:paraId="583B4EC3" w14:textId="61160AFB"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convertible, specify instrument type convertible into</w:t>
            </w:r>
          </w:p>
        </w:tc>
        <w:tc>
          <w:tcPr>
            <w:tcW w:w="3597" w:type="dxa"/>
            <w:tcBorders>
              <w:top w:val="single" w:sz="4" w:space="0" w:color="014171"/>
              <w:bottom w:val="single" w:sz="4" w:space="0" w:color="014171"/>
            </w:tcBorders>
          </w:tcPr>
          <w:p w14:paraId="7649703E" w14:textId="2C7B69B7"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4CCABCF5" w14:textId="77777777" w:rsidTr="00A02BEA">
        <w:trPr>
          <w:trHeight w:val="142"/>
        </w:trPr>
        <w:tc>
          <w:tcPr>
            <w:tcW w:w="567" w:type="dxa"/>
            <w:tcBorders>
              <w:top w:val="single" w:sz="4" w:space="0" w:color="014171"/>
              <w:bottom w:val="single" w:sz="4" w:space="0" w:color="014171"/>
            </w:tcBorders>
          </w:tcPr>
          <w:p w14:paraId="48C45849" w14:textId="076F221B"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30</w:t>
            </w:r>
          </w:p>
        </w:tc>
        <w:tc>
          <w:tcPr>
            <w:tcW w:w="5103" w:type="dxa"/>
            <w:tcBorders>
              <w:top w:val="single" w:sz="4" w:space="0" w:color="014171"/>
              <w:bottom w:val="single" w:sz="4" w:space="0" w:color="014171"/>
            </w:tcBorders>
          </w:tcPr>
          <w:p w14:paraId="2F7BCECC" w14:textId="25B036EC"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convertible, specify issuer of instrument it converts into</w:t>
            </w:r>
          </w:p>
        </w:tc>
        <w:tc>
          <w:tcPr>
            <w:tcW w:w="3597" w:type="dxa"/>
            <w:tcBorders>
              <w:top w:val="single" w:sz="4" w:space="0" w:color="014171"/>
              <w:bottom w:val="single" w:sz="4" w:space="0" w:color="014171"/>
            </w:tcBorders>
          </w:tcPr>
          <w:p w14:paraId="3BB93FA0" w14:textId="15936BD9"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768CAC94" w14:textId="77777777" w:rsidTr="00A02BEA">
        <w:trPr>
          <w:trHeight w:val="142"/>
        </w:trPr>
        <w:tc>
          <w:tcPr>
            <w:tcW w:w="567" w:type="dxa"/>
            <w:tcBorders>
              <w:top w:val="single" w:sz="4" w:space="0" w:color="014171"/>
              <w:bottom w:val="single" w:sz="4" w:space="0" w:color="014171"/>
            </w:tcBorders>
          </w:tcPr>
          <w:p w14:paraId="75C2EE5F" w14:textId="3AB80BE9"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31</w:t>
            </w:r>
          </w:p>
        </w:tc>
        <w:tc>
          <w:tcPr>
            <w:tcW w:w="5103" w:type="dxa"/>
            <w:tcBorders>
              <w:top w:val="single" w:sz="4" w:space="0" w:color="014171"/>
              <w:bottom w:val="single" w:sz="4" w:space="0" w:color="014171"/>
            </w:tcBorders>
          </w:tcPr>
          <w:p w14:paraId="523F992A" w14:textId="7437B93F"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Write-down features</w:t>
            </w:r>
          </w:p>
        </w:tc>
        <w:tc>
          <w:tcPr>
            <w:tcW w:w="3597" w:type="dxa"/>
            <w:tcBorders>
              <w:top w:val="single" w:sz="4" w:space="0" w:color="014171"/>
              <w:bottom w:val="single" w:sz="4" w:space="0" w:color="014171"/>
            </w:tcBorders>
          </w:tcPr>
          <w:p w14:paraId="6CE3B466" w14:textId="539D198E"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3962581E" w14:textId="77777777" w:rsidTr="00A02BEA">
        <w:trPr>
          <w:trHeight w:val="142"/>
        </w:trPr>
        <w:tc>
          <w:tcPr>
            <w:tcW w:w="567" w:type="dxa"/>
            <w:tcBorders>
              <w:top w:val="single" w:sz="4" w:space="0" w:color="014171"/>
              <w:bottom w:val="single" w:sz="4" w:space="0" w:color="014171"/>
            </w:tcBorders>
          </w:tcPr>
          <w:p w14:paraId="0C86962F" w14:textId="582B89E6"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32</w:t>
            </w:r>
          </w:p>
        </w:tc>
        <w:tc>
          <w:tcPr>
            <w:tcW w:w="5103" w:type="dxa"/>
            <w:tcBorders>
              <w:top w:val="single" w:sz="4" w:space="0" w:color="014171"/>
              <w:bottom w:val="single" w:sz="4" w:space="0" w:color="014171"/>
            </w:tcBorders>
          </w:tcPr>
          <w:p w14:paraId="223C4518" w14:textId="18CAAAF6"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write-down, write-down trigger(s)</w:t>
            </w:r>
          </w:p>
        </w:tc>
        <w:tc>
          <w:tcPr>
            <w:tcW w:w="3597" w:type="dxa"/>
            <w:tcBorders>
              <w:top w:val="single" w:sz="4" w:space="0" w:color="014171"/>
              <w:bottom w:val="single" w:sz="4" w:space="0" w:color="014171"/>
            </w:tcBorders>
          </w:tcPr>
          <w:p w14:paraId="7D337026" w14:textId="4CEA3F7E"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14140EEE" w14:textId="77777777" w:rsidTr="00A02BEA">
        <w:trPr>
          <w:trHeight w:val="142"/>
        </w:trPr>
        <w:tc>
          <w:tcPr>
            <w:tcW w:w="567" w:type="dxa"/>
            <w:tcBorders>
              <w:top w:val="single" w:sz="4" w:space="0" w:color="014171"/>
              <w:bottom w:val="single" w:sz="4" w:space="0" w:color="014171"/>
            </w:tcBorders>
          </w:tcPr>
          <w:p w14:paraId="12A6D6E7" w14:textId="7A416BBC"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33</w:t>
            </w:r>
          </w:p>
        </w:tc>
        <w:tc>
          <w:tcPr>
            <w:tcW w:w="5103" w:type="dxa"/>
            <w:tcBorders>
              <w:top w:val="single" w:sz="4" w:space="0" w:color="014171"/>
              <w:bottom w:val="single" w:sz="4" w:space="0" w:color="014171"/>
            </w:tcBorders>
          </w:tcPr>
          <w:p w14:paraId="258F12FE" w14:textId="320D699F"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write-down, full or partial</w:t>
            </w:r>
          </w:p>
        </w:tc>
        <w:tc>
          <w:tcPr>
            <w:tcW w:w="3597" w:type="dxa"/>
            <w:tcBorders>
              <w:top w:val="single" w:sz="4" w:space="0" w:color="014171"/>
              <w:bottom w:val="single" w:sz="4" w:space="0" w:color="014171"/>
            </w:tcBorders>
          </w:tcPr>
          <w:p w14:paraId="7CD86127" w14:textId="5192959F"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77AC0025" w14:textId="77777777" w:rsidTr="00A02BEA">
        <w:trPr>
          <w:trHeight w:val="142"/>
        </w:trPr>
        <w:tc>
          <w:tcPr>
            <w:tcW w:w="567" w:type="dxa"/>
            <w:tcBorders>
              <w:top w:val="single" w:sz="4" w:space="0" w:color="014171"/>
              <w:bottom w:val="single" w:sz="4" w:space="0" w:color="014171"/>
            </w:tcBorders>
          </w:tcPr>
          <w:p w14:paraId="3010E4D3" w14:textId="797801AD"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34</w:t>
            </w:r>
          </w:p>
        </w:tc>
        <w:tc>
          <w:tcPr>
            <w:tcW w:w="5103" w:type="dxa"/>
            <w:tcBorders>
              <w:top w:val="single" w:sz="4" w:space="0" w:color="014171"/>
              <w:bottom w:val="single" w:sz="4" w:space="0" w:color="014171"/>
            </w:tcBorders>
          </w:tcPr>
          <w:p w14:paraId="132730D9" w14:textId="4799D2D3"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write-down, permanent or temporary</w:t>
            </w:r>
          </w:p>
        </w:tc>
        <w:tc>
          <w:tcPr>
            <w:tcW w:w="3597" w:type="dxa"/>
            <w:tcBorders>
              <w:top w:val="single" w:sz="4" w:space="0" w:color="014171"/>
              <w:bottom w:val="single" w:sz="4" w:space="0" w:color="014171"/>
            </w:tcBorders>
          </w:tcPr>
          <w:p w14:paraId="61899F2A" w14:textId="7F82CE39"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03AC538D" w14:textId="77777777" w:rsidTr="00A02BEA">
        <w:trPr>
          <w:trHeight w:val="142"/>
        </w:trPr>
        <w:tc>
          <w:tcPr>
            <w:tcW w:w="567" w:type="dxa"/>
            <w:tcBorders>
              <w:top w:val="single" w:sz="4" w:space="0" w:color="014171"/>
              <w:bottom w:val="single" w:sz="4" w:space="0" w:color="014171"/>
            </w:tcBorders>
          </w:tcPr>
          <w:p w14:paraId="12189DF1" w14:textId="6A7369D5"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lastRenderedPageBreak/>
              <w:t>35</w:t>
            </w:r>
          </w:p>
        </w:tc>
        <w:tc>
          <w:tcPr>
            <w:tcW w:w="5103" w:type="dxa"/>
            <w:tcBorders>
              <w:top w:val="single" w:sz="4" w:space="0" w:color="014171"/>
              <w:bottom w:val="single" w:sz="4" w:space="0" w:color="014171"/>
            </w:tcBorders>
          </w:tcPr>
          <w:p w14:paraId="556FE63D" w14:textId="7339CF3A" w:rsidR="008E3909" w:rsidRPr="0074724B" w:rsidRDefault="008E3909" w:rsidP="00A02BEA">
            <w:pPr>
              <w:autoSpaceDE w:val="0"/>
              <w:autoSpaceDN w:val="0"/>
              <w:adjustRightInd w:val="0"/>
              <w:spacing w:after="0"/>
              <w:ind w:left="227"/>
              <w:jc w:val="both"/>
              <w:rPr>
                <w:rFonts w:ascii="Segoe UI" w:hAnsi="Segoe UI" w:cs="Segoe UI"/>
                <w:color w:val="014171"/>
                <w:sz w:val="18"/>
                <w:szCs w:val="18"/>
              </w:rPr>
            </w:pPr>
            <w:r w:rsidRPr="00A02BEA">
              <w:rPr>
                <w:rFonts w:ascii="Segoe UI" w:hAnsi="Segoe UI" w:cs="Segoe UI"/>
                <w:color w:val="014171"/>
                <w:sz w:val="18"/>
                <w:szCs w:val="18"/>
              </w:rPr>
              <w:t>If temporary write-down, description of write-up mechanism</w:t>
            </w:r>
          </w:p>
        </w:tc>
        <w:tc>
          <w:tcPr>
            <w:tcW w:w="3597" w:type="dxa"/>
            <w:tcBorders>
              <w:top w:val="single" w:sz="4" w:space="0" w:color="014171"/>
              <w:bottom w:val="single" w:sz="4" w:space="0" w:color="014171"/>
            </w:tcBorders>
          </w:tcPr>
          <w:p w14:paraId="40E09B23" w14:textId="582E5C43"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75BA092C" w14:textId="77777777" w:rsidTr="00A02BEA">
        <w:trPr>
          <w:trHeight w:val="142"/>
        </w:trPr>
        <w:tc>
          <w:tcPr>
            <w:tcW w:w="567" w:type="dxa"/>
            <w:tcBorders>
              <w:top w:val="single" w:sz="4" w:space="0" w:color="014171"/>
              <w:bottom w:val="single" w:sz="4" w:space="0" w:color="014171"/>
            </w:tcBorders>
          </w:tcPr>
          <w:p w14:paraId="2067B984" w14:textId="1C6C4BA0"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36</w:t>
            </w:r>
          </w:p>
        </w:tc>
        <w:tc>
          <w:tcPr>
            <w:tcW w:w="5103" w:type="dxa"/>
            <w:tcBorders>
              <w:top w:val="single" w:sz="4" w:space="0" w:color="014171"/>
              <w:bottom w:val="single" w:sz="4" w:space="0" w:color="014171"/>
            </w:tcBorders>
          </w:tcPr>
          <w:p w14:paraId="4644C509" w14:textId="0BCFD777"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Non-compliant transitioned features</w:t>
            </w:r>
          </w:p>
        </w:tc>
        <w:tc>
          <w:tcPr>
            <w:tcW w:w="3597" w:type="dxa"/>
            <w:tcBorders>
              <w:top w:val="single" w:sz="4" w:space="0" w:color="014171"/>
              <w:bottom w:val="single" w:sz="4" w:space="0" w:color="014171"/>
            </w:tcBorders>
          </w:tcPr>
          <w:p w14:paraId="5747BA11" w14:textId="0596646A"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No</w:t>
            </w:r>
          </w:p>
        </w:tc>
      </w:tr>
      <w:tr w:rsidR="008E3909" w:rsidRPr="008E3909" w14:paraId="06B2FB1F" w14:textId="77777777" w:rsidTr="00A02BEA">
        <w:trPr>
          <w:trHeight w:val="142"/>
        </w:trPr>
        <w:tc>
          <w:tcPr>
            <w:tcW w:w="567" w:type="dxa"/>
            <w:tcBorders>
              <w:top w:val="single" w:sz="4" w:space="0" w:color="014171"/>
              <w:bottom w:val="single" w:sz="4" w:space="0" w:color="014171"/>
            </w:tcBorders>
          </w:tcPr>
          <w:p w14:paraId="7E302B77" w14:textId="7E985D7C"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37</w:t>
            </w:r>
          </w:p>
        </w:tc>
        <w:tc>
          <w:tcPr>
            <w:tcW w:w="5103" w:type="dxa"/>
            <w:tcBorders>
              <w:top w:val="single" w:sz="4" w:space="0" w:color="014171"/>
              <w:bottom w:val="single" w:sz="4" w:space="0" w:color="014171"/>
            </w:tcBorders>
          </w:tcPr>
          <w:p w14:paraId="19006261" w14:textId="3F899937" w:rsidR="008E3909" w:rsidRPr="0074724B" w:rsidRDefault="008E3909"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If yes, specify non-compliant features</w:t>
            </w:r>
          </w:p>
        </w:tc>
        <w:tc>
          <w:tcPr>
            <w:tcW w:w="3597" w:type="dxa"/>
            <w:tcBorders>
              <w:top w:val="single" w:sz="4" w:space="0" w:color="014171"/>
              <w:bottom w:val="single" w:sz="4" w:space="0" w:color="014171"/>
            </w:tcBorders>
          </w:tcPr>
          <w:p w14:paraId="3ECAD750" w14:textId="7596E376"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N/A</w:t>
            </w:r>
          </w:p>
        </w:tc>
      </w:tr>
      <w:tr w:rsidR="008E3909" w:rsidRPr="008E3909" w14:paraId="4A258492" w14:textId="77777777" w:rsidTr="00A02BEA">
        <w:trPr>
          <w:trHeight w:val="142"/>
        </w:trPr>
        <w:tc>
          <w:tcPr>
            <w:tcW w:w="567" w:type="dxa"/>
            <w:tcBorders>
              <w:top w:val="single" w:sz="4" w:space="0" w:color="014171"/>
              <w:bottom w:val="single" w:sz="12" w:space="0" w:color="014171"/>
            </w:tcBorders>
          </w:tcPr>
          <w:p w14:paraId="502CB76B" w14:textId="47585FA9" w:rsidR="008E3909" w:rsidRPr="008E3909" w:rsidRDefault="008E3909" w:rsidP="008E3909">
            <w:pPr>
              <w:autoSpaceDE w:val="0"/>
              <w:autoSpaceDN w:val="0"/>
              <w:adjustRightInd w:val="0"/>
              <w:spacing w:after="0"/>
              <w:jc w:val="both"/>
              <w:rPr>
                <w:rFonts w:ascii="Segoe UI" w:hAnsi="Segoe UI" w:cs="Segoe UI"/>
                <w:color w:val="014171"/>
                <w:sz w:val="18"/>
                <w:szCs w:val="18"/>
                <w:lang w:eastAsia="en-GB"/>
              </w:rPr>
            </w:pPr>
            <w:r w:rsidRPr="008E3909">
              <w:rPr>
                <w:rFonts w:ascii="Segoe UI" w:hAnsi="Segoe UI" w:cs="Segoe UI"/>
                <w:color w:val="014171"/>
                <w:sz w:val="18"/>
                <w:szCs w:val="18"/>
                <w:lang w:eastAsia="en-GB"/>
              </w:rPr>
              <w:t>38</w:t>
            </w:r>
          </w:p>
        </w:tc>
        <w:tc>
          <w:tcPr>
            <w:tcW w:w="5103" w:type="dxa"/>
            <w:tcBorders>
              <w:top w:val="single" w:sz="4" w:space="0" w:color="014171"/>
              <w:bottom w:val="single" w:sz="12" w:space="0" w:color="014171"/>
            </w:tcBorders>
          </w:tcPr>
          <w:p w14:paraId="5E856354" w14:textId="14566065" w:rsidR="008E3909" w:rsidRPr="0074724B" w:rsidRDefault="008E3909" w:rsidP="008E3909">
            <w:pPr>
              <w:autoSpaceDE w:val="0"/>
              <w:autoSpaceDN w:val="0"/>
              <w:adjustRightInd w:val="0"/>
              <w:spacing w:after="0"/>
              <w:jc w:val="both"/>
              <w:rPr>
                <w:rFonts w:ascii="Segoe UI" w:hAnsi="Segoe UI" w:cs="Segoe UI"/>
                <w:color w:val="014171"/>
                <w:sz w:val="18"/>
                <w:szCs w:val="18"/>
              </w:rPr>
            </w:pPr>
            <w:r w:rsidRPr="00A02BEA">
              <w:rPr>
                <w:rFonts w:ascii="Segoe UI" w:hAnsi="Segoe UI" w:cs="Segoe UI"/>
                <w:color w:val="014171"/>
                <w:sz w:val="18"/>
                <w:szCs w:val="18"/>
              </w:rPr>
              <w:t>Link to the full term and conditions of the in</w:t>
            </w:r>
            <w:r w:rsidR="00776ADF">
              <w:rPr>
                <w:rFonts w:ascii="Segoe UI" w:hAnsi="Segoe UI" w:cs="Segoe UI"/>
                <w:color w:val="014171"/>
                <w:sz w:val="18"/>
                <w:szCs w:val="18"/>
              </w:rPr>
              <w:t>s</w:t>
            </w:r>
            <w:r w:rsidRPr="00A02BEA">
              <w:rPr>
                <w:rFonts w:ascii="Segoe UI" w:hAnsi="Segoe UI" w:cs="Segoe UI"/>
                <w:color w:val="014171"/>
                <w:sz w:val="18"/>
                <w:szCs w:val="18"/>
              </w:rPr>
              <w:t>trument (signposting)</w:t>
            </w:r>
          </w:p>
        </w:tc>
        <w:tc>
          <w:tcPr>
            <w:tcW w:w="3597" w:type="dxa"/>
            <w:tcBorders>
              <w:top w:val="single" w:sz="4" w:space="0" w:color="014171"/>
              <w:bottom w:val="single" w:sz="12" w:space="0" w:color="014171"/>
            </w:tcBorders>
          </w:tcPr>
          <w:p w14:paraId="3E407717" w14:textId="38A12579" w:rsidR="008E3909" w:rsidRPr="0074724B" w:rsidRDefault="008E3909" w:rsidP="008E3909">
            <w:pPr>
              <w:autoSpaceDE w:val="0"/>
              <w:autoSpaceDN w:val="0"/>
              <w:adjustRightInd w:val="0"/>
              <w:spacing w:after="0"/>
              <w:jc w:val="both"/>
              <w:rPr>
                <w:rFonts w:ascii="Segoe UI" w:hAnsi="Segoe UI" w:cs="Segoe UI"/>
                <w:color w:val="014171"/>
                <w:sz w:val="18"/>
                <w:szCs w:val="18"/>
                <w:lang w:eastAsia="en-GB"/>
              </w:rPr>
            </w:pPr>
            <w:r w:rsidRPr="00A02BEA">
              <w:rPr>
                <w:rFonts w:ascii="Segoe UI" w:hAnsi="Segoe UI" w:cs="Segoe UI"/>
                <w:color w:val="014171"/>
                <w:sz w:val="18"/>
                <w:szCs w:val="18"/>
              </w:rPr>
              <w:t>www.handelsregister.de</w:t>
            </w:r>
          </w:p>
        </w:tc>
      </w:tr>
    </w:tbl>
    <w:p w14:paraId="07274BFA" w14:textId="35DADE10" w:rsidR="00776ADF" w:rsidRDefault="00776ADF" w:rsidP="002034F4">
      <w:pPr>
        <w:spacing w:after="0"/>
        <w:jc w:val="both"/>
        <w:rPr>
          <w:rFonts w:ascii="Segoe UI" w:hAnsi="Segoe UI" w:cs="Segoe UI"/>
          <w:color w:val="014171"/>
        </w:rPr>
      </w:pPr>
      <w:r>
        <w:rPr>
          <w:rFonts w:ascii="Segoe UI" w:hAnsi="Segoe UI" w:cs="Segoe UI"/>
          <w:color w:val="014171"/>
        </w:rPr>
        <w:br w:type="page"/>
      </w:r>
    </w:p>
    <w:p w14:paraId="207D35F9" w14:textId="25CF110C" w:rsidR="00CE13F5" w:rsidRPr="00377C35" w:rsidRDefault="00E20824" w:rsidP="00E27BB3">
      <w:pPr>
        <w:pStyle w:val="Heading1"/>
      </w:pPr>
      <w:bookmarkStart w:id="75" w:name="_Toc120891008"/>
      <w:bookmarkStart w:id="76" w:name="_Toc102121165"/>
      <w:bookmarkStart w:id="77" w:name="_Toc122626067"/>
      <w:bookmarkEnd w:id="75"/>
      <w:r w:rsidRPr="00377C35">
        <w:lastRenderedPageBreak/>
        <w:t xml:space="preserve">Own Funds </w:t>
      </w:r>
      <w:r w:rsidR="00161945" w:rsidRPr="00377C35">
        <w:t>Re</w:t>
      </w:r>
      <w:r w:rsidR="00683891" w:rsidRPr="00377C35">
        <w:t>quirements</w:t>
      </w:r>
      <w:r w:rsidR="00B60BC1" w:rsidRPr="00377C35">
        <w:t xml:space="preserve"> (</w:t>
      </w:r>
      <w:r w:rsidR="000E6E44">
        <w:t>A</w:t>
      </w:r>
      <w:r w:rsidR="00B60BC1" w:rsidRPr="00377C35">
        <w:t>rticle 50 IFR</w:t>
      </w:r>
      <w:r w:rsidRPr="00377C35">
        <w:t>)</w:t>
      </w:r>
      <w:bookmarkEnd w:id="76"/>
      <w:bookmarkEnd w:id="77"/>
    </w:p>
    <w:p w14:paraId="1D7AD062" w14:textId="7A8AB5CE" w:rsidR="009449D9" w:rsidRPr="00377C35" w:rsidRDefault="00E20824" w:rsidP="00E27BB3">
      <w:pPr>
        <w:pStyle w:val="Heading2"/>
      </w:pPr>
      <w:bookmarkStart w:id="78" w:name="_Toc120891010"/>
      <w:bookmarkStart w:id="79" w:name="_Toc120891011"/>
      <w:bookmarkStart w:id="80" w:name="_Toc120891012"/>
      <w:bookmarkStart w:id="81" w:name="_Toc120891013"/>
      <w:bookmarkStart w:id="82" w:name="_Toc120891014"/>
      <w:bookmarkStart w:id="83" w:name="_Toc120891015"/>
      <w:bookmarkStart w:id="84" w:name="_Toc120891016"/>
      <w:bookmarkStart w:id="85" w:name="_Toc120891025"/>
      <w:bookmarkStart w:id="86" w:name="_Toc120891030"/>
      <w:bookmarkStart w:id="87" w:name="_Toc120891038"/>
      <w:bookmarkStart w:id="88" w:name="_Toc122626068"/>
      <w:bookmarkStart w:id="89" w:name="_Toc102121167"/>
      <w:bookmarkStart w:id="90" w:name="_Toc297039295"/>
      <w:bookmarkStart w:id="91" w:name="_Toc297189998"/>
      <w:bookmarkStart w:id="92" w:name="_Toc422754645"/>
      <w:bookmarkEnd w:id="78"/>
      <w:bookmarkEnd w:id="79"/>
      <w:bookmarkEnd w:id="80"/>
      <w:bookmarkEnd w:id="81"/>
      <w:bookmarkEnd w:id="82"/>
      <w:bookmarkEnd w:id="83"/>
      <w:bookmarkEnd w:id="84"/>
      <w:bookmarkEnd w:id="85"/>
      <w:bookmarkEnd w:id="86"/>
      <w:bookmarkEnd w:id="87"/>
      <w:r w:rsidRPr="00377C35">
        <w:t xml:space="preserve">Approach to </w:t>
      </w:r>
      <w:r w:rsidR="000E6E44">
        <w:t>A</w:t>
      </w:r>
      <w:r w:rsidRPr="00377C35">
        <w:t xml:space="preserve">ssessing the </w:t>
      </w:r>
      <w:r w:rsidR="000E6E44">
        <w:t>A</w:t>
      </w:r>
      <w:r w:rsidR="000E6E44" w:rsidRPr="00377C35">
        <w:t xml:space="preserve">dequacy </w:t>
      </w:r>
      <w:r w:rsidRPr="00377C35">
        <w:t xml:space="preserve">of </w:t>
      </w:r>
      <w:r w:rsidR="000E6E44">
        <w:t>O</w:t>
      </w:r>
      <w:r w:rsidR="000E6E44" w:rsidRPr="00377C35">
        <w:t xml:space="preserve">wn </w:t>
      </w:r>
      <w:r w:rsidR="000E6E44">
        <w:t>F</w:t>
      </w:r>
      <w:r w:rsidRPr="00377C35">
        <w:t>unds</w:t>
      </w:r>
      <w:bookmarkEnd w:id="88"/>
      <w:r w:rsidRPr="00377C35">
        <w:t> </w:t>
      </w:r>
      <w:bookmarkEnd w:id="89"/>
    </w:p>
    <w:p w14:paraId="1BD8CCBF" w14:textId="366D9553" w:rsidR="00A04D7C" w:rsidRPr="00E27BB3" w:rsidRDefault="00E3665C" w:rsidP="00E27BB3">
      <w:pPr>
        <w:pStyle w:val="Heading3"/>
        <w:rPr>
          <w:b w:val="0"/>
        </w:rPr>
      </w:pPr>
      <w:bookmarkStart w:id="93" w:name="_Toc453148091"/>
      <w:bookmarkEnd w:id="90"/>
      <w:bookmarkEnd w:id="91"/>
      <w:bookmarkEnd w:id="92"/>
      <w:r w:rsidRPr="00E27BB3">
        <w:t xml:space="preserve">Regulatory Requirements and ICAAP </w:t>
      </w:r>
      <w:r w:rsidR="000E6E44">
        <w:t>P</w:t>
      </w:r>
      <w:r w:rsidRPr="00E27BB3">
        <w:t>rocess</w:t>
      </w:r>
    </w:p>
    <w:p w14:paraId="41655C16" w14:textId="6CE3AF65" w:rsidR="000E6E44" w:rsidRPr="00370CC2" w:rsidRDefault="00425FD3" w:rsidP="00E27BB3">
      <w:pPr>
        <w:spacing w:after="0"/>
        <w:jc w:val="both"/>
        <w:rPr>
          <w:rFonts w:ascii="Segoe UI" w:hAnsi="Segoe UI" w:cs="Segoe UI"/>
          <w:color w:val="014171"/>
        </w:rPr>
      </w:pPr>
      <w:r w:rsidRPr="00E27BB3">
        <w:rPr>
          <w:rFonts w:ascii="Segoe UI" w:hAnsi="Segoe UI" w:cs="Segoe UI"/>
          <w:color w:val="014171"/>
        </w:rPr>
        <w:t xml:space="preserve">According to </w:t>
      </w:r>
      <w:r w:rsidR="00D71EB5" w:rsidRPr="00E27BB3">
        <w:rPr>
          <w:rFonts w:ascii="Segoe UI" w:hAnsi="Segoe UI" w:cs="Segoe UI"/>
          <w:color w:val="014171"/>
        </w:rPr>
        <w:t>article</w:t>
      </w:r>
      <w:r w:rsidRPr="00E27BB3">
        <w:rPr>
          <w:rFonts w:ascii="Segoe UI" w:hAnsi="Segoe UI" w:cs="Segoe UI"/>
          <w:color w:val="014171"/>
        </w:rPr>
        <w:t xml:space="preserve"> 9 </w:t>
      </w:r>
      <w:r w:rsidR="00D71EB5" w:rsidRPr="00E27BB3">
        <w:rPr>
          <w:rFonts w:ascii="Segoe UI" w:hAnsi="Segoe UI" w:cs="Segoe UI"/>
          <w:color w:val="014171"/>
        </w:rPr>
        <w:t>(</w:t>
      </w:r>
      <w:r w:rsidR="001A39FC" w:rsidRPr="00E27BB3">
        <w:rPr>
          <w:rFonts w:ascii="Segoe UI" w:hAnsi="Segoe UI" w:cs="Segoe UI"/>
          <w:color w:val="014171"/>
        </w:rPr>
        <w:t>1</w:t>
      </w:r>
      <w:r w:rsidR="00D71EB5" w:rsidRPr="00E27BB3">
        <w:rPr>
          <w:rFonts w:ascii="Segoe UI" w:hAnsi="Segoe UI" w:cs="Segoe UI"/>
          <w:color w:val="014171"/>
        </w:rPr>
        <w:t>)</w:t>
      </w:r>
      <w:r w:rsidR="001A39FC" w:rsidRPr="00E27BB3">
        <w:rPr>
          <w:rFonts w:ascii="Segoe UI" w:hAnsi="Segoe UI" w:cs="Segoe UI"/>
          <w:color w:val="014171"/>
        </w:rPr>
        <w:t xml:space="preserve"> IFR, </w:t>
      </w:r>
      <w:r w:rsidR="00F70FA2" w:rsidRPr="00E27BB3">
        <w:rPr>
          <w:rFonts w:ascii="Segoe UI" w:hAnsi="Segoe UI" w:cs="Segoe UI"/>
          <w:color w:val="014171"/>
        </w:rPr>
        <w:t xml:space="preserve">investment </w:t>
      </w:r>
      <w:r w:rsidR="00584B1D" w:rsidRPr="00370CC2">
        <w:rPr>
          <w:rFonts w:ascii="Segoe UI" w:hAnsi="Segoe UI" w:cs="Segoe UI"/>
          <w:color w:val="014171"/>
        </w:rPr>
        <w:t>firms</w:t>
      </w:r>
      <w:r w:rsidR="00584B1D" w:rsidRPr="00E27BB3">
        <w:rPr>
          <w:rFonts w:ascii="Segoe UI" w:hAnsi="Segoe UI" w:cs="Segoe UI"/>
          <w:color w:val="014171"/>
        </w:rPr>
        <w:t xml:space="preserve"> </w:t>
      </w:r>
      <w:r w:rsidRPr="00E27BB3">
        <w:rPr>
          <w:rFonts w:ascii="Segoe UI" w:hAnsi="Segoe UI" w:cs="Segoe UI"/>
          <w:color w:val="014171"/>
        </w:rPr>
        <w:t xml:space="preserve">need to </w:t>
      </w:r>
      <w:r w:rsidR="001A39FC" w:rsidRPr="00E27BB3">
        <w:rPr>
          <w:rFonts w:ascii="Segoe UI" w:hAnsi="Segoe UI" w:cs="Segoe UI"/>
          <w:color w:val="014171"/>
        </w:rPr>
        <w:t>have s</w:t>
      </w:r>
      <w:r w:rsidRPr="00E27BB3">
        <w:rPr>
          <w:rFonts w:ascii="Segoe UI" w:hAnsi="Segoe UI" w:cs="Segoe UI"/>
          <w:color w:val="014171"/>
        </w:rPr>
        <w:t>ufficient own funds compared</w:t>
      </w:r>
      <w:r w:rsidR="001A39FC" w:rsidRPr="00E27BB3">
        <w:rPr>
          <w:rFonts w:ascii="Segoe UI" w:hAnsi="Segoe UI" w:cs="Segoe UI"/>
          <w:color w:val="014171"/>
        </w:rPr>
        <w:t xml:space="preserve"> to the </w:t>
      </w:r>
      <w:r w:rsidR="00002FDD">
        <w:rPr>
          <w:rFonts w:ascii="Segoe UI" w:hAnsi="Segoe UI" w:cs="Segoe UI"/>
          <w:color w:val="014171"/>
        </w:rPr>
        <w:t>stipulated</w:t>
      </w:r>
      <w:r w:rsidR="001A39FC" w:rsidRPr="00E27BB3">
        <w:rPr>
          <w:rFonts w:ascii="Segoe UI" w:hAnsi="Segoe UI" w:cs="Segoe UI"/>
          <w:color w:val="014171"/>
        </w:rPr>
        <w:t xml:space="preserve"> capital adequacy requirements.</w:t>
      </w:r>
    </w:p>
    <w:p w14:paraId="6B747105" w14:textId="77777777" w:rsidR="00514E14" w:rsidRPr="00370CC2" w:rsidRDefault="00514E14" w:rsidP="00E27BB3">
      <w:pPr>
        <w:spacing w:after="0"/>
        <w:jc w:val="both"/>
        <w:rPr>
          <w:rFonts w:ascii="Segoe UI" w:hAnsi="Segoe UI" w:cs="Segoe UI"/>
          <w:color w:val="014171"/>
        </w:rPr>
      </w:pPr>
    </w:p>
    <w:p w14:paraId="448FCA25" w14:textId="2FE956F2" w:rsidR="00514E14" w:rsidRDefault="001A39FC" w:rsidP="00E27BB3">
      <w:pPr>
        <w:spacing w:after="0"/>
        <w:jc w:val="both"/>
        <w:rPr>
          <w:rFonts w:ascii="Segoe UI" w:hAnsi="Segoe UI" w:cs="Segoe UI"/>
          <w:color w:val="014171"/>
        </w:rPr>
      </w:pPr>
      <w:r w:rsidRPr="00E27BB3">
        <w:rPr>
          <w:rFonts w:ascii="Segoe UI" w:hAnsi="Segoe UI" w:cs="Segoe UI"/>
          <w:color w:val="014171"/>
        </w:rPr>
        <w:t>The capital requirements</w:t>
      </w:r>
      <w:r w:rsidR="00DD7522" w:rsidRPr="00E27BB3">
        <w:rPr>
          <w:rFonts w:ascii="Segoe UI" w:hAnsi="Segoe UI" w:cs="Segoe UI"/>
          <w:color w:val="014171"/>
        </w:rPr>
        <w:t xml:space="preserve"> </w:t>
      </w:r>
      <w:r w:rsidRPr="00E27BB3">
        <w:rPr>
          <w:rFonts w:ascii="Segoe UI" w:hAnsi="Segoe UI" w:cs="Segoe UI"/>
          <w:color w:val="014171"/>
        </w:rPr>
        <w:t xml:space="preserve">for medium-sized </w:t>
      </w:r>
      <w:r w:rsidR="00F70FA2" w:rsidRPr="00370CC2">
        <w:rPr>
          <w:rFonts w:ascii="Segoe UI" w:hAnsi="Segoe UI" w:cs="Segoe UI"/>
          <w:color w:val="014171"/>
        </w:rPr>
        <w:t>investment</w:t>
      </w:r>
      <w:r w:rsidR="00F70FA2" w:rsidRPr="00E27BB3">
        <w:rPr>
          <w:rFonts w:ascii="Segoe UI" w:hAnsi="Segoe UI" w:cs="Segoe UI"/>
          <w:color w:val="014171"/>
        </w:rPr>
        <w:t xml:space="preserve"> </w:t>
      </w:r>
      <w:r w:rsidR="00796C55" w:rsidRPr="00370CC2">
        <w:rPr>
          <w:rFonts w:ascii="Segoe UI" w:hAnsi="Segoe UI" w:cs="Segoe UI"/>
          <w:color w:val="014171"/>
        </w:rPr>
        <w:t>firms</w:t>
      </w:r>
      <w:r w:rsidR="00796C55" w:rsidRPr="00E27BB3">
        <w:rPr>
          <w:rFonts w:ascii="Segoe UI" w:hAnsi="Segoe UI" w:cs="Segoe UI"/>
          <w:color w:val="014171"/>
        </w:rPr>
        <w:t xml:space="preserve"> </w:t>
      </w:r>
      <w:r w:rsidRPr="00E27BB3">
        <w:rPr>
          <w:rFonts w:ascii="Segoe UI" w:hAnsi="Segoe UI" w:cs="Segoe UI"/>
          <w:color w:val="014171"/>
        </w:rPr>
        <w:t xml:space="preserve">are determined according to </w:t>
      </w:r>
      <w:r w:rsidR="00D71EB5" w:rsidRPr="00370CC2">
        <w:rPr>
          <w:rFonts w:ascii="Segoe UI" w:hAnsi="Segoe UI" w:cs="Segoe UI"/>
          <w:color w:val="014171"/>
        </w:rPr>
        <w:t>article</w:t>
      </w:r>
      <w:r w:rsidRPr="00E27BB3">
        <w:rPr>
          <w:rFonts w:ascii="Segoe UI" w:hAnsi="Segoe UI" w:cs="Segoe UI"/>
          <w:color w:val="014171"/>
        </w:rPr>
        <w:t xml:space="preserve"> 11 IFR as the highest of the amounts</w:t>
      </w:r>
      <w:r w:rsidR="00425FD3" w:rsidRPr="00E27BB3">
        <w:rPr>
          <w:rFonts w:ascii="Segoe UI" w:hAnsi="Segoe UI" w:cs="Segoe UI"/>
          <w:color w:val="014171"/>
        </w:rPr>
        <w:t xml:space="preserve"> </w:t>
      </w:r>
      <w:r w:rsidRPr="00E27BB3">
        <w:rPr>
          <w:rFonts w:ascii="Segoe UI" w:hAnsi="Segoe UI" w:cs="Segoe UI"/>
          <w:color w:val="014171"/>
        </w:rPr>
        <w:t xml:space="preserve">from fixed overheads according to </w:t>
      </w:r>
      <w:r w:rsidR="00D71EB5">
        <w:rPr>
          <w:rFonts w:ascii="Segoe UI" w:hAnsi="Segoe UI" w:cs="Segoe UI"/>
          <w:color w:val="014171"/>
        </w:rPr>
        <w:t>article</w:t>
      </w:r>
      <w:r w:rsidRPr="00E27BB3">
        <w:rPr>
          <w:rFonts w:ascii="Segoe UI" w:hAnsi="Segoe UI" w:cs="Segoe UI"/>
          <w:color w:val="014171"/>
        </w:rPr>
        <w:t xml:space="preserve"> 13 IFR, permanent minimum capital requirement according to </w:t>
      </w:r>
      <w:r w:rsidR="00D71EB5">
        <w:rPr>
          <w:rFonts w:ascii="Segoe UI" w:hAnsi="Segoe UI" w:cs="Segoe UI"/>
          <w:color w:val="014171"/>
        </w:rPr>
        <w:t>article</w:t>
      </w:r>
      <w:r w:rsidRPr="00E27BB3">
        <w:rPr>
          <w:rFonts w:ascii="Segoe UI" w:hAnsi="Segoe UI" w:cs="Segoe UI"/>
          <w:color w:val="014171"/>
        </w:rPr>
        <w:t xml:space="preserve"> 14</w:t>
      </w:r>
      <w:r w:rsidR="00425FD3" w:rsidRPr="00E27BB3">
        <w:rPr>
          <w:rFonts w:ascii="Segoe UI" w:hAnsi="Segoe UI" w:cs="Segoe UI"/>
          <w:color w:val="014171"/>
        </w:rPr>
        <w:t xml:space="preserve"> </w:t>
      </w:r>
      <w:r w:rsidRPr="00E27BB3">
        <w:rPr>
          <w:rFonts w:ascii="Segoe UI" w:hAnsi="Segoe UI" w:cs="Segoe UI"/>
          <w:color w:val="014171"/>
        </w:rPr>
        <w:t xml:space="preserve">IFR and K-factor requirement according </w:t>
      </w:r>
      <w:r w:rsidR="00DD7522" w:rsidRPr="00E27BB3">
        <w:rPr>
          <w:rFonts w:ascii="Segoe UI" w:hAnsi="Segoe UI" w:cs="Segoe UI"/>
          <w:color w:val="014171"/>
        </w:rPr>
        <w:t xml:space="preserve">to </w:t>
      </w:r>
      <w:r w:rsidR="00D71EB5">
        <w:rPr>
          <w:rFonts w:ascii="Segoe UI" w:hAnsi="Segoe UI" w:cs="Segoe UI"/>
          <w:color w:val="014171"/>
        </w:rPr>
        <w:t>article</w:t>
      </w:r>
      <w:r w:rsidR="00DD7522" w:rsidRPr="00E27BB3">
        <w:rPr>
          <w:rFonts w:ascii="Segoe UI" w:hAnsi="Segoe UI" w:cs="Segoe UI"/>
          <w:color w:val="014171"/>
        </w:rPr>
        <w:t xml:space="preserve"> 15 IFR.</w:t>
      </w:r>
    </w:p>
    <w:p w14:paraId="25B944FA" w14:textId="77777777" w:rsidR="00C036B2" w:rsidRDefault="00C036B2" w:rsidP="00E27BB3">
      <w:pPr>
        <w:spacing w:after="0"/>
        <w:jc w:val="both"/>
        <w:rPr>
          <w:rFonts w:ascii="Segoe UI" w:hAnsi="Segoe UI" w:cs="Segoe UI"/>
          <w:color w:val="014171"/>
        </w:rPr>
      </w:pPr>
    </w:p>
    <w:p w14:paraId="36607B73" w14:textId="44A1DA96" w:rsidR="00514E14" w:rsidRDefault="00DD7522" w:rsidP="00E27BB3">
      <w:pPr>
        <w:spacing w:after="0"/>
        <w:jc w:val="both"/>
        <w:rPr>
          <w:rFonts w:ascii="Segoe UI" w:hAnsi="Segoe UI" w:cs="Segoe UI"/>
          <w:color w:val="014171"/>
        </w:rPr>
      </w:pPr>
      <w:r w:rsidRPr="00E27BB3">
        <w:rPr>
          <w:rFonts w:ascii="Segoe UI" w:hAnsi="Segoe UI" w:cs="Segoe UI"/>
          <w:color w:val="014171"/>
        </w:rPr>
        <w:t xml:space="preserve">For </w:t>
      </w:r>
      <w:r w:rsidR="00425FD3" w:rsidRPr="00E27BB3">
        <w:rPr>
          <w:rFonts w:ascii="Segoe UI" w:hAnsi="Segoe UI" w:cs="Segoe UI"/>
          <w:color w:val="014171"/>
        </w:rPr>
        <w:t>DCMD</w:t>
      </w:r>
      <w:r w:rsidR="001A39FC" w:rsidRPr="00E27BB3">
        <w:rPr>
          <w:rFonts w:ascii="Segoe UI" w:hAnsi="Segoe UI" w:cs="Segoe UI"/>
          <w:color w:val="014171"/>
        </w:rPr>
        <w:t xml:space="preserve"> the fixed overheads</w:t>
      </w:r>
      <w:r w:rsidR="00425FD3" w:rsidRPr="00E27BB3">
        <w:rPr>
          <w:rFonts w:ascii="Segoe UI" w:hAnsi="Segoe UI" w:cs="Segoe UI"/>
          <w:color w:val="014171"/>
        </w:rPr>
        <w:t xml:space="preserve"> </w:t>
      </w:r>
      <w:r w:rsidR="001A39FC" w:rsidRPr="00E27BB3">
        <w:rPr>
          <w:rFonts w:ascii="Segoe UI" w:hAnsi="Segoe UI" w:cs="Segoe UI"/>
          <w:color w:val="014171"/>
        </w:rPr>
        <w:t xml:space="preserve">according to </w:t>
      </w:r>
      <w:r w:rsidR="00D71EB5">
        <w:rPr>
          <w:rFonts w:ascii="Segoe UI" w:hAnsi="Segoe UI" w:cs="Segoe UI"/>
          <w:color w:val="014171"/>
        </w:rPr>
        <w:t>article</w:t>
      </w:r>
      <w:r w:rsidR="001A39FC" w:rsidRPr="00E27BB3">
        <w:rPr>
          <w:rFonts w:ascii="Segoe UI" w:hAnsi="Segoe UI" w:cs="Segoe UI"/>
          <w:color w:val="014171"/>
        </w:rPr>
        <w:t xml:space="preserve"> 13 IFR </w:t>
      </w:r>
      <w:r w:rsidR="00425FD3" w:rsidRPr="00E27BB3">
        <w:rPr>
          <w:rFonts w:ascii="Segoe UI" w:hAnsi="Segoe UI" w:cs="Segoe UI"/>
          <w:color w:val="014171"/>
        </w:rPr>
        <w:t xml:space="preserve">are </w:t>
      </w:r>
      <w:r w:rsidR="001A39FC" w:rsidRPr="00E27BB3">
        <w:rPr>
          <w:rFonts w:ascii="Segoe UI" w:hAnsi="Segoe UI" w:cs="Segoe UI"/>
          <w:color w:val="014171"/>
        </w:rPr>
        <w:t>t</w:t>
      </w:r>
      <w:r w:rsidR="008C6B2F" w:rsidRPr="00E27BB3">
        <w:rPr>
          <w:rFonts w:ascii="Segoe UI" w:hAnsi="Segoe UI" w:cs="Segoe UI"/>
          <w:color w:val="014171"/>
        </w:rPr>
        <w:t>he highest of the three amounts</w:t>
      </w:r>
      <w:r w:rsidR="00C17F31" w:rsidRPr="00E27BB3">
        <w:rPr>
          <w:rFonts w:ascii="Segoe UI" w:hAnsi="Segoe UI" w:cs="Segoe UI"/>
          <w:color w:val="014171"/>
        </w:rPr>
        <w:t xml:space="preserve">. </w:t>
      </w:r>
    </w:p>
    <w:p w14:paraId="6450A047" w14:textId="77777777" w:rsidR="00514E14" w:rsidRDefault="00514E14" w:rsidP="00E27BB3">
      <w:pPr>
        <w:spacing w:after="0"/>
        <w:jc w:val="both"/>
        <w:rPr>
          <w:rFonts w:ascii="Segoe UI" w:hAnsi="Segoe UI" w:cs="Segoe UI"/>
          <w:color w:val="014171"/>
        </w:rPr>
      </w:pPr>
    </w:p>
    <w:p w14:paraId="7A3983B2" w14:textId="69D0ECE4" w:rsidR="00514E14" w:rsidRDefault="00C17F31" w:rsidP="00E27BB3">
      <w:pPr>
        <w:spacing w:after="0"/>
        <w:jc w:val="both"/>
        <w:rPr>
          <w:rFonts w:ascii="Segoe UI" w:hAnsi="Segoe UI" w:cs="Segoe UI"/>
          <w:color w:val="014171"/>
        </w:rPr>
      </w:pPr>
      <w:r w:rsidRPr="00E27BB3">
        <w:rPr>
          <w:rFonts w:ascii="Segoe UI" w:hAnsi="Segoe UI" w:cs="Segoe UI"/>
          <w:color w:val="014171"/>
        </w:rPr>
        <w:t>DCMD applies</w:t>
      </w:r>
      <w:r w:rsidR="008C6B2F" w:rsidRPr="00E27BB3">
        <w:rPr>
          <w:rFonts w:ascii="Segoe UI" w:hAnsi="Segoe UI" w:cs="Segoe UI"/>
          <w:color w:val="014171"/>
        </w:rPr>
        <w:t xml:space="preserve"> a 50% </w:t>
      </w:r>
      <w:r w:rsidR="00387328" w:rsidRPr="00387328">
        <w:rPr>
          <w:rFonts w:ascii="Segoe UI" w:hAnsi="Segoe UI" w:cs="Segoe UI"/>
          <w:color w:val="014171"/>
        </w:rPr>
        <w:t xml:space="preserve">Supervisory Review and Evaluation Process </w:t>
      </w:r>
      <w:r w:rsidR="00387328">
        <w:rPr>
          <w:rFonts w:ascii="Segoe UI" w:hAnsi="Segoe UI" w:cs="Segoe UI"/>
          <w:color w:val="014171"/>
        </w:rPr>
        <w:t>(“</w:t>
      </w:r>
      <w:r w:rsidR="008C6B2F" w:rsidRPr="00E27BB3">
        <w:rPr>
          <w:rFonts w:ascii="Segoe UI" w:hAnsi="Segoe UI" w:cs="Segoe UI"/>
          <w:color w:val="014171"/>
        </w:rPr>
        <w:t>SREP</w:t>
      </w:r>
      <w:r w:rsidR="00387328">
        <w:rPr>
          <w:rFonts w:ascii="Segoe UI" w:hAnsi="Segoe UI" w:cs="Segoe UI"/>
          <w:color w:val="014171"/>
        </w:rPr>
        <w:t>”)</w:t>
      </w:r>
      <w:r w:rsidR="008C6B2F" w:rsidRPr="00E27BB3">
        <w:rPr>
          <w:rFonts w:ascii="Segoe UI" w:hAnsi="Segoe UI" w:cs="Segoe UI"/>
          <w:color w:val="014171"/>
        </w:rPr>
        <w:t xml:space="preserve"> add-on which DCMD received as an initial add-on</w:t>
      </w:r>
      <w:r w:rsidR="009C0C2D">
        <w:rPr>
          <w:rFonts w:ascii="Segoe UI" w:hAnsi="Segoe UI" w:cs="Segoe UI"/>
          <w:color w:val="014171"/>
        </w:rPr>
        <w:t xml:space="preserve"> in 2018</w:t>
      </w:r>
      <w:r w:rsidR="008C6B2F" w:rsidRPr="00E27BB3">
        <w:rPr>
          <w:rFonts w:ascii="Segoe UI" w:hAnsi="Segoe UI" w:cs="Segoe UI"/>
          <w:color w:val="014171"/>
        </w:rPr>
        <w:t>.</w:t>
      </w:r>
      <w:r w:rsidR="00BF6D06" w:rsidRPr="00E27BB3">
        <w:rPr>
          <w:rFonts w:ascii="Segoe UI" w:hAnsi="Segoe UI" w:cs="Segoe UI"/>
          <w:color w:val="014171"/>
        </w:rPr>
        <w:t xml:space="preserve"> DCMD has not yet received any further guidance about this capital add-on. </w:t>
      </w:r>
      <w:r w:rsidR="001A39FC" w:rsidRPr="00E27BB3">
        <w:rPr>
          <w:rFonts w:ascii="Segoe UI" w:hAnsi="Segoe UI" w:cs="Segoe UI"/>
          <w:color w:val="014171"/>
        </w:rPr>
        <w:t>Due to a postpo</w:t>
      </w:r>
      <w:r w:rsidR="00DD7522" w:rsidRPr="00E27BB3">
        <w:rPr>
          <w:rFonts w:ascii="Segoe UI" w:hAnsi="Segoe UI" w:cs="Segoe UI"/>
          <w:color w:val="014171"/>
        </w:rPr>
        <w:t>nement of the first IFR reporting date</w:t>
      </w:r>
      <w:r w:rsidR="00425FD3" w:rsidRPr="00E27BB3">
        <w:rPr>
          <w:rFonts w:ascii="Segoe UI" w:hAnsi="Segoe UI" w:cs="Segoe UI"/>
          <w:color w:val="014171"/>
        </w:rPr>
        <w:t xml:space="preserve"> </w:t>
      </w:r>
      <w:r w:rsidR="00DD7522" w:rsidRPr="00E27BB3">
        <w:rPr>
          <w:rFonts w:ascii="Segoe UI" w:hAnsi="Segoe UI" w:cs="Segoe UI"/>
          <w:color w:val="014171"/>
        </w:rPr>
        <w:t>by</w:t>
      </w:r>
      <w:r w:rsidR="001A39FC" w:rsidRPr="00E27BB3">
        <w:rPr>
          <w:rFonts w:ascii="Segoe UI" w:hAnsi="Segoe UI" w:cs="Segoe UI"/>
          <w:color w:val="014171"/>
        </w:rPr>
        <w:t xml:space="preserve"> Deutsche Bundesbank, the capital adequacy requirements are therefore</w:t>
      </w:r>
      <w:r w:rsidR="00E82EF5" w:rsidRPr="00E27BB3">
        <w:rPr>
          <w:rFonts w:ascii="Segoe UI" w:hAnsi="Segoe UI" w:cs="Segoe UI"/>
          <w:color w:val="014171"/>
        </w:rPr>
        <w:t>,</w:t>
      </w:r>
      <w:r w:rsidR="001A39FC" w:rsidRPr="00E27BB3">
        <w:rPr>
          <w:rFonts w:ascii="Segoe UI" w:hAnsi="Segoe UI" w:cs="Segoe UI"/>
          <w:color w:val="014171"/>
        </w:rPr>
        <w:t xml:space="preserve"> for the first time</w:t>
      </w:r>
      <w:r w:rsidR="00425FD3" w:rsidRPr="00E27BB3">
        <w:rPr>
          <w:rFonts w:ascii="Segoe UI" w:hAnsi="Segoe UI" w:cs="Segoe UI"/>
          <w:color w:val="014171"/>
        </w:rPr>
        <w:t xml:space="preserve"> </w:t>
      </w:r>
      <w:r w:rsidR="001A39FC" w:rsidRPr="00E27BB3">
        <w:rPr>
          <w:rFonts w:ascii="Segoe UI" w:hAnsi="Segoe UI" w:cs="Segoe UI"/>
          <w:color w:val="014171"/>
        </w:rPr>
        <w:t xml:space="preserve">as of </w:t>
      </w:r>
      <w:r w:rsidR="00514E14" w:rsidRPr="00370CC2">
        <w:rPr>
          <w:rFonts w:ascii="Segoe UI" w:hAnsi="Segoe UI" w:cs="Segoe UI"/>
          <w:color w:val="014171"/>
        </w:rPr>
        <w:t xml:space="preserve">31 </w:t>
      </w:r>
      <w:r w:rsidR="001A39FC" w:rsidRPr="00E27BB3">
        <w:rPr>
          <w:rFonts w:ascii="Segoe UI" w:hAnsi="Segoe UI" w:cs="Segoe UI"/>
          <w:color w:val="014171"/>
        </w:rPr>
        <w:t xml:space="preserve">December </w:t>
      </w:r>
      <w:r w:rsidR="00514E14" w:rsidRPr="00370CC2">
        <w:rPr>
          <w:rFonts w:ascii="Segoe UI" w:hAnsi="Segoe UI" w:cs="Segoe UI"/>
          <w:color w:val="014171"/>
        </w:rPr>
        <w:t>2021</w:t>
      </w:r>
      <w:r w:rsidR="001A39FC" w:rsidRPr="00E27BB3">
        <w:rPr>
          <w:rFonts w:ascii="Segoe UI" w:hAnsi="Segoe UI" w:cs="Segoe UI"/>
          <w:color w:val="014171"/>
        </w:rPr>
        <w:t>, no longer</w:t>
      </w:r>
      <w:r w:rsidR="00425FD3" w:rsidRPr="00E27BB3">
        <w:rPr>
          <w:rFonts w:ascii="Segoe UI" w:hAnsi="Segoe UI" w:cs="Segoe UI"/>
          <w:color w:val="014171"/>
        </w:rPr>
        <w:t xml:space="preserve"> to be determined</w:t>
      </w:r>
      <w:r w:rsidR="001A39FC" w:rsidRPr="00E27BB3">
        <w:rPr>
          <w:rFonts w:ascii="Segoe UI" w:hAnsi="Segoe UI" w:cs="Segoe UI"/>
          <w:color w:val="014171"/>
        </w:rPr>
        <w:t xml:space="preserve"> according to the requirements of </w:t>
      </w:r>
      <w:r w:rsidR="00D71EB5" w:rsidRPr="00370CC2">
        <w:rPr>
          <w:rFonts w:ascii="Segoe UI" w:hAnsi="Segoe UI" w:cs="Segoe UI"/>
          <w:color w:val="014171"/>
        </w:rPr>
        <w:t>article</w:t>
      </w:r>
      <w:r w:rsidR="001A39FC" w:rsidRPr="00E27BB3">
        <w:rPr>
          <w:rFonts w:ascii="Segoe UI" w:hAnsi="Segoe UI" w:cs="Segoe UI"/>
          <w:color w:val="014171"/>
        </w:rPr>
        <w:t xml:space="preserve"> 92</w:t>
      </w:r>
      <w:r w:rsidR="00E82EF5" w:rsidRPr="00E27BB3">
        <w:rPr>
          <w:rFonts w:ascii="Segoe UI" w:hAnsi="Segoe UI" w:cs="Segoe UI"/>
          <w:color w:val="014171"/>
        </w:rPr>
        <w:t xml:space="preserve"> CRR</w:t>
      </w:r>
      <w:r w:rsidR="00425FD3" w:rsidRPr="00E27BB3">
        <w:rPr>
          <w:rFonts w:ascii="Segoe UI" w:hAnsi="Segoe UI" w:cs="Segoe UI"/>
          <w:color w:val="014171"/>
        </w:rPr>
        <w:t xml:space="preserve"> but </w:t>
      </w:r>
      <w:r w:rsidR="00D71EB5">
        <w:rPr>
          <w:rFonts w:ascii="Segoe UI" w:hAnsi="Segoe UI" w:cs="Segoe UI"/>
          <w:color w:val="014171"/>
        </w:rPr>
        <w:t>rather</w:t>
      </w:r>
      <w:r w:rsidR="001A39FC" w:rsidRPr="00E27BB3">
        <w:rPr>
          <w:rFonts w:ascii="Segoe UI" w:hAnsi="Segoe UI" w:cs="Segoe UI"/>
          <w:color w:val="014171"/>
        </w:rPr>
        <w:t xml:space="preserve"> the new reporting regime according to IFR.</w:t>
      </w:r>
    </w:p>
    <w:p w14:paraId="218CA2CE" w14:textId="709D5D23" w:rsidR="00DD7522" w:rsidRPr="00E27BB3" w:rsidRDefault="00DD7522" w:rsidP="00E27BB3">
      <w:pPr>
        <w:spacing w:after="0"/>
        <w:jc w:val="both"/>
        <w:rPr>
          <w:rFonts w:ascii="Segoe UI" w:hAnsi="Segoe UI" w:cs="Segoe UI"/>
          <w:color w:val="014171"/>
        </w:rPr>
      </w:pPr>
    </w:p>
    <w:p w14:paraId="3E181E16" w14:textId="29D729F5" w:rsidR="00FB00A8" w:rsidRDefault="00FB00A8" w:rsidP="00E27BB3">
      <w:pPr>
        <w:spacing w:after="0"/>
        <w:jc w:val="both"/>
        <w:rPr>
          <w:rFonts w:ascii="Segoe UI" w:hAnsi="Segoe UI" w:cs="Segoe UI"/>
          <w:color w:val="014171"/>
        </w:rPr>
      </w:pPr>
      <w:r w:rsidRPr="00E27BB3">
        <w:rPr>
          <w:rFonts w:ascii="Segoe UI" w:hAnsi="Segoe UI" w:cs="Segoe UI"/>
          <w:color w:val="014171"/>
        </w:rPr>
        <w:t xml:space="preserve">The </w:t>
      </w:r>
      <w:r w:rsidR="007C789B">
        <w:rPr>
          <w:rFonts w:ascii="Segoe UI" w:hAnsi="Segoe UI" w:cs="Segoe UI"/>
          <w:color w:val="014171"/>
        </w:rPr>
        <w:t xml:space="preserve">Internal Capital Adequacy Assessment Process </w:t>
      </w:r>
      <w:r w:rsidRPr="00E27BB3">
        <w:rPr>
          <w:rFonts w:ascii="Segoe UI" w:hAnsi="Segoe UI" w:cs="Segoe UI"/>
          <w:color w:val="014171"/>
        </w:rPr>
        <w:t xml:space="preserve">is still based on the guidelines issued by BaFin in May 2018 and in addition referenced to the MaRisk and </w:t>
      </w:r>
      <w:r w:rsidR="00D71EB5" w:rsidRPr="00E27BB3">
        <w:rPr>
          <w:rFonts w:ascii="Segoe UI" w:hAnsi="Segoe UI" w:cs="Segoe UI"/>
          <w:color w:val="014171"/>
        </w:rPr>
        <w:t xml:space="preserve">article </w:t>
      </w:r>
      <w:r w:rsidRPr="00E27BB3">
        <w:rPr>
          <w:rFonts w:ascii="Segoe UI" w:hAnsi="Segoe UI" w:cs="Segoe UI"/>
          <w:color w:val="014171"/>
        </w:rPr>
        <w:t>25a German Banking Act</w:t>
      </w:r>
      <w:r w:rsidR="00AE77E0" w:rsidRPr="00E27BB3">
        <w:rPr>
          <w:rFonts w:ascii="Segoe UI" w:hAnsi="Segoe UI" w:cs="Segoe UI"/>
          <w:color w:val="014171"/>
        </w:rPr>
        <w:t xml:space="preserve"> (</w:t>
      </w:r>
      <w:r w:rsidR="00AE77E0" w:rsidRPr="00E27BB3">
        <w:rPr>
          <w:rFonts w:ascii="Segoe UI" w:hAnsi="Segoe UI" w:cs="Segoe UI"/>
          <w:i/>
          <w:color w:val="014171"/>
        </w:rPr>
        <w:t>Kreditwesengesetz</w:t>
      </w:r>
      <w:r w:rsidR="00AE77E0" w:rsidRPr="006C6DDA">
        <w:rPr>
          <w:rFonts w:ascii="Segoe UI" w:hAnsi="Segoe UI" w:cs="Segoe UI"/>
          <w:color w:val="014171"/>
        </w:rPr>
        <w:t>,</w:t>
      </w:r>
      <w:r w:rsidR="00AE77E0" w:rsidRPr="00E27BB3">
        <w:rPr>
          <w:rFonts w:ascii="Segoe UI" w:hAnsi="Segoe UI" w:cs="Segoe UI"/>
          <w:color w:val="014171"/>
        </w:rPr>
        <w:t xml:space="preserve"> “KWG”)</w:t>
      </w:r>
      <w:r w:rsidRPr="00E27BB3">
        <w:rPr>
          <w:rFonts w:ascii="Segoe UI" w:hAnsi="Segoe UI" w:cs="Segoe UI"/>
          <w:color w:val="014171"/>
        </w:rPr>
        <w:t>.</w:t>
      </w:r>
      <w:r w:rsidR="00DD7522" w:rsidRPr="00E27BB3">
        <w:rPr>
          <w:rFonts w:ascii="Segoe UI" w:hAnsi="Segoe UI" w:cs="Segoe UI"/>
          <w:color w:val="014171"/>
        </w:rPr>
        <w:t xml:space="preserve"> </w:t>
      </w:r>
      <w:r w:rsidR="000040F6">
        <w:rPr>
          <w:rFonts w:ascii="Segoe UI" w:hAnsi="Segoe UI" w:cs="Segoe UI"/>
          <w:color w:val="014171"/>
        </w:rPr>
        <w:t>Due to</w:t>
      </w:r>
      <w:r w:rsidRPr="00E27BB3">
        <w:rPr>
          <w:rFonts w:ascii="Segoe UI" w:hAnsi="Segoe UI" w:cs="Segoe UI"/>
          <w:color w:val="014171"/>
        </w:rPr>
        <w:t xml:space="preserve"> the change in regulation</w:t>
      </w:r>
      <w:r w:rsidR="006C79FE" w:rsidRPr="006C6DDA">
        <w:rPr>
          <w:rFonts w:ascii="Segoe UI" w:hAnsi="Segoe UI" w:cs="Segoe UI"/>
          <w:color w:val="014171"/>
        </w:rPr>
        <w:t>,</w:t>
      </w:r>
      <w:r w:rsidRPr="00E27BB3">
        <w:rPr>
          <w:rFonts w:ascii="Segoe UI" w:hAnsi="Segoe UI" w:cs="Segoe UI"/>
          <w:color w:val="014171"/>
        </w:rPr>
        <w:t xml:space="preserve"> DCMD is now u</w:t>
      </w:r>
      <w:r w:rsidR="00DD16A1" w:rsidRPr="00E27BB3">
        <w:rPr>
          <w:rFonts w:ascii="Segoe UI" w:hAnsi="Segoe UI" w:cs="Segoe UI"/>
          <w:color w:val="014171"/>
        </w:rPr>
        <w:t>nder the IFR and WpIG</w:t>
      </w:r>
      <w:r w:rsidR="006C79FE" w:rsidRPr="006C6DDA">
        <w:rPr>
          <w:rFonts w:ascii="Segoe UI" w:hAnsi="Segoe UI" w:cs="Segoe UI"/>
          <w:color w:val="014171"/>
        </w:rPr>
        <w:t xml:space="preserve"> </w:t>
      </w:r>
      <w:r w:rsidR="00DD16A1" w:rsidRPr="00E27BB3">
        <w:rPr>
          <w:rFonts w:ascii="Segoe UI" w:hAnsi="Segoe UI" w:cs="Segoe UI"/>
          <w:color w:val="014171"/>
        </w:rPr>
        <w:t>regime</w:t>
      </w:r>
      <w:r w:rsidRPr="00E27BB3">
        <w:rPr>
          <w:rFonts w:ascii="Segoe UI" w:hAnsi="Segoe UI" w:cs="Segoe UI"/>
          <w:color w:val="014171"/>
        </w:rPr>
        <w:t xml:space="preserve"> </w:t>
      </w:r>
      <w:r w:rsidR="000040F6">
        <w:rPr>
          <w:rFonts w:ascii="Segoe UI" w:hAnsi="Segoe UI" w:cs="Segoe UI"/>
          <w:color w:val="014171"/>
        </w:rPr>
        <w:t xml:space="preserve">and </w:t>
      </w:r>
      <w:r w:rsidRPr="00E27BB3">
        <w:rPr>
          <w:rFonts w:ascii="Segoe UI" w:hAnsi="Segoe UI" w:cs="Segoe UI"/>
          <w:color w:val="014171"/>
        </w:rPr>
        <w:t xml:space="preserve">the KWG </w:t>
      </w:r>
      <w:r w:rsidR="000040F6">
        <w:rPr>
          <w:rFonts w:ascii="Segoe UI" w:hAnsi="Segoe UI" w:cs="Segoe UI"/>
          <w:color w:val="014171"/>
        </w:rPr>
        <w:t xml:space="preserve">formally </w:t>
      </w:r>
      <w:r w:rsidRPr="00E27BB3">
        <w:rPr>
          <w:rFonts w:ascii="Segoe UI" w:hAnsi="Segoe UI" w:cs="Segoe UI"/>
          <w:color w:val="014171"/>
        </w:rPr>
        <w:t>no</w:t>
      </w:r>
      <w:r w:rsidR="000040F6">
        <w:rPr>
          <w:rFonts w:ascii="Segoe UI" w:hAnsi="Segoe UI" w:cs="Segoe UI"/>
          <w:color w:val="014171"/>
        </w:rPr>
        <w:t xml:space="preserve"> longer</w:t>
      </w:r>
      <w:r w:rsidRPr="00E27BB3">
        <w:rPr>
          <w:rFonts w:ascii="Segoe UI" w:hAnsi="Segoe UI" w:cs="Segoe UI"/>
          <w:color w:val="014171"/>
        </w:rPr>
        <w:t xml:space="preserve"> appl</w:t>
      </w:r>
      <w:r w:rsidR="000040F6">
        <w:rPr>
          <w:rFonts w:ascii="Segoe UI" w:hAnsi="Segoe UI" w:cs="Segoe UI"/>
          <w:color w:val="014171"/>
        </w:rPr>
        <w:t>ies</w:t>
      </w:r>
      <w:r w:rsidRPr="00E27BB3">
        <w:rPr>
          <w:rFonts w:ascii="Segoe UI" w:hAnsi="Segoe UI" w:cs="Segoe UI"/>
          <w:color w:val="014171"/>
        </w:rPr>
        <w:t xml:space="preserve">. BaFin has asked investment firms to </w:t>
      </w:r>
      <w:r w:rsidR="000040F6">
        <w:rPr>
          <w:rFonts w:ascii="Segoe UI" w:hAnsi="Segoe UI" w:cs="Segoe UI"/>
          <w:color w:val="014171"/>
        </w:rPr>
        <w:t xml:space="preserve">continue to </w:t>
      </w:r>
      <w:r w:rsidRPr="00E27BB3">
        <w:rPr>
          <w:rFonts w:ascii="Segoe UI" w:hAnsi="Segoe UI" w:cs="Segoe UI"/>
          <w:color w:val="014171"/>
        </w:rPr>
        <w:t xml:space="preserve">comply with MaRisk </w:t>
      </w:r>
      <w:r w:rsidR="000040F6">
        <w:rPr>
          <w:rFonts w:ascii="Segoe UI" w:hAnsi="Segoe UI" w:cs="Segoe UI"/>
          <w:color w:val="014171"/>
        </w:rPr>
        <w:t>in</w:t>
      </w:r>
      <w:r w:rsidRPr="00E27BB3">
        <w:rPr>
          <w:rFonts w:ascii="Segoe UI" w:hAnsi="Segoe UI" w:cs="Segoe UI"/>
          <w:color w:val="014171"/>
        </w:rPr>
        <w:t xml:space="preserve"> an individual</w:t>
      </w:r>
      <w:r w:rsidR="000040F6">
        <w:rPr>
          <w:rFonts w:ascii="Segoe UI" w:hAnsi="Segoe UI" w:cs="Segoe UI"/>
          <w:color w:val="014171"/>
        </w:rPr>
        <w:t>ly</w:t>
      </w:r>
      <w:r w:rsidRPr="00E27BB3">
        <w:rPr>
          <w:rFonts w:ascii="Segoe UI" w:hAnsi="Segoe UI" w:cs="Segoe UI"/>
          <w:color w:val="014171"/>
        </w:rPr>
        <w:t xml:space="preserve"> appropriate way until BaFin has issued “a new MaRisk for investment firms” under WpIG rules.</w:t>
      </w:r>
      <w:r w:rsidR="00DD7522" w:rsidRPr="00E27BB3">
        <w:rPr>
          <w:rFonts w:ascii="Segoe UI" w:hAnsi="Segoe UI" w:cs="Segoe UI"/>
          <w:color w:val="014171"/>
        </w:rPr>
        <w:t xml:space="preserve"> </w:t>
      </w:r>
      <w:r w:rsidR="000040F6" w:rsidRPr="00E27BB3">
        <w:rPr>
          <w:rFonts w:ascii="Segoe UI" w:hAnsi="Segoe UI" w:cs="Segoe UI"/>
          <w:color w:val="014171"/>
        </w:rPr>
        <w:t>Un</w:t>
      </w:r>
      <w:r w:rsidR="000040F6">
        <w:rPr>
          <w:rFonts w:ascii="Segoe UI" w:hAnsi="Segoe UI" w:cs="Segoe UI"/>
          <w:color w:val="014171"/>
        </w:rPr>
        <w:t>til</w:t>
      </w:r>
      <w:r w:rsidR="000040F6" w:rsidRPr="00E27BB3">
        <w:rPr>
          <w:rFonts w:ascii="Segoe UI" w:hAnsi="Segoe UI" w:cs="Segoe UI"/>
          <w:color w:val="014171"/>
        </w:rPr>
        <w:t xml:space="preserve"> </w:t>
      </w:r>
      <w:r w:rsidR="00DD7522" w:rsidRPr="00E27BB3">
        <w:rPr>
          <w:rFonts w:ascii="Segoe UI" w:hAnsi="Segoe UI" w:cs="Segoe UI"/>
          <w:color w:val="014171"/>
        </w:rPr>
        <w:t>new rules are presented by the regulator</w:t>
      </w:r>
      <w:r w:rsidR="000040F6">
        <w:rPr>
          <w:rFonts w:ascii="Segoe UI" w:hAnsi="Segoe UI" w:cs="Segoe UI"/>
          <w:color w:val="014171"/>
        </w:rPr>
        <w:t>,</w:t>
      </w:r>
      <w:r w:rsidR="00DD7522" w:rsidRPr="00E27BB3">
        <w:rPr>
          <w:rFonts w:ascii="Segoe UI" w:hAnsi="Segoe UI" w:cs="Segoe UI"/>
          <w:color w:val="014171"/>
        </w:rPr>
        <w:t xml:space="preserve"> the existing ICAAP rules are applied.</w:t>
      </w:r>
    </w:p>
    <w:p w14:paraId="6F438C9B" w14:textId="77777777" w:rsidR="00AE77E0" w:rsidRPr="00E27BB3" w:rsidRDefault="00AE77E0" w:rsidP="00E27BB3">
      <w:pPr>
        <w:spacing w:after="0"/>
        <w:jc w:val="both"/>
        <w:rPr>
          <w:rFonts w:ascii="Segoe UI" w:hAnsi="Segoe UI" w:cs="Segoe UI"/>
          <w:color w:val="014171"/>
        </w:rPr>
      </w:pPr>
    </w:p>
    <w:p w14:paraId="66A7F9C3" w14:textId="77777777" w:rsidR="007D12B8" w:rsidRDefault="00FB00A8" w:rsidP="00E27BB3">
      <w:pPr>
        <w:spacing w:after="0"/>
        <w:jc w:val="both"/>
        <w:rPr>
          <w:rFonts w:ascii="Segoe UI" w:hAnsi="Segoe UI" w:cs="Segoe UI"/>
          <w:color w:val="014171"/>
        </w:rPr>
      </w:pPr>
      <w:r w:rsidRPr="00E27BB3">
        <w:rPr>
          <w:rFonts w:ascii="Segoe UI" w:hAnsi="Segoe UI" w:cs="Segoe UI"/>
          <w:color w:val="014171"/>
        </w:rPr>
        <w:t>The BaFin ICAAP guidelines require two major approaches / reviews:</w:t>
      </w:r>
    </w:p>
    <w:p w14:paraId="3E4710C7" w14:textId="6B6D4567" w:rsidR="00FB00A8" w:rsidRPr="00E27BB3" w:rsidRDefault="00FB00A8" w:rsidP="00E27BB3">
      <w:pPr>
        <w:spacing w:after="0"/>
        <w:jc w:val="both"/>
        <w:rPr>
          <w:rFonts w:ascii="Segoe UI" w:hAnsi="Segoe UI" w:cs="Segoe UI"/>
          <w:color w:val="014171"/>
        </w:rPr>
      </w:pPr>
    </w:p>
    <w:p w14:paraId="475B7384" w14:textId="5A0C6DE3" w:rsidR="00FB00A8" w:rsidRPr="00E27BB3" w:rsidRDefault="00FB00A8" w:rsidP="00E27BB3">
      <w:pPr>
        <w:pStyle w:val="ListParagraph"/>
        <w:numPr>
          <w:ilvl w:val="0"/>
          <w:numId w:val="76"/>
        </w:numPr>
        <w:spacing w:after="0"/>
        <w:jc w:val="both"/>
        <w:rPr>
          <w:rFonts w:ascii="Segoe UI" w:hAnsi="Segoe UI" w:cs="Segoe UI"/>
          <w:color w:val="014171"/>
        </w:rPr>
      </w:pPr>
      <w:r w:rsidRPr="00E27BB3">
        <w:rPr>
          <w:rFonts w:ascii="Segoe UI" w:hAnsi="Segoe UI" w:cs="Segoe UI"/>
          <w:color w:val="014171"/>
        </w:rPr>
        <w:t>Normative Perspective</w:t>
      </w:r>
    </w:p>
    <w:p w14:paraId="1A6B64E6" w14:textId="257B63EC" w:rsidR="00FB00A8" w:rsidRPr="00E27BB3" w:rsidRDefault="00FB00A8" w:rsidP="00E27BB3">
      <w:pPr>
        <w:pStyle w:val="ListParagraph"/>
        <w:numPr>
          <w:ilvl w:val="0"/>
          <w:numId w:val="76"/>
        </w:numPr>
        <w:spacing w:after="0"/>
        <w:jc w:val="both"/>
        <w:rPr>
          <w:rFonts w:ascii="Segoe UI" w:hAnsi="Segoe UI" w:cs="Segoe UI"/>
          <w:color w:val="014171"/>
        </w:rPr>
      </w:pPr>
      <w:r w:rsidRPr="00E27BB3">
        <w:rPr>
          <w:rFonts w:ascii="Segoe UI" w:hAnsi="Segoe UI" w:cs="Segoe UI"/>
          <w:color w:val="014171"/>
        </w:rPr>
        <w:t>Economic Perspective</w:t>
      </w:r>
    </w:p>
    <w:p w14:paraId="420E429D" w14:textId="77777777" w:rsidR="00763841" w:rsidRPr="00E27BB3" w:rsidRDefault="00763841" w:rsidP="00E27BB3">
      <w:pPr>
        <w:spacing w:after="0"/>
        <w:jc w:val="both"/>
        <w:rPr>
          <w:rFonts w:ascii="Segoe UI" w:hAnsi="Segoe UI" w:cs="Segoe UI"/>
          <w:color w:val="014171"/>
        </w:rPr>
      </w:pPr>
    </w:p>
    <w:p w14:paraId="7F053152" w14:textId="09B50DE9" w:rsidR="00763841" w:rsidRDefault="00FB00A8" w:rsidP="00E27BB3">
      <w:pPr>
        <w:spacing w:after="0"/>
        <w:jc w:val="both"/>
        <w:rPr>
          <w:rFonts w:ascii="Segoe UI" w:hAnsi="Segoe UI" w:cs="Segoe UI"/>
          <w:color w:val="014171"/>
        </w:rPr>
      </w:pPr>
      <w:r w:rsidRPr="00E27BB3">
        <w:rPr>
          <w:rFonts w:ascii="Segoe UI" w:hAnsi="Segoe UI" w:cs="Segoe UI"/>
          <w:color w:val="014171"/>
        </w:rPr>
        <w:t>Both approaches (normative and economic)</w:t>
      </w:r>
      <w:r w:rsidR="00823A6A" w:rsidRPr="00E27BB3">
        <w:rPr>
          <w:rFonts w:ascii="Segoe UI" w:hAnsi="Segoe UI" w:cs="Segoe UI"/>
          <w:color w:val="014171"/>
        </w:rPr>
        <w:t xml:space="preserve"> </w:t>
      </w:r>
      <w:r w:rsidR="00DD7522" w:rsidRPr="00E27BB3">
        <w:rPr>
          <w:rFonts w:ascii="Segoe UI" w:hAnsi="Segoe UI" w:cs="Segoe UI"/>
          <w:color w:val="014171"/>
        </w:rPr>
        <w:t>are</w:t>
      </w:r>
      <w:r w:rsidRPr="00E27BB3">
        <w:rPr>
          <w:rFonts w:ascii="Segoe UI" w:hAnsi="Segoe UI" w:cs="Segoe UI"/>
          <w:color w:val="014171"/>
        </w:rPr>
        <w:t xml:space="preserve"> equally important</w:t>
      </w:r>
      <w:r w:rsidR="00DD7522" w:rsidRPr="00E27BB3">
        <w:rPr>
          <w:rFonts w:ascii="Segoe UI" w:hAnsi="Segoe UI" w:cs="Segoe UI"/>
          <w:color w:val="014171"/>
        </w:rPr>
        <w:t xml:space="preserve"> for the</w:t>
      </w:r>
      <w:r w:rsidR="00823A6A" w:rsidRPr="00E27BB3">
        <w:rPr>
          <w:rFonts w:ascii="Segoe UI" w:hAnsi="Segoe UI" w:cs="Segoe UI"/>
          <w:color w:val="014171"/>
        </w:rPr>
        <w:t xml:space="preserve"> steering and control of DCMD</w:t>
      </w:r>
      <w:r w:rsidR="00763841">
        <w:rPr>
          <w:rFonts w:ascii="Segoe UI" w:hAnsi="Segoe UI" w:cs="Segoe UI"/>
          <w:color w:val="014171"/>
        </w:rPr>
        <w:t>’</w:t>
      </w:r>
      <w:r w:rsidR="00823A6A" w:rsidRPr="00E27BB3">
        <w:rPr>
          <w:rFonts w:ascii="Segoe UI" w:hAnsi="Segoe UI" w:cs="Segoe UI"/>
          <w:color w:val="014171"/>
        </w:rPr>
        <w:t xml:space="preserve">s capital requirements. The ICAAP reporting is done on a monthly basis and </w:t>
      </w:r>
      <w:r w:rsidR="000040F6">
        <w:rPr>
          <w:rFonts w:ascii="Segoe UI" w:hAnsi="Segoe UI" w:cs="Segoe UI"/>
          <w:color w:val="014171"/>
        </w:rPr>
        <w:t xml:space="preserve">form </w:t>
      </w:r>
      <w:r w:rsidR="00823A6A" w:rsidRPr="00E27BB3">
        <w:rPr>
          <w:rFonts w:ascii="Segoe UI" w:hAnsi="Segoe UI" w:cs="Segoe UI"/>
          <w:color w:val="014171"/>
        </w:rPr>
        <w:t>an integral component of the 3</w:t>
      </w:r>
      <w:r w:rsidR="000040F6">
        <w:rPr>
          <w:rFonts w:ascii="Segoe UI" w:hAnsi="Segoe UI" w:cs="Segoe UI"/>
          <w:color w:val="014171"/>
        </w:rPr>
        <w:t>-</w:t>
      </w:r>
      <w:r w:rsidR="00823A6A" w:rsidRPr="00E27BB3">
        <w:rPr>
          <w:rFonts w:ascii="Segoe UI" w:hAnsi="Segoe UI" w:cs="Segoe UI"/>
          <w:color w:val="014171"/>
        </w:rPr>
        <w:t>year business plan</w:t>
      </w:r>
      <w:r w:rsidR="00AD4DC0" w:rsidRPr="00E27BB3">
        <w:rPr>
          <w:rFonts w:ascii="Segoe UI" w:hAnsi="Segoe UI" w:cs="Segoe UI"/>
          <w:color w:val="014171"/>
        </w:rPr>
        <w:t>.</w:t>
      </w:r>
    </w:p>
    <w:p w14:paraId="454B6FCD" w14:textId="77777777" w:rsidR="000040F6" w:rsidRPr="00E27BB3" w:rsidRDefault="000040F6" w:rsidP="00E27BB3">
      <w:pPr>
        <w:spacing w:after="0"/>
        <w:jc w:val="both"/>
        <w:rPr>
          <w:rFonts w:ascii="Segoe UI" w:hAnsi="Segoe UI" w:cs="Segoe UI"/>
          <w:color w:val="014171"/>
        </w:rPr>
      </w:pPr>
    </w:p>
    <w:p w14:paraId="2EF113A7" w14:textId="4B7C296F" w:rsidR="00A04D7C" w:rsidRDefault="00823A6A" w:rsidP="00E27BB3">
      <w:pPr>
        <w:spacing w:after="0"/>
        <w:jc w:val="both"/>
        <w:rPr>
          <w:rFonts w:ascii="Segoe UI" w:hAnsi="Segoe UI" w:cs="Segoe UI"/>
          <w:color w:val="014171"/>
        </w:rPr>
      </w:pPr>
      <w:r w:rsidRPr="00E27BB3">
        <w:rPr>
          <w:rFonts w:ascii="Segoe UI" w:hAnsi="Segoe UI" w:cs="Segoe UI"/>
          <w:color w:val="014171"/>
        </w:rPr>
        <w:t>The ICAAP</w:t>
      </w:r>
      <w:r w:rsidR="00A04D7C" w:rsidRPr="00E27BB3">
        <w:rPr>
          <w:rFonts w:ascii="Segoe UI" w:hAnsi="Segoe UI" w:cs="Segoe UI"/>
          <w:color w:val="014171"/>
        </w:rPr>
        <w:t xml:space="preserve"> process encompasses</w:t>
      </w:r>
      <w:r w:rsidRPr="00E27BB3">
        <w:rPr>
          <w:rFonts w:ascii="Segoe UI" w:hAnsi="Segoe UI" w:cs="Segoe UI"/>
          <w:color w:val="014171"/>
        </w:rPr>
        <w:t xml:space="preserve"> as such</w:t>
      </w:r>
      <w:r w:rsidR="00A04D7C" w:rsidRPr="00E27BB3">
        <w:rPr>
          <w:rFonts w:ascii="Segoe UI" w:hAnsi="Segoe UI" w:cs="Segoe UI"/>
          <w:color w:val="014171"/>
        </w:rPr>
        <w:t> various aspects of internal governance with a particular focus on:</w:t>
      </w:r>
    </w:p>
    <w:p w14:paraId="754E54DF" w14:textId="77777777" w:rsidR="007D12B8" w:rsidRPr="00E27BB3" w:rsidRDefault="007D12B8" w:rsidP="00E27BB3">
      <w:pPr>
        <w:spacing w:after="0"/>
        <w:jc w:val="both"/>
        <w:rPr>
          <w:rFonts w:ascii="Segoe UI" w:hAnsi="Segoe UI" w:cs="Segoe UI"/>
          <w:color w:val="014171"/>
        </w:rPr>
      </w:pPr>
    </w:p>
    <w:p w14:paraId="718BACE8" w14:textId="77777777" w:rsidR="00A04D7C" w:rsidRPr="00E27BB3" w:rsidRDefault="00A04D7C" w:rsidP="00E27BB3">
      <w:pPr>
        <w:pStyle w:val="ListParagraph"/>
        <w:numPr>
          <w:ilvl w:val="0"/>
          <w:numId w:val="77"/>
        </w:numPr>
        <w:spacing w:after="0"/>
        <w:jc w:val="both"/>
        <w:rPr>
          <w:rFonts w:ascii="Segoe UI" w:hAnsi="Segoe UI" w:cs="Segoe UI"/>
          <w:color w:val="014171"/>
        </w:rPr>
      </w:pPr>
      <w:r w:rsidRPr="00E27BB3">
        <w:rPr>
          <w:rFonts w:ascii="Segoe UI" w:hAnsi="Segoe UI" w:cs="Segoe UI"/>
          <w:color w:val="014171"/>
        </w:rPr>
        <w:lastRenderedPageBreak/>
        <w:t>identification, monitoring and mitigation of harms;</w:t>
      </w:r>
    </w:p>
    <w:p w14:paraId="167525D0" w14:textId="77777777" w:rsidR="00A04D7C" w:rsidRPr="00E27BB3" w:rsidRDefault="00A04D7C" w:rsidP="00E27BB3">
      <w:pPr>
        <w:pStyle w:val="ListParagraph"/>
        <w:numPr>
          <w:ilvl w:val="0"/>
          <w:numId w:val="77"/>
        </w:numPr>
        <w:spacing w:after="0"/>
        <w:jc w:val="both"/>
        <w:rPr>
          <w:rFonts w:ascii="Segoe UI" w:hAnsi="Segoe UI" w:cs="Segoe UI"/>
          <w:color w:val="014171"/>
        </w:rPr>
      </w:pPr>
      <w:r w:rsidRPr="00E27BB3">
        <w:rPr>
          <w:rFonts w:ascii="Segoe UI" w:hAnsi="Segoe UI" w:cs="Segoe UI"/>
          <w:color w:val="014171"/>
        </w:rPr>
        <w:t xml:space="preserve">business model planning and forecasting; recovery and wind-down planning; and </w:t>
      </w:r>
    </w:p>
    <w:p w14:paraId="273854D6" w14:textId="55E61DBA" w:rsidR="00A04D7C" w:rsidRPr="00E27BB3" w:rsidRDefault="00A04D7C" w:rsidP="00E27BB3">
      <w:pPr>
        <w:pStyle w:val="ListParagraph"/>
        <w:numPr>
          <w:ilvl w:val="0"/>
          <w:numId w:val="77"/>
        </w:numPr>
        <w:spacing w:after="0"/>
        <w:jc w:val="both"/>
        <w:rPr>
          <w:rFonts w:ascii="Segoe UI" w:hAnsi="Segoe UI" w:cs="Segoe UI"/>
          <w:color w:val="014171"/>
        </w:rPr>
      </w:pPr>
      <w:r w:rsidRPr="00E27BB3">
        <w:rPr>
          <w:rFonts w:ascii="Segoe UI" w:hAnsi="Segoe UI" w:cs="Segoe UI"/>
          <w:color w:val="014171"/>
        </w:rPr>
        <w:t>assessing the adequacy of financial resources</w:t>
      </w:r>
    </w:p>
    <w:p w14:paraId="780F5031" w14:textId="3D534ABB" w:rsidR="005830E2" w:rsidRPr="00E27BB3" w:rsidRDefault="005830E2" w:rsidP="00E27BB3">
      <w:pPr>
        <w:spacing w:after="0"/>
        <w:jc w:val="both"/>
        <w:rPr>
          <w:rFonts w:ascii="Segoe UI" w:hAnsi="Segoe UI" w:cs="Segoe UI"/>
          <w:color w:val="014171"/>
        </w:rPr>
      </w:pPr>
    </w:p>
    <w:p w14:paraId="03CBC8A2" w14:textId="07394CF7" w:rsidR="005830E2" w:rsidRDefault="005830E2" w:rsidP="00E27BB3">
      <w:pPr>
        <w:spacing w:after="0"/>
        <w:jc w:val="both"/>
        <w:rPr>
          <w:rFonts w:ascii="Segoe UI" w:hAnsi="Segoe UI" w:cs="Segoe UI"/>
          <w:color w:val="014171"/>
        </w:rPr>
      </w:pPr>
      <w:r w:rsidRPr="00E27BB3">
        <w:rPr>
          <w:rFonts w:ascii="Segoe UI" w:hAnsi="Segoe UI" w:cs="Segoe UI"/>
          <w:color w:val="014171"/>
        </w:rPr>
        <w:t>The 3</w:t>
      </w:r>
      <w:r w:rsidR="000040F6">
        <w:rPr>
          <w:rFonts w:ascii="Segoe UI" w:hAnsi="Segoe UI" w:cs="Segoe UI"/>
          <w:color w:val="014171"/>
        </w:rPr>
        <w:t>-</w:t>
      </w:r>
      <w:r w:rsidRPr="00E27BB3">
        <w:rPr>
          <w:rFonts w:ascii="Segoe UI" w:hAnsi="Segoe UI" w:cs="Segoe UI"/>
          <w:color w:val="014171"/>
        </w:rPr>
        <w:t xml:space="preserve">year business plan considers profit and loss, business changes, </w:t>
      </w:r>
      <w:r w:rsidR="000040F6">
        <w:rPr>
          <w:rFonts w:ascii="Segoe UI" w:hAnsi="Segoe UI" w:cs="Segoe UI"/>
          <w:color w:val="014171"/>
        </w:rPr>
        <w:t xml:space="preserve">as well as </w:t>
      </w:r>
      <w:r w:rsidRPr="00E27BB3">
        <w:rPr>
          <w:rFonts w:ascii="Segoe UI" w:hAnsi="Segoe UI" w:cs="Segoe UI"/>
          <w:color w:val="014171"/>
        </w:rPr>
        <w:t>capital and liquidity requirements over the planning horizon.</w:t>
      </w:r>
      <w:r w:rsidR="00DD16A1" w:rsidRPr="00E27BB3">
        <w:rPr>
          <w:rFonts w:ascii="Segoe UI" w:hAnsi="Segoe UI" w:cs="Segoe UI"/>
          <w:color w:val="014171"/>
        </w:rPr>
        <w:t xml:space="preserve"> </w:t>
      </w:r>
      <w:r w:rsidRPr="00E27BB3">
        <w:rPr>
          <w:rFonts w:ascii="Segoe UI" w:hAnsi="Segoe UI" w:cs="Segoe UI"/>
          <w:color w:val="014171"/>
        </w:rPr>
        <w:t>In addition to the capital usage</w:t>
      </w:r>
      <w:r w:rsidR="000040F6">
        <w:rPr>
          <w:rFonts w:ascii="Segoe UI" w:hAnsi="Segoe UI" w:cs="Segoe UI"/>
          <w:color w:val="014171"/>
        </w:rPr>
        <w:t>,</w:t>
      </w:r>
      <w:r w:rsidRPr="00E27BB3">
        <w:rPr>
          <w:rFonts w:ascii="Segoe UI" w:hAnsi="Segoe UI" w:cs="Segoe UI"/>
          <w:color w:val="014171"/>
        </w:rPr>
        <w:t xml:space="preserve"> DCMD reviews the material risks for any additional risk which is not captured under the IFR rules</w:t>
      </w:r>
      <w:r w:rsidR="00DD16A1" w:rsidRPr="00E27BB3">
        <w:rPr>
          <w:rFonts w:ascii="Segoe UI" w:hAnsi="Segoe UI" w:cs="Segoe UI"/>
          <w:color w:val="014171"/>
        </w:rPr>
        <w:t xml:space="preserve"> as </w:t>
      </w:r>
      <w:r w:rsidRPr="00E27BB3">
        <w:rPr>
          <w:rFonts w:ascii="Segoe UI" w:hAnsi="Segoe UI" w:cs="Segoe UI"/>
          <w:color w:val="014171"/>
        </w:rPr>
        <w:t>risk</w:t>
      </w:r>
      <w:r w:rsidR="000040F6">
        <w:rPr>
          <w:rFonts w:ascii="Segoe UI" w:hAnsi="Segoe UI" w:cs="Segoe UI"/>
          <w:color w:val="014171"/>
        </w:rPr>
        <w:t>-</w:t>
      </w:r>
      <w:r w:rsidRPr="00E27BB3">
        <w:rPr>
          <w:rFonts w:ascii="Segoe UI" w:hAnsi="Segoe UI" w:cs="Segoe UI"/>
          <w:color w:val="014171"/>
        </w:rPr>
        <w:t>based capital requirements.</w:t>
      </w:r>
    </w:p>
    <w:p w14:paraId="7CBD8073" w14:textId="77777777" w:rsidR="000040F6" w:rsidRPr="00E27BB3" w:rsidRDefault="000040F6" w:rsidP="00E27BB3">
      <w:pPr>
        <w:spacing w:after="0"/>
        <w:jc w:val="both"/>
        <w:rPr>
          <w:rFonts w:ascii="Segoe UI" w:hAnsi="Segoe UI" w:cs="Segoe UI"/>
          <w:color w:val="014171"/>
        </w:rPr>
      </w:pPr>
    </w:p>
    <w:p w14:paraId="3BDC930B" w14:textId="25B76370" w:rsidR="005830E2" w:rsidRDefault="00DD16A1" w:rsidP="00E27BB3">
      <w:pPr>
        <w:spacing w:after="0"/>
        <w:jc w:val="both"/>
        <w:rPr>
          <w:rFonts w:ascii="Segoe UI" w:hAnsi="Segoe UI" w:cs="Segoe UI"/>
          <w:color w:val="014171"/>
        </w:rPr>
      </w:pPr>
      <w:r w:rsidRPr="00E27BB3">
        <w:rPr>
          <w:rFonts w:ascii="Segoe UI" w:hAnsi="Segoe UI" w:cs="Segoe UI"/>
          <w:color w:val="014171"/>
        </w:rPr>
        <w:t>The following additional risk are</w:t>
      </w:r>
      <w:r w:rsidR="005830E2" w:rsidRPr="00E27BB3">
        <w:rPr>
          <w:rFonts w:ascii="Segoe UI" w:hAnsi="Segoe UI" w:cs="Segoe UI"/>
          <w:color w:val="014171"/>
        </w:rPr>
        <w:t xml:space="preserve"> relevant under the normative base scenario:</w:t>
      </w:r>
    </w:p>
    <w:p w14:paraId="076E9243" w14:textId="77777777" w:rsidR="007D12B8" w:rsidRPr="00E27BB3" w:rsidRDefault="007D12B8" w:rsidP="00E27BB3">
      <w:pPr>
        <w:spacing w:after="0"/>
        <w:jc w:val="both"/>
        <w:rPr>
          <w:rFonts w:ascii="Segoe UI" w:hAnsi="Segoe UI" w:cs="Segoe UI"/>
          <w:color w:val="014171"/>
        </w:rPr>
      </w:pPr>
    </w:p>
    <w:p w14:paraId="1801DC93" w14:textId="77777777" w:rsidR="005830E2" w:rsidRPr="00E27BB3" w:rsidRDefault="005830E2" w:rsidP="00E27BB3">
      <w:pPr>
        <w:pStyle w:val="ListParagraph"/>
        <w:numPr>
          <w:ilvl w:val="0"/>
          <w:numId w:val="78"/>
        </w:numPr>
        <w:spacing w:after="0"/>
        <w:jc w:val="both"/>
        <w:rPr>
          <w:rFonts w:ascii="Segoe UI" w:hAnsi="Segoe UI" w:cs="Segoe UI"/>
          <w:color w:val="014171"/>
        </w:rPr>
      </w:pPr>
      <w:r w:rsidRPr="00E27BB3">
        <w:rPr>
          <w:rFonts w:ascii="Segoe UI" w:hAnsi="Segoe UI" w:cs="Segoe UI"/>
          <w:color w:val="014171"/>
        </w:rPr>
        <w:t>Liquidity Risk</w:t>
      </w:r>
    </w:p>
    <w:p w14:paraId="1A77A322" w14:textId="77777777" w:rsidR="005830E2" w:rsidRPr="00E27BB3" w:rsidRDefault="005830E2" w:rsidP="00E27BB3">
      <w:pPr>
        <w:pStyle w:val="ListParagraph"/>
        <w:numPr>
          <w:ilvl w:val="0"/>
          <w:numId w:val="78"/>
        </w:numPr>
        <w:spacing w:after="0"/>
        <w:jc w:val="both"/>
        <w:rPr>
          <w:rFonts w:ascii="Segoe UI" w:hAnsi="Segoe UI" w:cs="Segoe UI"/>
          <w:color w:val="014171"/>
        </w:rPr>
      </w:pPr>
      <w:r w:rsidRPr="00E27BB3">
        <w:rPr>
          <w:rFonts w:ascii="Segoe UI" w:hAnsi="Segoe UI" w:cs="Segoe UI"/>
          <w:color w:val="014171"/>
        </w:rPr>
        <w:t>Operational Risk</w:t>
      </w:r>
    </w:p>
    <w:p w14:paraId="7ABA1DE0" w14:textId="77777777" w:rsidR="005830E2" w:rsidRPr="00E27BB3" w:rsidRDefault="005830E2" w:rsidP="00E27BB3">
      <w:pPr>
        <w:pStyle w:val="ListParagraph"/>
        <w:numPr>
          <w:ilvl w:val="0"/>
          <w:numId w:val="78"/>
        </w:numPr>
        <w:spacing w:after="0"/>
        <w:jc w:val="both"/>
        <w:rPr>
          <w:rFonts w:ascii="Segoe UI" w:hAnsi="Segoe UI" w:cs="Segoe UI"/>
          <w:color w:val="014171"/>
        </w:rPr>
      </w:pPr>
      <w:r w:rsidRPr="00E27BB3">
        <w:rPr>
          <w:rFonts w:ascii="Segoe UI" w:hAnsi="Segoe UI" w:cs="Segoe UI"/>
          <w:color w:val="014171"/>
        </w:rPr>
        <w:t>Credit Risk</w:t>
      </w:r>
    </w:p>
    <w:p w14:paraId="371B5907" w14:textId="2291CB8D" w:rsidR="00A04D7C" w:rsidRPr="00E27BB3" w:rsidRDefault="005830E2" w:rsidP="00E27BB3">
      <w:pPr>
        <w:pStyle w:val="ListParagraph"/>
        <w:numPr>
          <w:ilvl w:val="0"/>
          <w:numId w:val="78"/>
        </w:numPr>
        <w:spacing w:after="0"/>
        <w:jc w:val="both"/>
        <w:rPr>
          <w:rFonts w:ascii="Segoe UI" w:hAnsi="Segoe UI" w:cs="Segoe UI"/>
          <w:color w:val="014171"/>
        </w:rPr>
      </w:pPr>
      <w:r w:rsidRPr="00E27BB3">
        <w:rPr>
          <w:rFonts w:ascii="Segoe UI" w:hAnsi="Segoe UI" w:cs="Segoe UI"/>
          <w:color w:val="014171"/>
        </w:rPr>
        <w:t>Market Risk</w:t>
      </w:r>
    </w:p>
    <w:p w14:paraId="777ED88B" w14:textId="77777777" w:rsidR="00763841" w:rsidRDefault="00763841" w:rsidP="00E27BB3">
      <w:pPr>
        <w:spacing w:after="0"/>
        <w:jc w:val="both"/>
        <w:rPr>
          <w:rFonts w:ascii="Segoe UI" w:hAnsi="Segoe UI" w:cs="Segoe UI"/>
          <w:color w:val="014171"/>
        </w:rPr>
      </w:pPr>
    </w:p>
    <w:p w14:paraId="2E76EFC0" w14:textId="215E15AB" w:rsidR="00984C40" w:rsidRDefault="005830E2" w:rsidP="00E27BB3">
      <w:pPr>
        <w:spacing w:after="0"/>
        <w:jc w:val="both"/>
        <w:rPr>
          <w:rFonts w:ascii="Segoe UI" w:hAnsi="Segoe UI" w:cs="Segoe UI"/>
          <w:color w:val="014171"/>
        </w:rPr>
      </w:pPr>
      <w:r w:rsidRPr="00E27BB3">
        <w:rPr>
          <w:rFonts w:ascii="Segoe UI" w:hAnsi="Segoe UI" w:cs="Segoe UI"/>
          <w:color w:val="014171"/>
        </w:rPr>
        <w:t>As part of the ICAAP</w:t>
      </w:r>
      <w:r w:rsidR="00227E8D" w:rsidRPr="00E27BB3">
        <w:rPr>
          <w:rFonts w:ascii="Segoe UI" w:hAnsi="Segoe UI" w:cs="Segoe UI"/>
          <w:color w:val="014171"/>
        </w:rPr>
        <w:t xml:space="preserve"> process, D</w:t>
      </w:r>
      <w:r w:rsidRPr="00E27BB3">
        <w:rPr>
          <w:rFonts w:ascii="Segoe UI" w:hAnsi="Segoe UI" w:cs="Segoe UI"/>
          <w:color w:val="014171"/>
        </w:rPr>
        <w:t>CMD</w:t>
      </w:r>
      <w:r w:rsidR="00227E8D" w:rsidRPr="00E27BB3">
        <w:rPr>
          <w:rFonts w:ascii="Segoe UI" w:hAnsi="Segoe UI" w:cs="Segoe UI"/>
          <w:color w:val="014171"/>
        </w:rPr>
        <w:t xml:space="preserve"> establishes its own funds threshold requirement and its liq</w:t>
      </w:r>
      <w:r w:rsidR="00DD16A1" w:rsidRPr="00E27BB3">
        <w:rPr>
          <w:rFonts w:ascii="Segoe UI" w:hAnsi="Segoe UI" w:cs="Segoe UI"/>
          <w:color w:val="014171"/>
        </w:rPr>
        <w:t>uid assets threshold requirement</w:t>
      </w:r>
      <w:r w:rsidR="00227E8D" w:rsidRPr="00E27BB3">
        <w:rPr>
          <w:rFonts w:ascii="Segoe UI" w:hAnsi="Segoe UI" w:cs="Segoe UI"/>
          <w:color w:val="014171"/>
        </w:rPr>
        <w:t xml:space="preserve"> to ensure the Firm</w:t>
      </w:r>
      <w:r w:rsidR="009B0457" w:rsidRPr="00E27BB3">
        <w:rPr>
          <w:rFonts w:ascii="Segoe UI" w:hAnsi="Segoe UI" w:cs="Segoe UI"/>
          <w:color w:val="014171"/>
        </w:rPr>
        <w:t xml:space="preserve"> can remain viable in</w:t>
      </w:r>
      <w:r w:rsidR="00227E8D" w:rsidRPr="00E27BB3">
        <w:rPr>
          <w:rFonts w:ascii="Segoe UI" w:hAnsi="Segoe UI" w:cs="Segoe UI"/>
          <w:color w:val="014171"/>
        </w:rPr>
        <w:t xml:space="preserve"> addressing any potenti</w:t>
      </w:r>
      <w:r w:rsidR="009B0457" w:rsidRPr="00E27BB3">
        <w:rPr>
          <w:rFonts w:ascii="Segoe UI" w:hAnsi="Segoe UI" w:cs="Segoe UI"/>
          <w:color w:val="014171"/>
        </w:rPr>
        <w:t>al harm from ongoing activities</w:t>
      </w:r>
      <w:r w:rsidR="00227E8D" w:rsidRPr="00E27BB3">
        <w:rPr>
          <w:rFonts w:ascii="Segoe UI" w:hAnsi="Segoe UI" w:cs="Segoe UI"/>
          <w:color w:val="014171"/>
        </w:rPr>
        <w:t xml:space="preserve"> and can wind-down in an orderly way. For harms not adequately mitigated through systems and controls or driven by an activity not covered by the K-Factor Own Funds Requirement, </w:t>
      </w:r>
      <w:r w:rsidR="009B0457" w:rsidRPr="00E27BB3">
        <w:rPr>
          <w:rFonts w:ascii="Segoe UI" w:hAnsi="Segoe UI" w:cs="Segoe UI"/>
          <w:color w:val="014171"/>
        </w:rPr>
        <w:t>DCMD</w:t>
      </w:r>
      <w:r w:rsidR="00227E8D" w:rsidRPr="00E27BB3">
        <w:rPr>
          <w:rFonts w:ascii="Segoe UI" w:hAnsi="Segoe UI" w:cs="Segoe UI"/>
          <w:color w:val="014171"/>
        </w:rPr>
        <w:t xml:space="preserve"> assesses whether additional own funds and/or liquid assets are required.</w:t>
      </w:r>
      <w:r w:rsidR="00A606B8" w:rsidRPr="00E27BB3">
        <w:rPr>
          <w:rFonts w:ascii="Segoe UI" w:hAnsi="Segoe UI" w:cs="Segoe UI"/>
          <w:color w:val="014171"/>
        </w:rPr>
        <w:t xml:space="preserve"> </w:t>
      </w:r>
      <w:r w:rsidR="007D0684" w:rsidRPr="00E27BB3">
        <w:rPr>
          <w:rFonts w:ascii="Segoe UI" w:hAnsi="Segoe UI" w:cs="Segoe UI"/>
          <w:color w:val="014171"/>
        </w:rPr>
        <w:t>DCM</w:t>
      </w:r>
      <w:r w:rsidR="00763841" w:rsidRPr="00E27BB3">
        <w:rPr>
          <w:rFonts w:ascii="Segoe UI" w:hAnsi="Segoe UI" w:cs="Segoe UI"/>
          <w:color w:val="014171"/>
        </w:rPr>
        <w:t>D</w:t>
      </w:r>
      <w:r w:rsidR="007D0684" w:rsidRPr="00E27BB3">
        <w:rPr>
          <w:rFonts w:ascii="Segoe UI" w:hAnsi="Segoe UI" w:cs="Segoe UI"/>
          <w:color w:val="014171"/>
        </w:rPr>
        <w:t xml:space="preserve"> currently has no requirement for a formal </w:t>
      </w:r>
      <w:r w:rsidR="009C0C2D" w:rsidRPr="00E27BB3">
        <w:rPr>
          <w:rFonts w:ascii="Segoe UI" w:hAnsi="Segoe UI" w:cs="Segoe UI"/>
          <w:color w:val="014171"/>
        </w:rPr>
        <w:t xml:space="preserve">written </w:t>
      </w:r>
      <w:r w:rsidR="007D0684" w:rsidRPr="00E27BB3">
        <w:rPr>
          <w:rFonts w:ascii="Segoe UI" w:hAnsi="Segoe UI" w:cs="Segoe UI"/>
          <w:color w:val="014171"/>
        </w:rPr>
        <w:t xml:space="preserve">recovery action plan </w:t>
      </w:r>
      <w:r w:rsidR="000040F6" w:rsidRPr="00E27BB3">
        <w:rPr>
          <w:rFonts w:ascii="Segoe UI" w:hAnsi="Segoe UI" w:cs="Segoe UI"/>
          <w:color w:val="014171"/>
        </w:rPr>
        <w:t xml:space="preserve">or </w:t>
      </w:r>
      <w:r w:rsidR="007D0684" w:rsidRPr="00E27BB3">
        <w:rPr>
          <w:rFonts w:ascii="Segoe UI" w:hAnsi="Segoe UI" w:cs="Segoe UI"/>
          <w:color w:val="014171"/>
        </w:rPr>
        <w:t>a wind-down plan</w:t>
      </w:r>
      <w:r w:rsidR="00E82140" w:rsidRPr="00E27BB3">
        <w:rPr>
          <w:rFonts w:ascii="Segoe UI" w:hAnsi="Segoe UI" w:cs="Segoe UI"/>
          <w:color w:val="014171"/>
        </w:rPr>
        <w:t xml:space="preserve"> in addition to the stress scenarios in the ICAAP</w:t>
      </w:r>
      <w:r w:rsidR="009C0C2D" w:rsidRPr="00E27BB3">
        <w:rPr>
          <w:rFonts w:ascii="Segoe UI" w:hAnsi="Segoe UI" w:cs="Segoe UI"/>
          <w:color w:val="014171"/>
        </w:rPr>
        <w:t xml:space="preserve"> (Normative Adverse Approach)</w:t>
      </w:r>
      <w:r w:rsidR="007D0684" w:rsidRPr="00E27BB3">
        <w:rPr>
          <w:rFonts w:ascii="Segoe UI" w:hAnsi="Segoe UI" w:cs="Segoe UI"/>
          <w:color w:val="014171"/>
        </w:rPr>
        <w:t>. These plans, apparently depending on the size and the importance of a company for the European Financial Market, were not yet required by the German regulator BaFin</w:t>
      </w:r>
      <w:r w:rsidR="00E27BB3">
        <w:rPr>
          <w:rFonts w:ascii="Segoe UI" w:hAnsi="Segoe UI" w:cs="Segoe UI"/>
          <w:color w:val="014171"/>
        </w:rPr>
        <w:t>.</w:t>
      </w:r>
    </w:p>
    <w:p w14:paraId="05032EB0" w14:textId="77777777" w:rsidR="00C036B2" w:rsidRPr="00E27BB3" w:rsidRDefault="00C036B2" w:rsidP="00E27BB3">
      <w:pPr>
        <w:spacing w:after="0"/>
        <w:jc w:val="both"/>
        <w:rPr>
          <w:rFonts w:ascii="Segoe UI" w:hAnsi="Segoe UI" w:cs="Segoe UI"/>
          <w:color w:val="014171"/>
        </w:rPr>
      </w:pPr>
    </w:p>
    <w:p w14:paraId="64978033" w14:textId="028A89A8" w:rsidR="000A083E" w:rsidRPr="00810DDC" w:rsidRDefault="00E360A0" w:rsidP="00E27BB3">
      <w:pPr>
        <w:pStyle w:val="Heading3"/>
      </w:pPr>
      <w:r w:rsidRPr="00FA2278">
        <w:t>Own Funds A</w:t>
      </w:r>
      <w:r w:rsidR="00810DDC">
        <w:t>dequacy</w:t>
      </w:r>
    </w:p>
    <w:p w14:paraId="7887F336" w14:textId="06D04280" w:rsidR="00763841" w:rsidRDefault="00F33F65" w:rsidP="00E27BB3">
      <w:pPr>
        <w:spacing w:after="0"/>
        <w:jc w:val="both"/>
        <w:rPr>
          <w:rFonts w:ascii="Segoe UI" w:hAnsi="Segoe UI" w:cs="Segoe UI"/>
          <w:color w:val="014171"/>
        </w:rPr>
      </w:pPr>
      <w:r w:rsidRPr="00E27BB3">
        <w:rPr>
          <w:rFonts w:ascii="Segoe UI" w:hAnsi="Segoe UI" w:cs="Segoe UI"/>
          <w:color w:val="014171"/>
        </w:rPr>
        <w:t>DCMD</w:t>
      </w:r>
      <w:r w:rsidR="0012451F" w:rsidRPr="00E27BB3">
        <w:rPr>
          <w:rFonts w:ascii="Segoe UI" w:hAnsi="Segoe UI" w:cs="Segoe UI"/>
          <w:color w:val="014171"/>
        </w:rPr>
        <w:t xml:space="preserve"> </w:t>
      </w:r>
      <w:r w:rsidR="00E360A0" w:rsidRPr="00E27BB3">
        <w:rPr>
          <w:rFonts w:ascii="Segoe UI" w:hAnsi="Segoe UI" w:cs="Segoe UI"/>
          <w:color w:val="014171"/>
        </w:rPr>
        <w:t xml:space="preserve">assesses the adequacy of its own funds on a regular basis against a variety of own funds requirement assessments. On a business as usual basis the regulatory reporting section assesses the own funds headroom against </w:t>
      </w:r>
      <w:r w:rsidR="00387328" w:rsidRPr="00370CC2">
        <w:rPr>
          <w:rFonts w:ascii="Segoe UI" w:hAnsi="Segoe UI" w:cs="Segoe UI"/>
          <w:color w:val="014171"/>
        </w:rPr>
        <w:t>F</w:t>
      </w:r>
      <w:r w:rsidR="00387328" w:rsidRPr="00E27BB3">
        <w:rPr>
          <w:rFonts w:ascii="Segoe UI" w:hAnsi="Segoe UI" w:cs="Segoe UI"/>
          <w:color w:val="014171"/>
        </w:rPr>
        <w:t xml:space="preserve">ixed </w:t>
      </w:r>
      <w:r w:rsidR="00387328" w:rsidRPr="00370CC2">
        <w:rPr>
          <w:rFonts w:ascii="Segoe UI" w:hAnsi="Segoe UI" w:cs="Segoe UI"/>
          <w:color w:val="014171"/>
        </w:rPr>
        <w:t>O</w:t>
      </w:r>
      <w:r w:rsidR="00387328" w:rsidRPr="00E27BB3">
        <w:rPr>
          <w:rFonts w:ascii="Segoe UI" w:hAnsi="Segoe UI" w:cs="Segoe UI"/>
          <w:color w:val="014171"/>
        </w:rPr>
        <w:t xml:space="preserve">verheads </w:t>
      </w:r>
      <w:r w:rsidR="00387328" w:rsidRPr="00370CC2">
        <w:rPr>
          <w:rFonts w:ascii="Segoe UI" w:hAnsi="Segoe UI" w:cs="Segoe UI"/>
          <w:color w:val="014171"/>
        </w:rPr>
        <w:t>R</w:t>
      </w:r>
      <w:r w:rsidR="00387328" w:rsidRPr="00E27BB3">
        <w:rPr>
          <w:rFonts w:ascii="Segoe UI" w:hAnsi="Segoe UI" w:cs="Segoe UI"/>
          <w:color w:val="014171"/>
        </w:rPr>
        <w:t>equirement</w:t>
      </w:r>
      <w:r w:rsidR="00387328">
        <w:rPr>
          <w:rFonts w:ascii="Segoe UI" w:hAnsi="Segoe UI" w:cs="Segoe UI"/>
          <w:color w:val="014171"/>
        </w:rPr>
        <w:t>s</w:t>
      </w:r>
      <w:r w:rsidR="00387328" w:rsidRPr="00E27BB3">
        <w:rPr>
          <w:rFonts w:ascii="Segoe UI" w:hAnsi="Segoe UI" w:cs="Segoe UI"/>
          <w:color w:val="014171"/>
        </w:rPr>
        <w:t xml:space="preserve"> (“FOR”)</w:t>
      </w:r>
      <w:r w:rsidR="00C532D7" w:rsidRPr="00E27BB3">
        <w:rPr>
          <w:rFonts w:ascii="Segoe UI" w:hAnsi="Segoe UI" w:cs="Segoe UI"/>
          <w:color w:val="014171"/>
        </w:rPr>
        <w:t>,</w:t>
      </w:r>
      <w:r w:rsidR="00731A57" w:rsidRPr="00E27BB3">
        <w:rPr>
          <w:rFonts w:ascii="Segoe UI" w:hAnsi="Segoe UI" w:cs="Segoe UI"/>
          <w:color w:val="014171"/>
        </w:rPr>
        <w:t xml:space="preserve"> </w:t>
      </w:r>
      <w:r w:rsidR="00C532D7" w:rsidRPr="00E27BB3">
        <w:rPr>
          <w:rFonts w:ascii="Segoe UI" w:hAnsi="Segoe UI" w:cs="Segoe UI"/>
          <w:color w:val="014171"/>
        </w:rPr>
        <w:t xml:space="preserve">K-Factor calculations and </w:t>
      </w:r>
      <w:r w:rsidR="00E360A0" w:rsidRPr="00E27BB3">
        <w:rPr>
          <w:rFonts w:ascii="Segoe UI" w:hAnsi="Segoe UI" w:cs="Segoe UI"/>
          <w:color w:val="014171"/>
        </w:rPr>
        <w:t>ICAAP</w:t>
      </w:r>
      <w:r w:rsidR="00763841">
        <w:rPr>
          <w:rFonts w:ascii="Segoe UI" w:hAnsi="Segoe UI" w:cs="Segoe UI"/>
          <w:color w:val="014171"/>
        </w:rPr>
        <w:t>,</w:t>
      </w:r>
      <w:r w:rsidR="00E360A0" w:rsidRPr="00E27BB3">
        <w:rPr>
          <w:rFonts w:ascii="Segoe UI" w:hAnsi="Segoe UI" w:cs="Segoe UI"/>
          <w:color w:val="014171"/>
        </w:rPr>
        <w:t xml:space="preserve"> </w:t>
      </w:r>
      <w:r w:rsidR="00763841">
        <w:rPr>
          <w:rFonts w:ascii="Segoe UI" w:hAnsi="Segoe UI" w:cs="Segoe UI"/>
          <w:color w:val="014171"/>
        </w:rPr>
        <w:t>as well as</w:t>
      </w:r>
      <w:r w:rsidR="00763841" w:rsidRPr="00E27BB3">
        <w:rPr>
          <w:rFonts w:ascii="Segoe UI" w:hAnsi="Segoe UI" w:cs="Segoe UI"/>
          <w:color w:val="014171"/>
        </w:rPr>
        <w:t xml:space="preserve"> </w:t>
      </w:r>
      <w:r w:rsidR="00C532D7" w:rsidRPr="00E27BB3">
        <w:rPr>
          <w:rFonts w:ascii="Segoe UI" w:hAnsi="Segoe UI" w:cs="Segoe UI"/>
          <w:color w:val="014171"/>
        </w:rPr>
        <w:t>additional SREP requirements</w:t>
      </w:r>
      <w:r w:rsidR="00E360A0" w:rsidRPr="00E27BB3">
        <w:rPr>
          <w:rFonts w:ascii="Segoe UI" w:hAnsi="Segoe UI" w:cs="Segoe UI"/>
          <w:color w:val="014171"/>
        </w:rPr>
        <w:t>.</w:t>
      </w:r>
    </w:p>
    <w:p w14:paraId="0D7123F0" w14:textId="77777777" w:rsidR="00C036B2" w:rsidRDefault="00C036B2" w:rsidP="00E27BB3">
      <w:pPr>
        <w:spacing w:after="0"/>
        <w:jc w:val="both"/>
        <w:rPr>
          <w:rFonts w:ascii="Segoe UI" w:hAnsi="Segoe UI" w:cs="Segoe UI"/>
          <w:color w:val="014171"/>
        </w:rPr>
      </w:pPr>
    </w:p>
    <w:p w14:paraId="64E52E7D" w14:textId="1D76A30F" w:rsidR="00E360A0" w:rsidRPr="00E27BB3" w:rsidRDefault="00E360A0" w:rsidP="00E27BB3">
      <w:pPr>
        <w:spacing w:after="0"/>
        <w:jc w:val="both"/>
        <w:rPr>
          <w:rFonts w:ascii="Segoe UI" w:hAnsi="Segoe UI" w:cs="Segoe UI"/>
          <w:color w:val="014171"/>
        </w:rPr>
      </w:pPr>
      <w:r w:rsidRPr="00E27BB3">
        <w:rPr>
          <w:rFonts w:ascii="Segoe UI" w:hAnsi="Segoe UI" w:cs="Segoe UI"/>
          <w:color w:val="014171"/>
        </w:rPr>
        <w:t xml:space="preserve">The </w:t>
      </w:r>
      <w:r w:rsidR="00C532D7" w:rsidRPr="00E27BB3">
        <w:rPr>
          <w:rFonts w:ascii="Segoe UI" w:hAnsi="Segoe UI" w:cs="Segoe UI"/>
          <w:color w:val="014171"/>
        </w:rPr>
        <w:t>Risk Department</w:t>
      </w:r>
      <w:r w:rsidRPr="00E27BB3">
        <w:rPr>
          <w:rFonts w:ascii="Segoe UI" w:hAnsi="Segoe UI" w:cs="Segoe UI"/>
          <w:color w:val="014171"/>
        </w:rPr>
        <w:t xml:space="preserve"> also undertakes monthly stress testing of own funds available and own funds requirements to assess the head</w:t>
      </w:r>
      <w:r w:rsidR="00810DDC" w:rsidRPr="00E27BB3">
        <w:rPr>
          <w:rFonts w:ascii="Segoe UI" w:hAnsi="Segoe UI" w:cs="Segoe UI"/>
          <w:color w:val="014171"/>
        </w:rPr>
        <w:t xml:space="preserve">room under stress. </w:t>
      </w:r>
      <w:r w:rsidRPr="00E27BB3">
        <w:rPr>
          <w:rFonts w:ascii="Segoe UI" w:hAnsi="Segoe UI" w:cs="Segoe UI"/>
          <w:color w:val="014171"/>
        </w:rPr>
        <w:t xml:space="preserve">Levels of own funds usage against </w:t>
      </w:r>
      <w:r w:rsidR="007C7B69" w:rsidRPr="00E27BB3">
        <w:rPr>
          <w:rFonts w:ascii="Segoe UI" w:hAnsi="Segoe UI" w:cs="Segoe UI"/>
          <w:color w:val="014171"/>
        </w:rPr>
        <w:t xml:space="preserve">IFR </w:t>
      </w:r>
      <w:r w:rsidRPr="00E27BB3">
        <w:rPr>
          <w:rFonts w:ascii="Segoe UI" w:hAnsi="Segoe UI" w:cs="Segoe UI"/>
          <w:color w:val="014171"/>
        </w:rPr>
        <w:t>limit</w:t>
      </w:r>
      <w:r w:rsidR="007C7B69" w:rsidRPr="00E27BB3">
        <w:rPr>
          <w:rFonts w:ascii="Segoe UI" w:hAnsi="Segoe UI" w:cs="Segoe UI"/>
          <w:color w:val="014171"/>
        </w:rPr>
        <w:t>s are monitored and reported on a daily basis.</w:t>
      </w:r>
    </w:p>
    <w:p w14:paraId="47356493" w14:textId="77777777" w:rsidR="00E360A0" w:rsidRPr="00E27BB3" w:rsidRDefault="00E360A0" w:rsidP="00E27BB3">
      <w:pPr>
        <w:spacing w:after="0"/>
        <w:jc w:val="both"/>
        <w:rPr>
          <w:rFonts w:ascii="Segoe UI" w:hAnsi="Segoe UI" w:cs="Segoe UI"/>
          <w:color w:val="014171"/>
        </w:rPr>
      </w:pPr>
    </w:p>
    <w:p w14:paraId="3D839863" w14:textId="77777777" w:rsidR="00E360A0" w:rsidRPr="00E27BB3" w:rsidRDefault="00E360A0" w:rsidP="00E27BB3">
      <w:pPr>
        <w:pStyle w:val="Heading3"/>
        <w:rPr>
          <w:b w:val="0"/>
        </w:rPr>
      </w:pPr>
      <w:r w:rsidRPr="00E27BB3">
        <w:t>Liquid Assets Adequacy</w:t>
      </w:r>
    </w:p>
    <w:p w14:paraId="7C79D8AA" w14:textId="7804785C" w:rsidR="00E360A0" w:rsidRDefault="00E360A0" w:rsidP="00E27BB3">
      <w:pPr>
        <w:spacing w:after="0"/>
        <w:jc w:val="both"/>
        <w:rPr>
          <w:rFonts w:ascii="Segoe UI" w:hAnsi="Segoe UI" w:cs="Segoe UI"/>
          <w:color w:val="014171"/>
        </w:rPr>
      </w:pPr>
      <w:r w:rsidRPr="00E27BB3">
        <w:rPr>
          <w:rFonts w:ascii="Segoe UI" w:hAnsi="Segoe UI" w:cs="Segoe UI"/>
          <w:color w:val="014171"/>
        </w:rPr>
        <w:t>The Firm regularly reviews key elements of the liquidity adequacy assessment, determining the Firm's requirements for liquid assets, ensuring that these remain appropriate to cover the liquidity and funding risks in normal and stressed conditions</w:t>
      </w:r>
      <w:r w:rsidR="00DA0695" w:rsidRPr="00E27BB3">
        <w:rPr>
          <w:rFonts w:ascii="Segoe UI" w:hAnsi="Segoe UI" w:cs="Segoe UI"/>
          <w:color w:val="014171"/>
        </w:rPr>
        <w:t>.</w:t>
      </w:r>
      <w:r w:rsidRPr="00E27BB3">
        <w:rPr>
          <w:rFonts w:ascii="Segoe UI" w:hAnsi="Segoe UI" w:cs="Segoe UI"/>
          <w:color w:val="014171"/>
        </w:rPr>
        <w:t xml:space="preserve"> </w:t>
      </w:r>
      <w:r w:rsidR="00FF0E80" w:rsidRPr="00E27BB3">
        <w:rPr>
          <w:rFonts w:ascii="Segoe UI" w:hAnsi="Segoe UI" w:cs="Segoe UI"/>
          <w:color w:val="014171"/>
        </w:rPr>
        <w:t xml:space="preserve">Under the new IFR rules the </w:t>
      </w:r>
      <w:r w:rsidR="00FF0E80" w:rsidRPr="00E27BB3">
        <w:rPr>
          <w:rFonts w:ascii="Segoe UI" w:hAnsi="Segoe UI" w:cs="Segoe UI"/>
          <w:color w:val="014171"/>
        </w:rPr>
        <w:lastRenderedPageBreak/>
        <w:t>minimum liquidity is set as a percentage of the F</w:t>
      </w:r>
      <w:r w:rsidR="00387328">
        <w:rPr>
          <w:rFonts w:ascii="Segoe UI" w:hAnsi="Segoe UI" w:cs="Segoe UI"/>
          <w:color w:val="014171"/>
        </w:rPr>
        <w:t xml:space="preserve">ixed Overhead Requirement </w:t>
      </w:r>
      <w:r w:rsidR="00FF0E80" w:rsidRPr="00E27BB3">
        <w:rPr>
          <w:rFonts w:ascii="Segoe UI" w:hAnsi="Segoe UI" w:cs="Segoe UI"/>
          <w:color w:val="014171"/>
        </w:rPr>
        <w:t xml:space="preserve">to cover potential outflows in the future. For DCMD this approach is working well as DCMD is currently </w:t>
      </w:r>
      <w:r w:rsidR="00E27BB3">
        <w:rPr>
          <w:rFonts w:ascii="Segoe UI" w:hAnsi="Segoe UI" w:cs="Segoe UI"/>
          <w:color w:val="014171"/>
        </w:rPr>
        <w:t xml:space="preserve">using </w:t>
      </w:r>
      <w:r w:rsidR="00FF0E80" w:rsidRPr="00E27BB3">
        <w:rPr>
          <w:rFonts w:ascii="Segoe UI" w:hAnsi="Segoe UI" w:cs="Segoe UI"/>
          <w:color w:val="014171"/>
        </w:rPr>
        <w:t>a 100% hedged book approach where deals are hedged within the Daiwa Group</w:t>
      </w:r>
      <w:r w:rsidR="00E27BB3">
        <w:rPr>
          <w:rFonts w:ascii="Segoe UI" w:hAnsi="Segoe UI" w:cs="Segoe UI"/>
          <w:color w:val="014171"/>
        </w:rPr>
        <w:t>, keeping liquidity risk to a minimum</w:t>
      </w:r>
      <w:r w:rsidR="00FF0E80" w:rsidRPr="00E27BB3">
        <w:rPr>
          <w:rFonts w:ascii="Segoe UI" w:hAnsi="Segoe UI" w:cs="Segoe UI"/>
          <w:color w:val="014171"/>
        </w:rPr>
        <w:t xml:space="preserve">. The </w:t>
      </w:r>
      <w:r w:rsidRPr="00E27BB3">
        <w:rPr>
          <w:rFonts w:ascii="Segoe UI" w:hAnsi="Segoe UI" w:cs="Segoe UI"/>
          <w:color w:val="014171"/>
        </w:rPr>
        <w:t>li</w:t>
      </w:r>
      <w:r w:rsidR="00BF177B" w:rsidRPr="00E27BB3">
        <w:rPr>
          <w:rFonts w:ascii="Segoe UI" w:hAnsi="Segoe UI" w:cs="Segoe UI"/>
          <w:color w:val="014171"/>
        </w:rPr>
        <w:t xml:space="preserve">quidity </w:t>
      </w:r>
      <w:r w:rsidR="00E27BB3">
        <w:rPr>
          <w:rFonts w:ascii="Segoe UI" w:hAnsi="Segoe UI" w:cs="Segoe UI"/>
          <w:color w:val="014171"/>
        </w:rPr>
        <w:t xml:space="preserve">amount </w:t>
      </w:r>
      <w:r w:rsidR="00FF0E80" w:rsidRPr="00E27BB3">
        <w:rPr>
          <w:rFonts w:ascii="Segoe UI" w:hAnsi="Segoe UI" w:cs="Segoe UI"/>
          <w:color w:val="014171"/>
        </w:rPr>
        <w:t>is</w:t>
      </w:r>
      <w:r w:rsidRPr="00E27BB3">
        <w:rPr>
          <w:rFonts w:ascii="Segoe UI" w:hAnsi="Segoe UI" w:cs="Segoe UI"/>
          <w:color w:val="014171"/>
        </w:rPr>
        <w:t xml:space="preserve"> daily monitoring and </w:t>
      </w:r>
      <w:r w:rsidR="00FF0E80" w:rsidRPr="00E27BB3">
        <w:rPr>
          <w:rFonts w:ascii="Segoe UI" w:hAnsi="Segoe UI" w:cs="Segoe UI"/>
          <w:color w:val="014171"/>
        </w:rPr>
        <w:t>reported</w:t>
      </w:r>
      <w:r w:rsidRPr="00E27BB3">
        <w:rPr>
          <w:rFonts w:ascii="Segoe UI" w:hAnsi="Segoe UI" w:cs="Segoe UI"/>
          <w:color w:val="014171"/>
        </w:rPr>
        <w:t>.</w:t>
      </w:r>
    </w:p>
    <w:p w14:paraId="6816D79F" w14:textId="3544AB4D" w:rsidR="00B81A57" w:rsidRDefault="00B81A57" w:rsidP="00E27BB3">
      <w:pPr>
        <w:spacing w:after="0"/>
        <w:jc w:val="both"/>
        <w:rPr>
          <w:rFonts w:ascii="Segoe UI" w:hAnsi="Segoe UI" w:cs="Segoe UI"/>
          <w:color w:val="014171"/>
        </w:rPr>
      </w:pPr>
    </w:p>
    <w:p w14:paraId="3DA639A4" w14:textId="77777777" w:rsidR="00B81A57" w:rsidRPr="00377C35" w:rsidRDefault="00B81A57" w:rsidP="00B81A57">
      <w:pPr>
        <w:pStyle w:val="Heading2"/>
      </w:pPr>
      <w:bookmarkStart w:id="94" w:name="_Toc122626069"/>
      <w:r w:rsidRPr="00E27BB3">
        <w:t>K-Factor Requirement and Fixed Overheads Requirement</w:t>
      </w:r>
      <w:bookmarkEnd w:id="94"/>
    </w:p>
    <w:p w14:paraId="2CFE2677" w14:textId="396A8C03" w:rsidR="00B81A57" w:rsidRDefault="00B81A57" w:rsidP="00B81A57">
      <w:pPr>
        <w:spacing w:after="0"/>
        <w:jc w:val="both"/>
        <w:rPr>
          <w:rFonts w:ascii="Segoe UI" w:hAnsi="Segoe UI" w:cs="Segoe UI"/>
          <w:color w:val="014171"/>
        </w:rPr>
      </w:pPr>
      <w:r w:rsidRPr="00E27BB3">
        <w:rPr>
          <w:rFonts w:ascii="Segoe UI" w:hAnsi="Segoe UI" w:cs="Segoe UI"/>
          <w:color w:val="014171"/>
        </w:rPr>
        <w:t xml:space="preserve">The table below shows the K-Factor Requirement (“KFR”), broken down into three groupings and the amount of </w:t>
      </w:r>
      <w:r w:rsidRPr="00370CC2">
        <w:rPr>
          <w:rFonts w:ascii="Segoe UI" w:hAnsi="Segoe UI" w:cs="Segoe UI"/>
          <w:color w:val="014171"/>
        </w:rPr>
        <w:t>F</w:t>
      </w:r>
      <w:r w:rsidRPr="00E27BB3">
        <w:rPr>
          <w:rFonts w:ascii="Segoe UI" w:hAnsi="Segoe UI" w:cs="Segoe UI"/>
          <w:color w:val="014171"/>
        </w:rPr>
        <w:t xml:space="preserve">ixed </w:t>
      </w:r>
      <w:r w:rsidRPr="00370CC2">
        <w:rPr>
          <w:rFonts w:ascii="Segoe UI" w:hAnsi="Segoe UI" w:cs="Segoe UI"/>
          <w:color w:val="014171"/>
        </w:rPr>
        <w:t>O</w:t>
      </w:r>
      <w:r w:rsidRPr="00E27BB3">
        <w:rPr>
          <w:rFonts w:ascii="Segoe UI" w:hAnsi="Segoe UI" w:cs="Segoe UI"/>
          <w:color w:val="014171"/>
        </w:rPr>
        <w:t xml:space="preserve">verheads </w:t>
      </w:r>
      <w:r w:rsidRPr="00370CC2">
        <w:rPr>
          <w:rFonts w:ascii="Segoe UI" w:hAnsi="Segoe UI" w:cs="Segoe UI"/>
          <w:color w:val="014171"/>
        </w:rPr>
        <w:t>R</w:t>
      </w:r>
      <w:r w:rsidR="00387328">
        <w:rPr>
          <w:rFonts w:ascii="Segoe UI" w:hAnsi="Segoe UI" w:cs="Segoe UI"/>
          <w:color w:val="014171"/>
        </w:rPr>
        <w:t xml:space="preserve">equirement </w:t>
      </w:r>
      <w:r w:rsidRPr="00E27BB3">
        <w:rPr>
          <w:rFonts w:ascii="Segoe UI" w:hAnsi="Segoe UI" w:cs="Segoe UI"/>
          <w:color w:val="014171"/>
        </w:rPr>
        <w:t>as of 31 March 2022.</w:t>
      </w:r>
    </w:p>
    <w:p w14:paraId="2D166D90" w14:textId="77777777" w:rsidR="00B81A57" w:rsidRDefault="00B81A57" w:rsidP="00B81A57">
      <w:pPr>
        <w:spacing w:after="0"/>
        <w:jc w:val="both"/>
        <w:rPr>
          <w:rFonts w:ascii="Segoe UI" w:hAnsi="Segoe UI" w:cs="Segoe UI"/>
          <w:color w:val="014171"/>
        </w:rPr>
      </w:pPr>
    </w:p>
    <w:p w14:paraId="5075E7FB" w14:textId="586C4CE7" w:rsidR="00B81A57" w:rsidRPr="00CA7757" w:rsidRDefault="00B81A57" w:rsidP="00B81A57">
      <w:pPr>
        <w:spacing w:after="0"/>
        <w:jc w:val="center"/>
        <w:rPr>
          <w:rFonts w:ascii="Segoe UI" w:hAnsi="Segoe UI" w:cs="Segoe UI"/>
          <w:b/>
          <w:color w:val="014171"/>
        </w:rPr>
      </w:pPr>
      <w:r w:rsidRPr="00CA7757">
        <w:rPr>
          <w:rFonts w:ascii="Segoe UI" w:hAnsi="Segoe UI" w:cs="Segoe UI"/>
          <w:b/>
          <w:color w:val="014171"/>
        </w:rPr>
        <w:t>T</w:t>
      </w:r>
      <w:r>
        <w:rPr>
          <w:rFonts w:ascii="Segoe UI" w:hAnsi="Segoe UI" w:cs="Segoe UI"/>
          <w:b/>
          <w:color w:val="014171"/>
        </w:rPr>
        <w:t>able 4</w:t>
      </w:r>
      <w:r w:rsidRPr="00CA7757">
        <w:rPr>
          <w:rFonts w:ascii="Segoe UI" w:hAnsi="Segoe UI" w:cs="Segoe UI"/>
          <w:b/>
          <w:color w:val="014171"/>
        </w:rPr>
        <w:t xml:space="preserve"> </w:t>
      </w:r>
      <w:r>
        <w:rPr>
          <w:rFonts w:ascii="Segoe UI" w:hAnsi="Segoe UI" w:cs="Segoe UI"/>
          <w:b/>
          <w:color w:val="014171"/>
        </w:rPr>
        <w:t>–</w:t>
      </w:r>
      <w:r w:rsidRPr="00CA7757">
        <w:rPr>
          <w:rFonts w:ascii="Segoe UI" w:hAnsi="Segoe UI" w:cs="Segoe UI"/>
          <w:b/>
          <w:color w:val="014171"/>
        </w:rPr>
        <w:t xml:space="preserve"> </w:t>
      </w:r>
      <w:r>
        <w:rPr>
          <w:rFonts w:ascii="Segoe UI" w:hAnsi="Segoe UI" w:cs="Segoe UI"/>
          <w:b/>
          <w:color w:val="014171"/>
        </w:rPr>
        <w:t>K-Factor and Fixed Overheads Requirement</w:t>
      </w:r>
    </w:p>
    <w:p w14:paraId="56516AA3" w14:textId="77777777" w:rsidR="00B81A57" w:rsidRPr="00E27BB3" w:rsidRDefault="00B81A57" w:rsidP="00B81A57">
      <w:pPr>
        <w:spacing w:after="0"/>
        <w:jc w:val="center"/>
        <w:rPr>
          <w:rFonts w:ascii="Segoe UI" w:hAnsi="Segoe UI" w:cs="Segoe UI"/>
          <w:color w:val="014171"/>
        </w:rPr>
      </w:pPr>
      <w:r w:rsidRPr="00CA7757">
        <w:rPr>
          <w:rFonts w:ascii="Segoe UI" w:hAnsi="Segoe UI" w:cs="Segoe UI"/>
          <w:color w:val="014171"/>
        </w:rPr>
        <w:t>Audited and approved Financial Statements as of 31 March 2022</w:t>
      </w:r>
    </w:p>
    <w:p w14:paraId="0C74E2FC" w14:textId="77777777" w:rsidR="00B81A57" w:rsidRPr="00FA2278" w:rsidRDefault="00B81A57" w:rsidP="00B81A57">
      <w:pPr>
        <w:spacing w:after="0" w:line="240" w:lineRule="auto"/>
        <w:jc w:val="both"/>
        <w:rPr>
          <w:rFonts w:ascii="Times New Roman" w:hAnsi="Times New Roman"/>
          <w:color w:val="0F243E" w:themeColor="text2" w:themeShade="80"/>
          <w:sz w:val="24"/>
          <w:szCs w:val="24"/>
        </w:rPr>
      </w:pPr>
    </w:p>
    <w:tbl>
      <w:tblPr>
        <w:tblStyle w:val="TableGrid"/>
        <w:tblW w:w="0" w:type="auto"/>
        <w:jc w:val="center"/>
        <w:tblLook w:val="04A0" w:firstRow="1" w:lastRow="0" w:firstColumn="1" w:lastColumn="0" w:noHBand="0" w:noVBand="1"/>
      </w:tblPr>
      <w:tblGrid>
        <w:gridCol w:w="1275"/>
        <w:gridCol w:w="1686"/>
        <w:gridCol w:w="862"/>
        <w:gridCol w:w="3300"/>
        <w:gridCol w:w="1893"/>
      </w:tblGrid>
      <w:tr w:rsidR="00B81A57" w:rsidRPr="0048121F" w14:paraId="36B70AAC" w14:textId="77777777" w:rsidTr="00AC51F9">
        <w:trPr>
          <w:jc w:val="center"/>
        </w:trPr>
        <w:tc>
          <w:tcPr>
            <w:tcW w:w="2961" w:type="dxa"/>
            <w:gridSpan w:val="2"/>
            <w:shd w:val="clear" w:color="auto" w:fill="002060"/>
          </w:tcPr>
          <w:p w14:paraId="7B348302" w14:textId="77777777" w:rsidR="00B81A57" w:rsidRPr="00E27BB3" w:rsidRDefault="00B81A57" w:rsidP="00AC51F9">
            <w:pPr>
              <w:spacing w:after="0" w:line="240" w:lineRule="auto"/>
              <w:jc w:val="both"/>
              <w:rPr>
                <w:rFonts w:ascii="Segoe UI" w:hAnsi="Segoe UI" w:cs="Segoe UI"/>
                <w:b/>
                <w:color w:val="FFFFFF" w:themeColor="background1"/>
                <w:sz w:val="20"/>
                <w:szCs w:val="24"/>
              </w:rPr>
            </w:pPr>
          </w:p>
        </w:tc>
        <w:tc>
          <w:tcPr>
            <w:tcW w:w="4162" w:type="dxa"/>
            <w:gridSpan w:val="2"/>
            <w:shd w:val="clear" w:color="auto" w:fill="002060"/>
            <w:vAlign w:val="center"/>
          </w:tcPr>
          <w:p w14:paraId="2892DD0A" w14:textId="77777777" w:rsidR="00B81A57" w:rsidRPr="00E27BB3" w:rsidRDefault="00B81A57" w:rsidP="00AC51F9">
            <w:pPr>
              <w:spacing w:after="0" w:line="240" w:lineRule="auto"/>
              <w:jc w:val="both"/>
              <w:rPr>
                <w:rFonts w:ascii="Segoe UI" w:hAnsi="Segoe UI" w:cs="Segoe UI"/>
                <w:b/>
                <w:color w:val="FFFFFF" w:themeColor="background1"/>
                <w:sz w:val="20"/>
                <w:szCs w:val="24"/>
              </w:rPr>
            </w:pPr>
            <w:r w:rsidRPr="00E27BB3">
              <w:rPr>
                <w:rFonts w:ascii="Segoe UI" w:hAnsi="Segoe UI" w:cs="Segoe UI"/>
                <w:b/>
                <w:color w:val="FFFFFF" w:themeColor="background1"/>
                <w:sz w:val="20"/>
                <w:szCs w:val="24"/>
              </w:rPr>
              <w:t xml:space="preserve"> Item</w:t>
            </w:r>
          </w:p>
        </w:tc>
        <w:tc>
          <w:tcPr>
            <w:tcW w:w="1893" w:type="dxa"/>
            <w:shd w:val="clear" w:color="auto" w:fill="002060"/>
            <w:vAlign w:val="center"/>
          </w:tcPr>
          <w:p w14:paraId="25367F1C" w14:textId="77777777" w:rsidR="00B81A57" w:rsidRPr="00E27BB3" w:rsidRDefault="00B81A57" w:rsidP="00AC51F9">
            <w:pPr>
              <w:spacing w:after="0" w:line="240" w:lineRule="auto"/>
              <w:jc w:val="both"/>
              <w:rPr>
                <w:rFonts w:ascii="Segoe UI" w:hAnsi="Segoe UI" w:cs="Segoe UI"/>
                <w:b/>
                <w:color w:val="FFFFFF" w:themeColor="background1"/>
                <w:sz w:val="20"/>
                <w:szCs w:val="24"/>
              </w:rPr>
            </w:pPr>
            <w:r w:rsidRPr="00E27BB3">
              <w:rPr>
                <w:rFonts w:ascii="Segoe UI" w:hAnsi="Segoe UI" w:cs="Segoe UI"/>
                <w:b/>
                <w:color w:val="FFFFFF" w:themeColor="background1"/>
                <w:sz w:val="20"/>
                <w:szCs w:val="24"/>
              </w:rPr>
              <w:t>Amount in k EUR</w:t>
            </w:r>
          </w:p>
        </w:tc>
      </w:tr>
      <w:tr w:rsidR="00B81A57" w:rsidRPr="0048121F" w14:paraId="18C5ED29" w14:textId="77777777" w:rsidTr="00D97521">
        <w:trPr>
          <w:trHeight w:val="340"/>
          <w:jc w:val="center"/>
        </w:trPr>
        <w:tc>
          <w:tcPr>
            <w:tcW w:w="1275" w:type="dxa"/>
            <w:vMerge w:val="restart"/>
            <w:vAlign w:val="center"/>
          </w:tcPr>
          <w:p w14:paraId="2721367D" w14:textId="77777777" w:rsidR="00B81A57" w:rsidRPr="00E27BB3" w:rsidRDefault="00B81A57" w:rsidP="00AC51F9">
            <w:pPr>
              <w:spacing w:after="0" w:line="240" w:lineRule="auto"/>
              <w:jc w:val="both"/>
              <w:rPr>
                <w:rFonts w:ascii="Segoe UI" w:hAnsi="Segoe UI" w:cs="Segoe UI"/>
                <w:b/>
                <w:color w:val="014171"/>
                <w:sz w:val="20"/>
                <w:szCs w:val="24"/>
              </w:rPr>
            </w:pPr>
            <w:r w:rsidRPr="00E27BB3">
              <w:rPr>
                <w:rFonts w:ascii="Segoe UI" w:hAnsi="Segoe UI" w:cs="Segoe UI"/>
                <w:b/>
                <w:color w:val="014171"/>
                <w:sz w:val="20"/>
                <w:szCs w:val="24"/>
                <w:lang w:val="en-US"/>
              </w:rPr>
              <w:t>K-Factor</w:t>
            </w:r>
          </w:p>
        </w:tc>
        <w:tc>
          <w:tcPr>
            <w:tcW w:w="2548" w:type="dxa"/>
            <w:gridSpan w:val="2"/>
          </w:tcPr>
          <w:p w14:paraId="40341042" w14:textId="77777777" w:rsidR="00B81A57" w:rsidRPr="00E27BB3" w:rsidRDefault="00B81A57" w:rsidP="00AC51F9">
            <w:pPr>
              <w:spacing w:after="0" w:line="240" w:lineRule="auto"/>
              <w:jc w:val="both"/>
              <w:rPr>
                <w:rFonts w:ascii="Segoe UI" w:hAnsi="Segoe UI" w:cs="Segoe UI"/>
                <w:color w:val="014171"/>
                <w:sz w:val="20"/>
                <w:szCs w:val="24"/>
              </w:rPr>
            </w:pPr>
            <w:r>
              <w:rPr>
                <w:rFonts w:ascii="Segoe UI" w:hAnsi="Segoe UI" w:cs="Segoe UI"/>
                <w:color w:val="014171"/>
                <w:sz w:val="20"/>
                <w:szCs w:val="24"/>
              </w:rPr>
              <w:t>Risk to Client (“</w:t>
            </w:r>
            <w:r w:rsidRPr="002602E2">
              <w:rPr>
                <w:rFonts w:ascii="Segoe UI" w:hAnsi="Segoe UI" w:cs="Segoe UI"/>
                <w:color w:val="014171"/>
                <w:sz w:val="20"/>
                <w:szCs w:val="24"/>
              </w:rPr>
              <w:t>RtC</w:t>
            </w:r>
            <w:r>
              <w:rPr>
                <w:rFonts w:ascii="Segoe UI" w:hAnsi="Segoe UI" w:cs="Segoe UI"/>
                <w:color w:val="014171"/>
                <w:sz w:val="20"/>
                <w:szCs w:val="24"/>
              </w:rPr>
              <w:t>”)</w:t>
            </w:r>
          </w:p>
        </w:tc>
        <w:tc>
          <w:tcPr>
            <w:tcW w:w="3300" w:type="dxa"/>
            <w:vAlign w:val="center"/>
          </w:tcPr>
          <w:p w14:paraId="28608C52" w14:textId="77777777" w:rsidR="00B81A57" w:rsidRPr="00E27BB3" w:rsidRDefault="00B81A57" w:rsidP="00AC51F9">
            <w:pPr>
              <w:spacing w:after="0" w:line="240" w:lineRule="auto"/>
              <w:jc w:val="both"/>
              <w:rPr>
                <w:rFonts w:ascii="Segoe UI" w:hAnsi="Segoe UI" w:cs="Segoe UI"/>
                <w:color w:val="014171"/>
                <w:sz w:val="20"/>
                <w:szCs w:val="24"/>
              </w:rPr>
            </w:pPr>
            <w:r w:rsidRPr="00E27BB3">
              <w:rPr>
                <w:rFonts w:ascii="Segoe UI" w:hAnsi="Segoe UI" w:cs="Segoe UI"/>
                <w:color w:val="014171"/>
                <w:sz w:val="20"/>
                <w:szCs w:val="24"/>
              </w:rPr>
              <w:t>∑ K-AUM, K-CMH</w:t>
            </w:r>
            <w:r>
              <w:rPr>
                <w:rFonts w:ascii="Segoe UI" w:hAnsi="Segoe UI" w:cs="Segoe UI"/>
                <w:color w:val="014171"/>
                <w:sz w:val="20"/>
                <w:szCs w:val="24"/>
              </w:rPr>
              <w:t>,</w:t>
            </w:r>
            <w:r w:rsidRPr="00E27BB3">
              <w:rPr>
                <w:rFonts w:ascii="Segoe UI" w:hAnsi="Segoe UI" w:cs="Segoe UI"/>
                <w:color w:val="014171"/>
                <w:sz w:val="20"/>
                <w:szCs w:val="24"/>
              </w:rPr>
              <w:t xml:space="preserve"> K-ASA</w:t>
            </w:r>
            <w:r>
              <w:rPr>
                <w:rFonts w:ascii="Segoe UI" w:hAnsi="Segoe UI" w:cs="Segoe UI"/>
                <w:color w:val="014171"/>
                <w:sz w:val="20"/>
                <w:szCs w:val="24"/>
              </w:rPr>
              <w:t xml:space="preserve">, </w:t>
            </w:r>
            <w:r w:rsidRPr="00E27BB3">
              <w:rPr>
                <w:rFonts w:ascii="Segoe UI" w:hAnsi="Segoe UI" w:cs="Segoe UI"/>
                <w:color w:val="014171"/>
                <w:sz w:val="20"/>
                <w:szCs w:val="24"/>
              </w:rPr>
              <w:t>K-COH</w:t>
            </w:r>
          </w:p>
        </w:tc>
        <w:tc>
          <w:tcPr>
            <w:tcW w:w="1893" w:type="dxa"/>
          </w:tcPr>
          <w:p w14:paraId="1AF3DF30" w14:textId="3F240DFE" w:rsidR="00B81A57" w:rsidRPr="00E27BB3" w:rsidRDefault="00F3377B" w:rsidP="00AC51F9">
            <w:pPr>
              <w:spacing w:after="0" w:line="240" w:lineRule="auto"/>
              <w:jc w:val="right"/>
              <w:rPr>
                <w:rFonts w:ascii="Segoe UI" w:hAnsi="Segoe UI" w:cs="Segoe UI"/>
                <w:color w:val="014171"/>
                <w:sz w:val="20"/>
                <w:szCs w:val="24"/>
              </w:rPr>
            </w:pPr>
            <w:r>
              <w:rPr>
                <w:rFonts w:ascii="Segoe UI" w:hAnsi="Segoe UI" w:cs="Segoe UI"/>
                <w:color w:val="014171"/>
                <w:sz w:val="20"/>
                <w:szCs w:val="24"/>
              </w:rPr>
              <w:t>86.5</w:t>
            </w:r>
          </w:p>
        </w:tc>
      </w:tr>
      <w:tr w:rsidR="00B81A57" w:rsidRPr="0048121F" w14:paraId="682C3620" w14:textId="77777777" w:rsidTr="00D97521">
        <w:trPr>
          <w:trHeight w:val="340"/>
          <w:jc w:val="center"/>
        </w:trPr>
        <w:tc>
          <w:tcPr>
            <w:tcW w:w="1275" w:type="dxa"/>
            <w:vMerge/>
            <w:vAlign w:val="center"/>
          </w:tcPr>
          <w:p w14:paraId="7C2804A0" w14:textId="77777777" w:rsidR="00B81A57" w:rsidRPr="00E27BB3" w:rsidRDefault="00B81A57" w:rsidP="00AC51F9">
            <w:pPr>
              <w:spacing w:after="0" w:line="240" w:lineRule="auto"/>
              <w:jc w:val="both"/>
              <w:rPr>
                <w:rFonts w:ascii="Segoe UI" w:hAnsi="Segoe UI" w:cs="Segoe UI"/>
                <w:color w:val="014171"/>
                <w:sz w:val="20"/>
                <w:szCs w:val="24"/>
              </w:rPr>
            </w:pPr>
          </w:p>
        </w:tc>
        <w:tc>
          <w:tcPr>
            <w:tcW w:w="2548" w:type="dxa"/>
            <w:gridSpan w:val="2"/>
          </w:tcPr>
          <w:p w14:paraId="264659F3" w14:textId="77777777" w:rsidR="00B81A57" w:rsidRPr="00E27BB3" w:rsidRDefault="00B81A57" w:rsidP="00AC51F9">
            <w:pPr>
              <w:spacing w:after="0" w:line="240" w:lineRule="auto"/>
              <w:jc w:val="both"/>
              <w:rPr>
                <w:rFonts w:ascii="Segoe UI" w:hAnsi="Segoe UI" w:cs="Segoe UI"/>
                <w:color w:val="014171"/>
                <w:sz w:val="20"/>
                <w:szCs w:val="24"/>
              </w:rPr>
            </w:pPr>
            <w:r>
              <w:rPr>
                <w:rFonts w:ascii="Segoe UI" w:hAnsi="Segoe UI" w:cs="Segoe UI"/>
                <w:color w:val="014171"/>
                <w:sz w:val="20"/>
                <w:szCs w:val="24"/>
              </w:rPr>
              <w:t>Risk to Firm (“</w:t>
            </w:r>
            <w:r w:rsidRPr="002602E2">
              <w:rPr>
                <w:rFonts w:ascii="Segoe UI" w:hAnsi="Segoe UI" w:cs="Segoe UI"/>
                <w:color w:val="014171"/>
                <w:sz w:val="20"/>
                <w:szCs w:val="24"/>
              </w:rPr>
              <w:t>RtF</w:t>
            </w:r>
            <w:r>
              <w:rPr>
                <w:rFonts w:ascii="Segoe UI" w:hAnsi="Segoe UI" w:cs="Segoe UI"/>
                <w:color w:val="014171"/>
                <w:sz w:val="20"/>
                <w:szCs w:val="24"/>
              </w:rPr>
              <w:t>”)</w:t>
            </w:r>
          </w:p>
        </w:tc>
        <w:tc>
          <w:tcPr>
            <w:tcW w:w="3300" w:type="dxa"/>
            <w:vAlign w:val="center"/>
          </w:tcPr>
          <w:p w14:paraId="73F58170" w14:textId="77777777" w:rsidR="00B81A57" w:rsidRPr="00E27BB3" w:rsidRDefault="00B81A57" w:rsidP="00AC51F9">
            <w:pPr>
              <w:spacing w:after="0" w:line="240" w:lineRule="auto"/>
              <w:jc w:val="both"/>
              <w:rPr>
                <w:rFonts w:ascii="Segoe UI" w:hAnsi="Segoe UI" w:cs="Segoe UI"/>
                <w:color w:val="014171"/>
                <w:sz w:val="20"/>
                <w:szCs w:val="24"/>
              </w:rPr>
            </w:pPr>
            <w:r w:rsidRPr="00E27BB3">
              <w:rPr>
                <w:rFonts w:ascii="Segoe UI" w:hAnsi="Segoe UI" w:cs="Segoe UI"/>
                <w:color w:val="014171"/>
                <w:sz w:val="20"/>
                <w:szCs w:val="24"/>
              </w:rPr>
              <w:t xml:space="preserve">∑ </w:t>
            </w:r>
            <w:r>
              <w:rPr>
                <w:rFonts w:ascii="Segoe UI" w:hAnsi="Segoe UI" w:cs="Segoe UI"/>
                <w:color w:val="014171"/>
                <w:sz w:val="20"/>
                <w:szCs w:val="24"/>
              </w:rPr>
              <w:t xml:space="preserve">K-TCD, </w:t>
            </w:r>
            <w:r w:rsidRPr="00E27BB3">
              <w:rPr>
                <w:rFonts w:ascii="Segoe UI" w:hAnsi="Segoe UI" w:cs="Segoe UI"/>
                <w:color w:val="014171"/>
                <w:sz w:val="20"/>
                <w:szCs w:val="24"/>
              </w:rPr>
              <w:t>K-DTF</w:t>
            </w:r>
            <w:r>
              <w:rPr>
                <w:rFonts w:ascii="Segoe UI" w:hAnsi="Segoe UI" w:cs="Segoe UI"/>
                <w:color w:val="014171"/>
                <w:sz w:val="20"/>
                <w:szCs w:val="24"/>
              </w:rPr>
              <w:t xml:space="preserve">, </w:t>
            </w:r>
            <w:r w:rsidRPr="00E27BB3">
              <w:rPr>
                <w:rFonts w:ascii="Segoe UI" w:hAnsi="Segoe UI" w:cs="Segoe UI"/>
                <w:color w:val="014171"/>
                <w:sz w:val="20"/>
                <w:szCs w:val="24"/>
              </w:rPr>
              <w:t>K-CON</w:t>
            </w:r>
            <w:r w:rsidRPr="00E27BB3" w:rsidDel="00EF601D">
              <w:rPr>
                <w:rFonts w:ascii="Segoe UI" w:hAnsi="Segoe UI" w:cs="Segoe UI"/>
                <w:color w:val="014171"/>
                <w:sz w:val="20"/>
                <w:szCs w:val="24"/>
              </w:rPr>
              <w:t xml:space="preserve"> </w:t>
            </w:r>
          </w:p>
        </w:tc>
        <w:tc>
          <w:tcPr>
            <w:tcW w:w="1893" w:type="dxa"/>
          </w:tcPr>
          <w:p w14:paraId="2C738E70" w14:textId="7A2B1E05" w:rsidR="00B81A57" w:rsidRPr="00E27BB3" w:rsidRDefault="00F3377B" w:rsidP="00AC51F9">
            <w:pPr>
              <w:spacing w:after="0" w:line="240" w:lineRule="auto"/>
              <w:jc w:val="right"/>
              <w:rPr>
                <w:rFonts w:ascii="Segoe UI" w:hAnsi="Segoe UI" w:cs="Segoe UI"/>
                <w:color w:val="014171"/>
                <w:sz w:val="20"/>
                <w:szCs w:val="24"/>
              </w:rPr>
            </w:pPr>
            <w:r>
              <w:rPr>
                <w:rFonts w:ascii="Segoe UI" w:hAnsi="Segoe UI" w:cs="Segoe UI"/>
                <w:color w:val="014171"/>
                <w:sz w:val="20"/>
                <w:szCs w:val="24"/>
              </w:rPr>
              <w:t>317.9</w:t>
            </w:r>
          </w:p>
        </w:tc>
      </w:tr>
      <w:tr w:rsidR="00B81A57" w:rsidRPr="0048121F" w14:paraId="713B896C" w14:textId="77777777" w:rsidTr="00D97521">
        <w:trPr>
          <w:trHeight w:val="340"/>
          <w:jc w:val="center"/>
        </w:trPr>
        <w:tc>
          <w:tcPr>
            <w:tcW w:w="1275" w:type="dxa"/>
            <w:vMerge/>
            <w:vAlign w:val="center"/>
          </w:tcPr>
          <w:p w14:paraId="032568DB" w14:textId="77777777" w:rsidR="00B81A57" w:rsidRPr="00E27BB3" w:rsidRDefault="00B81A57" w:rsidP="00AC51F9">
            <w:pPr>
              <w:spacing w:after="0" w:line="240" w:lineRule="auto"/>
              <w:jc w:val="both"/>
              <w:rPr>
                <w:rFonts w:ascii="Segoe UI" w:hAnsi="Segoe UI" w:cs="Segoe UI"/>
                <w:color w:val="014171"/>
                <w:sz w:val="20"/>
                <w:szCs w:val="24"/>
              </w:rPr>
            </w:pPr>
          </w:p>
        </w:tc>
        <w:tc>
          <w:tcPr>
            <w:tcW w:w="2548" w:type="dxa"/>
            <w:gridSpan w:val="2"/>
          </w:tcPr>
          <w:p w14:paraId="4D345D5E" w14:textId="77777777" w:rsidR="00B81A57" w:rsidRDefault="00B81A57" w:rsidP="00AC51F9">
            <w:pPr>
              <w:spacing w:after="0" w:line="240" w:lineRule="auto"/>
              <w:jc w:val="both"/>
              <w:rPr>
                <w:rFonts w:ascii="Segoe UI" w:hAnsi="Segoe UI" w:cs="Segoe UI"/>
                <w:color w:val="014171"/>
                <w:sz w:val="20"/>
                <w:szCs w:val="24"/>
              </w:rPr>
            </w:pPr>
            <w:r>
              <w:rPr>
                <w:rFonts w:ascii="Segoe UI" w:hAnsi="Segoe UI" w:cs="Segoe UI"/>
                <w:color w:val="014171"/>
                <w:sz w:val="20"/>
                <w:szCs w:val="24"/>
              </w:rPr>
              <w:t>Risk to Market (“</w:t>
            </w:r>
            <w:r w:rsidRPr="002602E2">
              <w:rPr>
                <w:rFonts w:ascii="Segoe UI" w:hAnsi="Segoe UI" w:cs="Segoe UI"/>
                <w:color w:val="014171"/>
                <w:sz w:val="20"/>
                <w:szCs w:val="24"/>
              </w:rPr>
              <w:t>RtM</w:t>
            </w:r>
            <w:r>
              <w:rPr>
                <w:rFonts w:ascii="Segoe UI" w:hAnsi="Segoe UI" w:cs="Segoe UI"/>
                <w:color w:val="014171"/>
                <w:sz w:val="20"/>
                <w:szCs w:val="24"/>
              </w:rPr>
              <w:t>”)</w:t>
            </w:r>
          </w:p>
        </w:tc>
        <w:tc>
          <w:tcPr>
            <w:tcW w:w="3300" w:type="dxa"/>
            <w:vAlign w:val="center"/>
          </w:tcPr>
          <w:p w14:paraId="6CEEC7C0" w14:textId="77777777" w:rsidR="00B81A57" w:rsidRPr="00E27BB3" w:rsidRDefault="00B81A57" w:rsidP="00AC51F9">
            <w:pPr>
              <w:spacing w:after="0" w:line="240" w:lineRule="auto"/>
              <w:jc w:val="both"/>
              <w:rPr>
                <w:rFonts w:ascii="Segoe UI" w:hAnsi="Segoe UI" w:cs="Segoe UI"/>
                <w:color w:val="014171"/>
                <w:sz w:val="20"/>
                <w:szCs w:val="24"/>
              </w:rPr>
            </w:pPr>
            <w:r>
              <w:rPr>
                <w:rFonts w:ascii="Segoe UI" w:hAnsi="Segoe UI" w:cs="Segoe UI"/>
                <w:color w:val="014171"/>
                <w:sz w:val="20"/>
                <w:szCs w:val="24"/>
              </w:rPr>
              <w:t>Either</w:t>
            </w:r>
            <w:r w:rsidRPr="00E27BB3">
              <w:rPr>
                <w:rFonts w:ascii="Segoe UI" w:hAnsi="Segoe UI" w:cs="Segoe UI"/>
                <w:color w:val="014171"/>
                <w:sz w:val="20"/>
                <w:szCs w:val="24"/>
              </w:rPr>
              <w:t xml:space="preserve"> K-NPR</w:t>
            </w:r>
            <w:r>
              <w:rPr>
                <w:rFonts w:ascii="Segoe UI" w:hAnsi="Segoe UI" w:cs="Segoe UI"/>
                <w:color w:val="014171"/>
                <w:sz w:val="20"/>
                <w:szCs w:val="24"/>
              </w:rPr>
              <w:t xml:space="preserve"> or </w:t>
            </w:r>
            <w:r w:rsidRPr="00E27BB3">
              <w:rPr>
                <w:rFonts w:ascii="Segoe UI" w:hAnsi="Segoe UI" w:cs="Segoe UI"/>
                <w:color w:val="014171"/>
                <w:sz w:val="20"/>
                <w:szCs w:val="24"/>
              </w:rPr>
              <w:t>K-</w:t>
            </w:r>
            <w:r>
              <w:rPr>
                <w:rFonts w:ascii="Segoe UI" w:hAnsi="Segoe UI" w:cs="Segoe UI"/>
                <w:color w:val="014171"/>
                <w:sz w:val="20"/>
                <w:szCs w:val="24"/>
              </w:rPr>
              <w:t>CMG</w:t>
            </w:r>
          </w:p>
        </w:tc>
        <w:tc>
          <w:tcPr>
            <w:tcW w:w="1893" w:type="dxa"/>
          </w:tcPr>
          <w:p w14:paraId="1F71F11C" w14:textId="277207BE" w:rsidR="00B81A57" w:rsidRPr="00E27BB3" w:rsidRDefault="00F3377B" w:rsidP="00AC51F9">
            <w:pPr>
              <w:spacing w:after="0" w:line="240" w:lineRule="auto"/>
              <w:jc w:val="right"/>
              <w:rPr>
                <w:rFonts w:ascii="Segoe UI" w:hAnsi="Segoe UI" w:cs="Segoe UI"/>
                <w:color w:val="014171"/>
                <w:sz w:val="20"/>
                <w:szCs w:val="24"/>
              </w:rPr>
            </w:pPr>
            <w:r>
              <w:rPr>
                <w:rFonts w:ascii="Segoe UI" w:hAnsi="Segoe UI" w:cs="Segoe UI"/>
                <w:color w:val="014171"/>
                <w:sz w:val="20"/>
                <w:szCs w:val="24"/>
              </w:rPr>
              <w:t>23</w:t>
            </w:r>
            <w:r w:rsidR="00B81A57" w:rsidRPr="00E27BB3">
              <w:rPr>
                <w:rFonts w:ascii="Segoe UI" w:hAnsi="Segoe UI" w:cs="Segoe UI"/>
                <w:color w:val="014171"/>
                <w:sz w:val="20"/>
                <w:szCs w:val="24"/>
              </w:rPr>
              <w:t>.</w:t>
            </w:r>
            <w:r>
              <w:rPr>
                <w:rFonts w:ascii="Segoe UI" w:hAnsi="Segoe UI" w:cs="Segoe UI"/>
                <w:color w:val="014171"/>
                <w:sz w:val="20"/>
                <w:szCs w:val="24"/>
              </w:rPr>
              <w:t>9</w:t>
            </w:r>
          </w:p>
        </w:tc>
      </w:tr>
      <w:tr w:rsidR="00B81A57" w:rsidRPr="0048121F" w14:paraId="2F5F263A" w14:textId="77777777" w:rsidTr="00D97521">
        <w:trPr>
          <w:trHeight w:val="340"/>
          <w:jc w:val="center"/>
        </w:trPr>
        <w:tc>
          <w:tcPr>
            <w:tcW w:w="7123" w:type="dxa"/>
            <w:gridSpan w:val="4"/>
          </w:tcPr>
          <w:p w14:paraId="1413F4AA" w14:textId="77777777" w:rsidR="00B81A57" w:rsidRPr="00E27BB3" w:rsidRDefault="00B81A57" w:rsidP="00AC51F9">
            <w:pPr>
              <w:spacing w:after="0" w:line="240" w:lineRule="auto"/>
              <w:jc w:val="both"/>
              <w:rPr>
                <w:rFonts w:ascii="Segoe UI" w:hAnsi="Segoe UI" w:cs="Segoe UI"/>
                <w:b/>
                <w:color w:val="014171"/>
                <w:sz w:val="20"/>
                <w:szCs w:val="24"/>
              </w:rPr>
            </w:pPr>
            <w:r w:rsidRPr="00E27BB3">
              <w:rPr>
                <w:rFonts w:ascii="Segoe UI" w:hAnsi="Segoe UI" w:cs="Segoe UI"/>
                <w:b/>
                <w:color w:val="014171"/>
                <w:sz w:val="20"/>
                <w:szCs w:val="24"/>
                <w:lang w:val="en-US"/>
              </w:rPr>
              <w:t>Fixed Overheads Requirement</w:t>
            </w:r>
          </w:p>
        </w:tc>
        <w:tc>
          <w:tcPr>
            <w:tcW w:w="1893" w:type="dxa"/>
            <w:vAlign w:val="center"/>
          </w:tcPr>
          <w:p w14:paraId="5C9DDE1F" w14:textId="77777777" w:rsidR="00B81A57" w:rsidRPr="00E27BB3" w:rsidRDefault="00B81A57" w:rsidP="00AC51F9">
            <w:pPr>
              <w:spacing w:after="0" w:line="240" w:lineRule="auto"/>
              <w:jc w:val="right"/>
              <w:rPr>
                <w:rFonts w:ascii="Segoe UI" w:hAnsi="Segoe UI" w:cs="Segoe UI"/>
                <w:color w:val="014171"/>
                <w:sz w:val="20"/>
                <w:szCs w:val="24"/>
              </w:rPr>
            </w:pPr>
            <w:r w:rsidRPr="00E27BB3">
              <w:rPr>
                <w:rFonts w:ascii="Segoe UI" w:hAnsi="Segoe UI" w:cs="Segoe UI"/>
                <w:color w:val="014171"/>
                <w:sz w:val="20"/>
                <w:szCs w:val="24"/>
              </w:rPr>
              <w:t>1,560.0</w:t>
            </w:r>
          </w:p>
        </w:tc>
      </w:tr>
    </w:tbl>
    <w:p w14:paraId="704A462D" w14:textId="77777777" w:rsidR="00B81A57" w:rsidRPr="00E27BB3" w:rsidRDefault="00B81A57" w:rsidP="00B81A57">
      <w:pPr>
        <w:spacing w:after="0"/>
        <w:jc w:val="both"/>
        <w:rPr>
          <w:rFonts w:ascii="Segoe UI" w:hAnsi="Segoe UI" w:cs="Segoe UI"/>
          <w:color w:val="014171"/>
        </w:rPr>
      </w:pPr>
    </w:p>
    <w:p w14:paraId="266C7F5E" w14:textId="77777777" w:rsidR="00B81A57" w:rsidRPr="00E27BB3" w:rsidRDefault="00B81A57" w:rsidP="00E27BB3">
      <w:pPr>
        <w:spacing w:after="0"/>
        <w:jc w:val="both"/>
        <w:rPr>
          <w:rFonts w:ascii="Segoe UI" w:hAnsi="Segoe UI" w:cs="Segoe UI"/>
          <w:color w:val="014171"/>
        </w:rPr>
      </w:pPr>
    </w:p>
    <w:p w14:paraId="6979F5A1" w14:textId="77777777" w:rsidR="00E360A0" w:rsidRPr="00FA2278" w:rsidRDefault="00E360A0" w:rsidP="00FA2278">
      <w:pPr>
        <w:spacing w:after="0" w:line="240" w:lineRule="auto"/>
        <w:jc w:val="both"/>
        <w:rPr>
          <w:rFonts w:ascii="Times New Roman" w:hAnsi="Times New Roman"/>
          <w:color w:val="0F243E" w:themeColor="text2" w:themeShade="80"/>
          <w:sz w:val="24"/>
          <w:szCs w:val="24"/>
        </w:rPr>
      </w:pPr>
    </w:p>
    <w:p w14:paraId="2DE4670A" w14:textId="77777777" w:rsidR="00E360A0" w:rsidRPr="00FA2278" w:rsidRDefault="00E360A0" w:rsidP="00FA2278">
      <w:pPr>
        <w:spacing w:after="0" w:line="240" w:lineRule="auto"/>
        <w:jc w:val="both"/>
        <w:rPr>
          <w:rFonts w:ascii="Times New Roman" w:hAnsi="Times New Roman"/>
          <w:color w:val="0F243E" w:themeColor="text2" w:themeShade="80"/>
          <w:sz w:val="24"/>
          <w:szCs w:val="24"/>
        </w:rPr>
      </w:pPr>
    </w:p>
    <w:p w14:paraId="2B4BFC88" w14:textId="77777777" w:rsidR="003274E4" w:rsidRPr="00FA2278" w:rsidRDefault="003274E4" w:rsidP="00FA2278">
      <w:pPr>
        <w:spacing w:after="0" w:line="240" w:lineRule="auto"/>
        <w:jc w:val="both"/>
        <w:rPr>
          <w:rFonts w:ascii="Times New Roman" w:hAnsi="Times New Roman"/>
          <w:b/>
          <w:color w:val="0F243E" w:themeColor="text2" w:themeShade="80"/>
          <w:sz w:val="24"/>
          <w:szCs w:val="24"/>
        </w:rPr>
      </w:pPr>
      <w:r w:rsidRPr="00FA2278">
        <w:rPr>
          <w:rFonts w:ascii="Times New Roman" w:hAnsi="Times New Roman"/>
          <w:color w:val="0F243E" w:themeColor="text2" w:themeShade="80"/>
          <w:sz w:val="24"/>
          <w:szCs w:val="24"/>
        </w:rPr>
        <w:br w:type="page"/>
      </w:r>
    </w:p>
    <w:p w14:paraId="3BECACEB" w14:textId="0A851BB3" w:rsidR="00C81EA2" w:rsidRPr="00834F0A" w:rsidRDefault="00BE7ED8" w:rsidP="00834F0A">
      <w:pPr>
        <w:pStyle w:val="Heading1"/>
      </w:pPr>
      <w:bookmarkStart w:id="95" w:name="_Toc102121168"/>
      <w:bookmarkStart w:id="96" w:name="_Toc122626070"/>
      <w:r w:rsidRPr="00834F0A">
        <w:lastRenderedPageBreak/>
        <w:t>Remuneration</w:t>
      </w:r>
      <w:bookmarkEnd w:id="93"/>
      <w:bookmarkEnd w:id="95"/>
      <w:r w:rsidR="00E20DF3" w:rsidRPr="00834F0A">
        <w:t xml:space="preserve"> (Article 51 IFR</w:t>
      </w:r>
      <w:r w:rsidR="00CF78E4" w:rsidRPr="00834F0A">
        <w:t>)</w:t>
      </w:r>
      <w:bookmarkEnd w:id="96"/>
    </w:p>
    <w:p w14:paraId="55C08866" w14:textId="17BA7EA1" w:rsidR="00C81EA2" w:rsidRPr="00834F0A" w:rsidRDefault="00E20DF3" w:rsidP="00834F0A">
      <w:pPr>
        <w:spacing w:after="0"/>
        <w:jc w:val="both"/>
        <w:rPr>
          <w:rFonts w:ascii="Segoe UI" w:hAnsi="Segoe UI" w:cs="Segoe UI"/>
          <w:color w:val="014171"/>
        </w:rPr>
      </w:pPr>
      <w:r w:rsidRPr="00834F0A">
        <w:rPr>
          <w:rFonts w:ascii="Segoe UI" w:hAnsi="Segoe UI" w:cs="Segoe UI"/>
          <w:color w:val="014171"/>
        </w:rPr>
        <w:t>DCMD</w:t>
      </w:r>
      <w:r w:rsidR="00C81EA2" w:rsidRPr="00834F0A">
        <w:rPr>
          <w:rFonts w:ascii="Segoe UI" w:hAnsi="Segoe UI" w:cs="Segoe UI"/>
          <w:color w:val="014171"/>
        </w:rPr>
        <w:t xml:space="preserve"> follows the requirements for publishing the information relating to the Firm’s remuneration for 20</w:t>
      </w:r>
      <w:r w:rsidRPr="00834F0A">
        <w:rPr>
          <w:rFonts w:ascii="Segoe UI" w:hAnsi="Segoe UI" w:cs="Segoe UI"/>
          <w:color w:val="014171"/>
        </w:rPr>
        <w:t>21/2022 in accordance with article 51 IFR</w:t>
      </w:r>
      <w:r w:rsidR="00C81EA2" w:rsidRPr="00834F0A">
        <w:rPr>
          <w:rFonts w:ascii="Segoe UI" w:hAnsi="Segoe UI" w:cs="Segoe UI"/>
          <w:color w:val="014171"/>
        </w:rPr>
        <w:t>.</w:t>
      </w:r>
    </w:p>
    <w:p w14:paraId="563D831A" w14:textId="77777777" w:rsidR="00C81EA2" w:rsidRPr="00834F0A" w:rsidRDefault="00C81EA2" w:rsidP="00834F0A">
      <w:pPr>
        <w:spacing w:after="0"/>
        <w:jc w:val="both"/>
        <w:rPr>
          <w:rFonts w:ascii="Segoe UI" w:hAnsi="Segoe UI" w:cs="Segoe UI"/>
          <w:color w:val="014171"/>
        </w:rPr>
      </w:pPr>
    </w:p>
    <w:p w14:paraId="10DB5251" w14:textId="665B1EEF" w:rsidR="00C81EA2" w:rsidRPr="00834F0A" w:rsidRDefault="00C81EA2" w:rsidP="00834F0A">
      <w:pPr>
        <w:pStyle w:val="Heading2"/>
      </w:pPr>
      <w:bookmarkStart w:id="97" w:name="_Toc422754655"/>
      <w:bookmarkStart w:id="98" w:name="_Toc453148092"/>
      <w:bookmarkStart w:id="99" w:name="_Toc102121169"/>
      <w:bookmarkStart w:id="100" w:name="_Toc122626071"/>
      <w:bookmarkStart w:id="101" w:name="_Toc297650835"/>
      <w:bookmarkStart w:id="102" w:name="_Toc387742204"/>
      <w:r w:rsidRPr="00834F0A">
        <w:t>Basis of Disclosure</w:t>
      </w:r>
      <w:bookmarkEnd w:id="97"/>
      <w:bookmarkEnd w:id="98"/>
      <w:bookmarkEnd w:id="99"/>
      <w:bookmarkEnd w:id="100"/>
    </w:p>
    <w:p w14:paraId="18D072ED" w14:textId="7502A5F0" w:rsidR="00141659" w:rsidRPr="00834F0A" w:rsidRDefault="00576399" w:rsidP="00834F0A">
      <w:pPr>
        <w:spacing w:after="0"/>
        <w:jc w:val="both"/>
        <w:rPr>
          <w:rFonts w:ascii="Segoe UI" w:hAnsi="Segoe UI" w:cs="Segoe UI"/>
          <w:color w:val="014171"/>
        </w:rPr>
      </w:pPr>
      <w:bookmarkStart w:id="103" w:name="_Hlk101871358"/>
      <w:r>
        <w:rPr>
          <w:rFonts w:ascii="Segoe UI" w:hAnsi="Segoe UI" w:cs="Segoe UI"/>
          <w:color w:val="014171"/>
        </w:rPr>
        <w:t>Based on</w:t>
      </w:r>
      <w:r w:rsidR="00141659" w:rsidRPr="00834F0A">
        <w:rPr>
          <w:rFonts w:ascii="Segoe UI" w:hAnsi="Segoe UI" w:cs="Segoe UI"/>
          <w:color w:val="014171"/>
        </w:rPr>
        <w:t xml:space="preserve"> section 1 WpIG, DCMD is subject to the WpIG since 26 June 2021. DCMD qualifies as a medium-sized Investment Firm</w:t>
      </w:r>
      <w:r w:rsidR="005740F5" w:rsidRPr="00834F0A">
        <w:rPr>
          <w:rFonts w:ascii="Segoe UI" w:hAnsi="Segoe UI" w:cs="Segoe UI"/>
          <w:color w:val="014171"/>
        </w:rPr>
        <w:t xml:space="preserve"> pursuant to section 2 (17) </w:t>
      </w:r>
      <w:r w:rsidR="00141659" w:rsidRPr="00834F0A">
        <w:rPr>
          <w:rFonts w:ascii="Segoe UI" w:hAnsi="Segoe UI" w:cs="Segoe UI"/>
          <w:color w:val="014171"/>
        </w:rPr>
        <w:t xml:space="preserve">WpIG. </w:t>
      </w:r>
      <w:r w:rsidR="004F28DD" w:rsidRPr="00834F0A">
        <w:rPr>
          <w:rFonts w:ascii="Segoe UI" w:hAnsi="Segoe UI" w:cs="Segoe UI"/>
          <w:color w:val="014171"/>
        </w:rPr>
        <w:t>Based on this classification</w:t>
      </w:r>
      <w:r w:rsidR="00034E96" w:rsidRPr="00370CC2">
        <w:rPr>
          <w:rFonts w:ascii="Segoe UI" w:hAnsi="Segoe UI" w:cs="Segoe UI"/>
          <w:color w:val="014171"/>
        </w:rPr>
        <w:t>,</w:t>
      </w:r>
      <w:r w:rsidR="004F28DD" w:rsidRPr="00834F0A">
        <w:rPr>
          <w:rFonts w:ascii="Segoe UI" w:hAnsi="Segoe UI" w:cs="Segoe UI"/>
          <w:color w:val="014171"/>
        </w:rPr>
        <w:t xml:space="preserve"> r</w:t>
      </w:r>
      <w:r w:rsidR="00141659" w:rsidRPr="00834F0A">
        <w:rPr>
          <w:rFonts w:ascii="Segoe UI" w:hAnsi="Segoe UI" w:cs="Segoe UI"/>
          <w:color w:val="014171"/>
        </w:rPr>
        <w:t xml:space="preserve">egulations on the remuneration system can be found in </w:t>
      </w:r>
      <w:r w:rsidR="00034E96" w:rsidRPr="00370CC2">
        <w:rPr>
          <w:rFonts w:ascii="Segoe UI" w:hAnsi="Segoe UI" w:cs="Segoe UI"/>
          <w:color w:val="014171"/>
        </w:rPr>
        <w:t>s</w:t>
      </w:r>
      <w:r w:rsidR="00141659" w:rsidRPr="00834F0A">
        <w:rPr>
          <w:rFonts w:ascii="Segoe UI" w:hAnsi="Segoe UI" w:cs="Segoe UI"/>
          <w:color w:val="014171"/>
        </w:rPr>
        <w:t xml:space="preserve">ection 46 WpIG and, in accordance with the ordinance authorization given in </w:t>
      </w:r>
      <w:r w:rsidR="00034E96" w:rsidRPr="00370CC2">
        <w:rPr>
          <w:rFonts w:ascii="Segoe UI" w:hAnsi="Segoe UI" w:cs="Segoe UI"/>
          <w:color w:val="014171"/>
        </w:rPr>
        <w:t>s</w:t>
      </w:r>
      <w:r w:rsidR="00141659" w:rsidRPr="00834F0A">
        <w:rPr>
          <w:rFonts w:ascii="Segoe UI" w:hAnsi="Segoe UI" w:cs="Segoe UI"/>
          <w:color w:val="014171"/>
        </w:rPr>
        <w:t>ection 46 (3) WpIG, in the Investment Firm Remuneration Ordinance (</w:t>
      </w:r>
      <w:r w:rsidR="00141659" w:rsidRPr="00834F0A">
        <w:rPr>
          <w:rFonts w:ascii="Segoe UI" w:hAnsi="Segoe UI" w:cs="Segoe UI"/>
          <w:i/>
          <w:color w:val="014171"/>
        </w:rPr>
        <w:t>Wertpapierinstituts-Vergütungsverordnung</w:t>
      </w:r>
      <w:r w:rsidR="00141659" w:rsidRPr="00834F0A">
        <w:rPr>
          <w:rFonts w:ascii="Segoe UI" w:hAnsi="Segoe UI" w:cs="Segoe UI"/>
          <w:color w:val="014171"/>
        </w:rPr>
        <w:t xml:space="preserve">, </w:t>
      </w:r>
      <w:r w:rsidR="008E1A6F" w:rsidRPr="00370CC2">
        <w:rPr>
          <w:rFonts w:ascii="Segoe UI" w:hAnsi="Segoe UI" w:cs="Segoe UI"/>
          <w:color w:val="014171"/>
        </w:rPr>
        <w:t>“</w:t>
      </w:r>
      <w:r w:rsidR="00141659" w:rsidRPr="00834F0A">
        <w:rPr>
          <w:rFonts w:ascii="Segoe UI" w:hAnsi="Segoe UI" w:cs="Segoe UI"/>
          <w:color w:val="014171"/>
        </w:rPr>
        <w:t>WVV</w:t>
      </w:r>
      <w:r w:rsidR="008E1A6F" w:rsidRPr="00370CC2">
        <w:rPr>
          <w:rFonts w:ascii="Segoe UI" w:hAnsi="Segoe UI" w:cs="Segoe UI"/>
          <w:color w:val="014171"/>
        </w:rPr>
        <w:t>”)</w:t>
      </w:r>
      <w:r w:rsidR="00E46D97" w:rsidRPr="00834F0A">
        <w:rPr>
          <w:rFonts w:ascii="Segoe UI" w:hAnsi="Segoe UI" w:cs="Segoe UI"/>
          <w:color w:val="014171"/>
        </w:rPr>
        <w:t>, which is still in draft modus and not yet confirmed and issued as final</w:t>
      </w:r>
      <w:r w:rsidR="00141659" w:rsidRPr="00834F0A">
        <w:rPr>
          <w:rFonts w:ascii="Segoe UI" w:hAnsi="Segoe UI" w:cs="Segoe UI"/>
          <w:color w:val="014171"/>
        </w:rPr>
        <w:t xml:space="preserve">. As a medium-sized </w:t>
      </w:r>
      <w:r w:rsidR="003D32EF">
        <w:rPr>
          <w:rFonts w:ascii="Segoe UI" w:hAnsi="Segoe UI" w:cs="Segoe UI"/>
          <w:color w:val="014171"/>
        </w:rPr>
        <w:t>i</w:t>
      </w:r>
      <w:r w:rsidR="00141659" w:rsidRPr="00834F0A">
        <w:rPr>
          <w:rFonts w:ascii="Segoe UI" w:hAnsi="Segoe UI" w:cs="Segoe UI"/>
          <w:color w:val="014171"/>
        </w:rPr>
        <w:t xml:space="preserve">nvestment </w:t>
      </w:r>
      <w:r w:rsidR="003D32EF">
        <w:rPr>
          <w:rFonts w:ascii="Segoe UI" w:hAnsi="Segoe UI" w:cs="Segoe UI"/>
          <w:color w:val="014171"/>
        </w:rPr>
        <w:t>f</w:t>
      </w:r>
      <w:r w:rsidR="00141659" w:rsidRPr="00834F0A">
        <w:rPr>
          <w:rFonts w:ascii="Segoe UI" w:hAnsi="Segoe UI" w:cs="Segoe UI"/>
          <w:color w:val="014171"/>
        </w:rPr>
        <w:t xml:space="preserve">irm, DCMD </w:t>
      </w:r>
      <w:r w:rsidR="00E46D97" w:rsidRPr="00834F0A">
        <w:rPr>
          <w:rFonts w:ascii="Segoe UI" w:hAnsi="Segoe UI" w:cs="Segoe UI"/>
          <w:color w:val="014171"/>
        </w:rPr>
        <w:t xml:space="preserve">as such </w:t>
      </w:r>
      <w:r w:rsidR="00141659" w:rsidRPr="00834F0A">
        <w:rPr>
          <w:rFonts w:ascii="Segoe UI" w:hAnsi="Segoe UI" w:cs="Segoe UI"/>
          <w:color w:val="014171"/>
        </w:rPr>
        <w:t xml:space="preserve">is in principle no longer subject to the requirements of </w:t>
      </w:r>
      <w:r w:rsidR="00034E96" w:rsidRPr="00370CC2">
        <w:rPr>
          <w:rFonts w:ascii="Segoe UI" w:hAnsi="Segoe UI" w:cs="Segoe UI"/>
          <w:color w:val="014171"/>
        </w:rPr>
        <w:t>s</w:t>
      </w:r>
      <w:r w:rsidR="00141659" w:rsidRPr="00834F0A">
        <w:rPr>
          <w:rFonts w:ascii="Segoe UI" w:hAnsi="Segoe UI" w:cs="Segoe UI"/>
          <w:color w:val="014171"/>
        </w:rPr>
        <w:t>ection 25a (5) to (6) KWG and the related</w:t>
      </w:r>
      <w:r w:rsidR="008E1A6F" w:rsidRPr="00370CC2">
        <w:t xml:space="preserve"> </w:t>
      </w:r>
      <w:r w:rsidR="008E1A6F" w:rsidRPr="00370CC2">
        <w:rPr>
          <w:rFonts w:ascii="Segoe UI" w:hAnsi="Segoe UI" w:cs="Segoe UI"/>
          <w:color w:val="014171"/>
        </w:rPr>
        <w:t>Remuneration Regulation for Institutions</w:t>
      </w:r>
      <w:r w:rsidR="008E1A6F" w:rsidRPr="00370CC2">
        <w:t xml:space="preserve"> (</w:t>
      </w:r>
      <w:r w:rsidR="008E1A6F" w:rsidRPr="00834F0A">
        <w:rPr>
          <w:rFonts w:ascii="Segoe UI" w:hAnsi="Segoe UI" w:cs="Segoe UI"/>
          <w:i/>
          <w:color w:val="014171"/>
        </w:rPr>
        <w:t>Institutsvergütungsverordnung</w:t>
      </w:r>
      <w:r w:rsidR="008E1A6F" w:rsidRPr="00370CC2">
        <w:rPr>
          <w:rFonts w:ascii="Segoe UI" w:hAnsi="Segoe UI" w:cs="Segoe UI"/>
          <w:color w:val="014171"/>
        </w:rPr>
        <w:t>,</w:t>
      </w:r>
      <w:r w:rsidR="00141659" w:rsidRPr="00834F0A">
        <w:rPr>
          <w:rFonts w:ascii="Segoe UI" w:hAnsi="Segoe UI" w:cs="Segoe UI"/>
          <w:color w:val="014171"/>
        </w:rPr>
        <w:t xml:space="preserve"> </w:t>
      </w:r>
      <w:r w:rsidR="008E1A6F" w:rsidRPr="00370CC2">
        <w:rPr>
          <w:rFonts w:ascii="Segoe UI" w:hAnsi="Segoe UI" w:cs="Segoe UI"/>
          <w:color w:val="014171"/>
        </w:rPr>
        <w:t>“</w:t>
      </w:r>
      <w:r w:rsidR="00141659" w:rsidRPr="00834F0A">
        <w:rPr>
          <w:rFonts w:ascii="Segoe UI" w:hAnsi="Segoe UI" w:cs="Segoe UI"/>
          <w:color w:val="014171"/>
        </w:rPr>
        <w:t>InstitutsVergV</w:t>
      </w:r>
      <w:bookmarkEnd w:id="103"/>
      <w:r w:rsidR="008E1A6F" w:rsidRPr="00370CC2">
        <w:rPr>
          <w:rFonts w:ascii="Segoe UI" w:hAnsi="Segoe UI" w:cs="Segoe UI"/>
          <w:color w:val="014171"/>
        </w:rPr>
        <w:t>”,</w:t>
      </w:r>
      <w:r w:rsidR="00E46D97" w:rsidRPr="00834F0A">
        <w:rPr>
          <w:rFonts w:ascii="Segoe UI" w:hAnsi="Segoe UI" w:cs="Segoe UI"/>
          <w:color w:val="014171"/>
        </w:rPr>
        <w:t xml:space="preserve"> </w:t>
      </w:r>
      <w:r w:rsidR="008E1A6F" w:rsidRPr="00370CC2">
        <w:rPr>
          <w:rFonts w:ascii="Segoe UI" w:hAnsi="Segoe UI" w:cs="Segoe UI"/>
          <w:color w:val="014171"/>
        </w:rPr>
        <w:t>“</w:t>
      </w:r>
      <w:r w:rsidR="00E46D97" w:rsidRPr="00834F0A">
        <w:rPr>
          <w:rFonts w:ascii="Segoe UI" w:hAnsi="Segoe UI" w:cs="Segoe UI"/>
          <w:color w:val="014171"/>
        </w:rPr>
        <w:t>IVV</w:t>
      </w:r>
      <w:r w:rsidR="008E1A6F" w:rsidRPr="00370CC2">
        <w:rPr>
          <w:rFonts w:ascii="Segoe UI" w:hAnsi="Segoe UI" w:cs="Segoe UI"/>
          <w:color w:val="014171"/>
        </w:rPr>
        <w:t>”</w:t>
      </w:r>
      <w:r w:rsidR="00E46D97" w:rsidRPr="00834F0A">
        <w:rPr>
          <w:rFonts w:ascii="Segoe UI" w:hAnsi="Segoe UI" w:cs="Segoe UI"/>
          <w:color w:val="014171"/>
        </w:rPr>
        <w:t xml:space="preserve"> 4.0).</w:t>
      </w:r>
      <w:r w:rsidR="00141659" w:rsidRPr="00834F0A">
        <w:rPr>
          <w:rFonts w:ascii="Segoe UI" w:hAnsi="Segoe UI" w:cs="Segoe UI"/>
          <w:color w:val="014171"/>
        </w:rPr>
        <w:t xml:space="preserve"> </w:t>
      </w:r>
      <w:r w:rsidR="00796C55" w:rsidRPr="00370CC2">
        <w:rPr>
          <w:rFonts w:ascii="Segoe UI" w:hAnsi="Segoe UI" w:cs="Segoe UI"/>
          <w:color w:val="014171"/>
        </w:rPr>
        <w:t>For t</w:t>
      </w:r>
      <w:r w:rsidR="00DC7399" w:rsidRPr="00834F0A">
        <w:rPr>
          <w:rFonts w:ascii="Segoe UI" w:hAnsi="Segoe UI" w:cs="Segoe UI"/>
          <w:color w:val="014171"/>
        </w:rPr>
        <w:t xml:space="preserve">he time being and unless the new WVV is </w:t>
      </w:r>
      <w:r w:rsidR="005162EE" w:rsidRPr="00834F0A">
        <w:rPr>
          <w:rFonts w:ascii="Segoe UI" w:hAnsi="Segoe UI" w:cs="Segoe UI"/>
          <w:color w:val="014171"/>
        </w:rPr>
        <w:t>issued in its final version DCMD is following rules stipulated in IVV 3.0.</w:t>
      </w:r>
    </w:p>
    <w:p w14:paraId="0FD5AF24" w14:textId="77777777" w:rsidR="00141659" w:rsidRPr="00834F0A" w:rsidRDefault="00141659" w:rsidP="00834F0A">
      <w:pPr>
        <w:spacing w:after="0"/>
        <w:jc w:val="both"/>
        <w:rPr>
          <w:rFonts w:ascii="Segoe UI" w:hAnsi="Segoe UI" w:cs="Segoe UI"/>
          <w:color w:val="014171"/>
        </w:rPr>
      </w:pPr>
    </w:p>
    <w:p w14:paraId="27B0636B" w14:textId="13A17280" w:rsidR="00763841" w:rsidRDefault="00141659" w:rsidP="00834F0A">
      <w:pPr>
        <w:spacing w:after="0"/>
        <w:jc w:val="both"/>
        <w:rPr>
          <w:rFonts w:ascii="Segoe UI" w:hAnsi="Segoe UI" w:cs="Segoe UI"/>
          <w:color w:val="014171"/>
        </w:rPr>
      </w:pPr>
      <w:r w:rsidRPr="00834F0A">
        <w:rPr>
          <w:rFonts w:ascii="Segoe UI" w:hAnsi="Segoe UI" w:cs="Segoe UI"/>
          <w:color w:val="014171"/>
        </w:rPr>
        <w:t>The European regulations of EBA/GL/2021/13</w:t>
      </w:r>
      <w:r w:rsidR="004659A2">
        <w:rPr>
          <w:rFonts w:ascii="Segoe UI" w:hAnsi="Segoe UI" w:cs="Segoe UI"/>
          <w:color w:val="014171"/>
        </w:rPr>
        <w:t>,</w:t>
      </w:r>
      <w:r w:rsidRPr="00834F0A">
        <w:rPr>
          <w:rFonts w:ascii="Segoe UI" w:hAnsi="Segoe UI" w:cs="Segoe UI"/>
          <w:color w:val="014171"/>
        </w:rPr>
        <w:t xml:space="preserve"> on which the remuneration rules for investment firms are based</w:t>
      </w:r>
      <w:r w:rsidR="004659A2">
        <w:rPr>
          <w:rFonts w:ascii="Segoe UI" w:hAnsi="Segoe UI" w:cs="Segoe UI"/>
          <w:color w:val="014171"/>
        </w:rPr>
        <w:t>,</w:t>
      </w:r>
      <w:r w:rsidRPr="00834F0A">
        <w:rPr>
          <w:rFonts w:ascii="Segoe UI" w:hAnsi="Segoe UI" w:cs="Segoe UI"/>
          <w:color w:val="014171"/>
        </w:rPr>
        <w:t xml:space="preserve"> are to be implemented for reference periods beginning on or after 30 April 2022</w:t>
      </w:r>
      <w:r w:rsidR="004659A2">
        <w:rPr>
          <w:rFonts w:ascii="Segoe UI" w:hAnsi="Segoe UI" w:cs="Segoe UI"/>
          <w:color w:val="014171"/>
        </w:rPr>
        <w:t>,</w:t>
      </w:r>
      <w:r w:rsidR="00926652" w:rsidRPr="00834F0A">
        <w:rPr>
          <w:rFonts w:ascii="Segoe UI" w:hAnsi="Segoe UI" w:cs="Segoe UI"/>
          <w:color w:val="014171"/>
        </w:rPr>
        <w:t xml:space="preserve"> which would impact DCMD</w:t>
      </w:r>
      <w:r w:rsidR="0048121F">
        <w:rPr>
          <w:rFonts w:ascii="Segoe UI" w:hAnsi="Segoe UI" w:cs="Segoe UI"/>
          <w:color w:val="014171"/>
        </w:rPr>
        <w:t>’</w:t>
      </w:r>
      <w:r w:rsidR="00926652" w:rsidRPr="00834F0A">
        <w:rPr>
          <w:rFonts w:ascii="Segoe UI" w:hAnsi="Segoe UI" w:cs="Segoe UI"/>
          <w:color w:val="014171"/>
        </w:rPr>
        <w:t xml:space="preserve">s financial year 01 April 2022 – </w:t>
      </w:r>
      <w:r w:rsidR="00947F4F">
        <w:rPr>
          <w:rFonts w:ascii="Segoe UI" w:hAnsi="Segoe UI" w:cs="Segoe UI"/>
          <w:color w:val="014171"/>
        </w:rPr>
        <w:t xml:space="preserve">31 </w:t>
      </w:r>
      <w:r w:rsidR="00926652" w:rsidRPr="00834F0A">
        <w:rPr>
          <w:rFonts w:ascii="Segoe UI" w:hAnsi="Segoe UI" w:cs="Segoe UI"/>
          <w:color w:val="014171"/>
        </w:rPr>
        <w:t>March 2023</w:t>
      </w:r>
      <w:r w:rsidRPr="00834F0A">
        <w:rPr>
          <w:rFonts w:ascii="Segoe UI" w:hAnsi="Segoe UI" w:cs="Segoe UI"/>
          <w:color w:val="014171"/>
        </w:rPr>
        <w:t>.</w:t>
      </w:r>
      <w:r w:rsidR="004423E8">
        <w:rPr>
          <w:rFonts w:ascii="Segoe UI" w:hAnsi="Segoe UI" w:cs="Segoe UI"/>
          <w:color w:val="014171"/>
        </w:rPr>
        <w:t xml:space="preserve"> </w:t>
      </w:r>
      <w:r w:rsidR="00F54097">
        <w:rPr>
          <w:rFonts w:ascii="Segoe UI" w:hAnsi="Segoe UI" w:cs="Segoe UI"/>
          <w:color w:val="014171"/>
        </w:rPr>
        <w:t>Nevertheless as mentioned BaFin has not yet final</w:t>
      </w:r>
      <w:r w:rsidR="00090AF1">
        <w:rPr>
          <w:rFonts w:ascii="Segoe UI" w:hAnsi="Segoe UI" w:cs="Segoe UI"/>
          <w:color w:val="014171"/>
        </w:rPr>
        <w:t>is</w:t>
      </w:r>
      <w:r w:rsidR="00F54097">
        <w:rPr>
          <w:rFonts w:ascii="Segoe UI" w:hAnsi="Segoe UI" w:cs="Segoe UI"/>
          <w:color w:val="014171"/>
        </w:rPr>
        <w:t xml:space="preserve">ed the new WVV and </w:t>
      </w:r>
      <w:r w:rsidR="004423E8">
        <w:rPr>
          <w:rFonts w:ascii="Segoe UI" w:hAnsi="Segoe UI" w:cs="Segoe UI"/>
          <w:color w:val="014171"/>
        </w:rPr>
        <w:t>DCMD will update its remuneration policy in accordance with the new rules when implemented</w:t>
      </w:r>
      <w:r w:rsidR="00F54097">
        <w:rPr>
          <w:rFonts w:ascii="Segoe UI" w:hAnsi="Segoe UI" w:cs="Segoe UI"/>
          <w:color w:val="014171"/>
        </w:rPr>
        <w:t xml:space="preserve"> in Germany</w:t>
      </w:r>
      <w:r w:rsidR="004423E8">
        <w:rPr>
          <w:rFonts w:ascii="Segoe UI" w:hAnsi="Segoe UI" w:cs="Segoe UI"/>
          <w:color w:val="014171"/>
        </w:rPr>
        <w:t>.</w:t>
      </w:r>
    </w:p>
    <w:p w14:paraId="3D3D786B" w14:textId="10D77C79" w:rsidR="00C81EA2" w:rsidRPr="00834F0A" w:rsidRDefault="00C81EA2" w:rsidP="00834F0A">
      <w:pPr>
        <w:spacing w:after="0"/>
        <w:jc w:val="both"/>
        <w:rPr>
          <w:rFonts w:ascii="Segoe UI" w:hAnsi="Segoe UI" w:cs="Segoe UI"/>
          <w:color w:val="014171"/>
        </w:rPr>
      </w:pPr>
      <w:bookmarkStart w:id="104" w:name="_Toc297650836"/>
      <w:bookmarkStart w:id="105" w:name="_Toc387742205"/>
      <w:bookmarkStart w:id="106" w:name="_Toc422754657"/>
      <w:bookmarkStart w:id="107" w:name="_Toc453148094"/>
      <w:bookmarkEnd w:id="101"/>
      <w:bookmarkEnd w:id="102"/>
    </w:p>
    <w:p w14:paraId="3A1C4BAC" w14:textId="37E70B83" w:rsidR="00C81EA2" w:rsidRPr="00834F0A" w:rsidRDefault="00C81EA2" w:rsidP="00834F0A">
      <w:pPr>
        <w:pStyle w:val="Heading2"/>
      </w:pPr>
      <w:bookmarkStart w:id="108" w:name="_Toc102121170"/>
      <w:bookmarkStart w:id="109" w:name="_Toc122626072"/>
      <w:r w:rsidRPr="00834F0A">
        <w:t>The Reward Strategy’s Purpose</w:t>
      </w:r>
      <w:bookmarkEnd w:id="108"/>
      <w:bookmarkEnd w:id="109"/>
    </w:p>
    <w:p w14:paraId="6A8FE46B" w14:textId="77777777" w:rsidR="00C81EA2" w:rsidRPr="00834F0A" w:rsidRDefault="00C81EA2" w:rsidP="00834F0A">
      <w:pPr>
        <w:spacing w:after="0"/>
        <w:jc w:val="both"/>
        <w:rPr>
          <w:rFonts w:ascii="Segoe UI" w:hAnsi="Segoe UI" w:cs="Segoe UI"/>
          <w:color w:val="014171"/>
        </w:rPr>
      </w:pPr>
      <w:r w:rsidRPr="00834F0A">
        <w:rPr>
          <w:rFonts w:ascii="Segoe UI" w:hAnsi="Segoe UI" w:cs="Segoe UI"/>
          <w:color w:val="014171"/>
        </w:rPr>
        <w:t>The objectives of the Firm’s Reward Strategy are as follows:</w:t>
      </w:r>
    </w:p>
    <w:p w14:paraId="2D3ABC08" w14:textId="77777777" w:rsidR="00C81EA2" w:rsidRPr="00834F0A" w:rsidRDefault="00C81EA2" w:rsidP="00834F0A">
      <w:pPr>
        <w:spacing w:after="0"/>
        <w:jc w:val="both"/>
        <w:rPr>
          <w:rFonts w:ascii="Segoe UI" w:hAnsi="Segoe UI" w:cs="Segoe UI"/>
          <w:color w:val="014171"/>
        </w:rPr>
      </w:pPr>
    </w:p>
    <w:p w14:paraId="414C4C9B" w14:textId="77777777" w:rsidR="00C81EA2" w:rsidRPr="00834F0A" w:rsidRDefault="00C81EA2" w:rsidP="00834F0A">
      <w:pPr>
        <w:pStyle w:val="ListParagraph"/>
        <w:numPr>
          <w:ilvl w:val="0"/>
          <w:numId w:val="79"/>
        </w:numPr>
        <w:spacing w:after="0"/>
        <w:jc w:val="both"/>
        <w:rPr>
          <w:rFonts w:ascii="Segoe UI" w:hAnsi="Segoe UI" w:cs="Segoe UI"/>
          <w:color w:val="014171"/>
        </w:rPr>
      </w:pPr>
      <w:r w:rsidRPr="00834F0A">
        <w:rPr>
          <w:rFonts w:ascii="Segoe UI" w:hAnsi="Segoe UI" w:cs="Segoe UI"/>
          <w:color w:val="014171"/>
        </w:rPr>
        <w:t xml:space="preserve">The Firm undertakes to reward all employees fairly, regardless of job function, race, religion, colour, national origin, sex, sexual orientation, marital status, pregnancy, disability or age.  </w:t>
      </w:r>
    </w:p>
    <w:p w14:paraId="2723BE03" w14:textId="77777777" w:rsidR="00C81EA2" w:rsidRPr="00834F0A" w:rsidRDefault="00C81EA2" w:rsidP="00834F0A">
      <w:pPr>
        <w:pStyle w:val="ListParagraph"/>
        <w:numPr>
          <w:ilvl w:val="0"/>
          <w:numId w:val="79"/>
        </w:numPr>
        <w:spacing w:after="0"/>
        <w:jc w:val="both"/>
        <w:rPr>
          <w:rFonts w:ascii="Segoe UI" w:hAnsi="Segoe UI" w:cs="Segoe UI"/>
          <w:color w:val="014171"/>
        </w:rPr>
      </w:pPr>
      <w:r w:rsidRPr="00834F0A">
        <w:rPr>
          <w:rFonts w:ascii="Segoe UI" w:hAnsi="Segoe UI" w:cs="Segoe UI"/>
          <w:color w:val="014171"/>
        </w:rPr>
        <w:t xml:space="preserve">It is the policy of the Firm to operate competitive remuneration policies to attract, retain and motivate an appropriate workforce for the Firm. </w:t>
      </w:r>
    </w:p>
    <w:p w14:paraId="213D3B8E" w14:textId="77777777" w:rsidR="00C81EA2" w:rsidRPr="00834F0A" w:rsidRDefault="00C81EA2" w:rsidP="00834F0A">
      <w:pPr>
        <w:pStyle w:val="ListParagraph"/>
        <w:numPr>
          <w:ilvl w:val="0"/>
          <w:numId w:val="79"/>
        </w:numPr>
        <w:spacing w:after="0"/>
        <w:jc w:val="both"/>
        <w:rPr>
          <w:rFonts w:ascii="Segoe UI" w:hAnsi="Segoe UI" w:cs="Segoe UI"/>
          <w:color w:val="014171"/>
        </w:rPr>
      </w:pPr>
      <w:r w:rsidRPr="00834F0A">
        <w:rPr>
          <w:rFonts w:ascii="Segoe UI" w:hAnsi="Segoe UI" w:cs="Segoe UI"/>
          <w:color w:val="014171"/>
        </w:rPr>
        <w:t xml:space="preserve">The Firm is also committed to ensuring that its reward practices encourage high standards of personal and professional conduct, support sound risk management and do not encourage risk taking that exceeds the level of tolerated risk of the Firm, and are aligned with the Firm’s regulatory requirements. </w:t>
      </w:r>
    </w:p>
    <w:p w14:paraId="45226E7C" w14:textId="1BAB2039" w:rsidR="00C81EA2" w:rsidRPr="00834F0A" w:rsidRDefault="00117D7A" w:rsidP="00834F0A">
      <w:pPr>
        <w:pStyle w:val="ListParagraph"/>
        <w:numPr>
          <w:ilvl w:val="0"/>
          <w:numId w:val="79"/>
        </w:numPr>
        <w:spacing w:after="0"/>
        <w:jc w:val="both"/>
        <w:rPr>
          <w:rFonts w:ascii="Segoe UI" w:hAnsi="Segoe UI" w:cs="Segoe UI"/>
          <w:color w:val="014171"/>
        </w:rPr>
      </w:pPr>
      <w:r w:rsidRPr="00834F0A">
        <w:rPr>
          <w:rFonts w:ascii="Segoe UI" w:hAnsi="Segoe UI" w:cs="Segoe UI"/>
          <w:color w:val="014171"/>
        </w:rPr>
        <w:t>Rewards for all</w:t>
      </w:r>
      <w:r w:rsidR="00C81EA2" w:rsidRPr="00834F0A">
        <w:rPr>
          <w:rFonts w:ascii="Segoe UI" w:hAnsi="Segoe UI" w:cs="Segoe UI"/>
          <w:color w:val="014171"/>
        </w:rPr>
        <w:t xml:space="preserve"> staff will be aligned to financial and non-financial performance criteria and risk profile, and in all cases will be in line with the business strategy, objectives, values, culture and long-term interests of the Firm. </w:t>
      </w:r>
    </w:p>
    <w:p w14:paraId="3B2AF888" w14:textId="1A71C370" w:rsidR="00C81EA2" w:rsidRPr="00834F0A" w:rsidRDefault="00C81EA2" w:rsidP="00834F0A">
      <w:pPr>
        <w:pStyle w:val="ListParagraph"/>
        <w:numPr>
          <w:ilvl w:val="0"/>
          <w:numId w:val="79"/>
        </w:numPr>
        <w:spacing w:after="0"/>
        <w:jc w:val="both"/>
        <w:rPr>
          <w:rFonts w:ascii="Segoe UI" w:hAnsi="Segoe UI" w:cs="Segoe UI"/>
          <w:color w:val="014171"/>
        </w:rPr>
      </w:pPr>
      <w:r w:rsidRPr="00834F0A">
        <w:rPr>
          <w:rFonts w:ascii="Segoe UI" w:hAnsi="Segoe UI" w:cs="Segoe UI"/>
          <w:color w:val="014171"/>
        </w:rPr>
        <w:t xml:space="preserve">The Firm will not allow any unfair or unjust practices that impact on pay. </w:t>
      </w:r>
    </w:p>
    <w:p w14:paraId="7A8D514C" w14:textId="77777777" w:rsidR="00C81EA2" w:rsidRPr="00834F0A" w:rsidRDefault="00C81EA2" w:rsidP="00834F0A">
      <w:pPr>
        <w:spacing w:after="0"/>
        <w:jc w:val="both"/>
        <w:rPr>
          <w:rFonts w:ascii="Segoe UI" w:hAnsi="Segoe UI" w:cs="Segoe UI"/>
          <w:color w:val="014171"/>
        </w:rPr>
      </w:pPr>
    </w:p>
    <w:p w14:paraId="0AD27779" w14:textId="4DE4752B" w:rsidR="00C81EA2" w:rsidRPr="00834F0A" w:rsidRDefault="00C81EA2" w:rsidP="00834F0A">
      <w:pPr>
        <w:pStyle w:val="Heading2"/>
      </w:pPr>
      <w:bookmarkStart w:id="110" w:name="_Toc102121171"/>
      <w:bookmarkStart w:id="111" w:name="_Toc122626073"/>
      <w:r w:rsidRPr="00834F0A">
        <w:lastRenderedPageBreak/>
        <w:t>Governance</w:t>
      </w:r>
      <w:bookmarkEnd w:id="110"/>
      <w:bookmarkEnd w:id="111"/>
    </w:p>
    <w:p w14:paraId="359F6F51" w14:textId="2B15E9EC" w:rsidR="00DD0D55" w:rsidRDefault="00914A6B" w:rsidP="00834F0A">
      <w:pPr>
        <w:spacing w:after="0"/>
        <w:jc w:val="both"/>
        <w:rPr>
          <w:rFonts w:ascii="Segoe UI" w:hAnsi="Segoe UI" w:cs="Segoe UI"/>
          <w:color w:val="014171"/>
        </w:rPr>
      </w:pPr>
      <w:r w:rsidRPr="00834F0A">
        <w:rPr>
          <w:rFonts w:ascii="Segoe UI" w:hAnsi="Segoe UI" w:cs="Segoe UI"/>
          <w:color w:val="014171"/>
        </w:rPr>
        <w:t xml:space="preserve">Given </w:t>
      </w:r>
      <w:r w:rsidR="003F0655">
        <w:rPr>
          <w:rFonts w:ascii="Segoe UI" w:hAnsi="Segoe UI" w:cs="Segoe UI"/>
          <w:color w:val="014171"/>
        </w:rPr>
        <w:t>its</w:t>
      </w:r>
      <w:r w:rsidR="003F0655" w:rsidRPr="00834F0A">
        <w:rPr>
          <w:rFonts w:ascii="Segoe UI" w:hAnsi="Segoe UI" w:cs="Segoe UI"/>
          <w:color w:val="014171"/>
        </w:rPr>
        <w:t xml:space="preserve"> </w:t>
      </w:r>
      <w:r w:rsidRPr="00834F0A">
        <w:rPr>
          <w:rFonts w:ascii="Segoe UI" w:hAnsi="Segoe UI" w:cs="Segoe UI"/>
          <w:color w:val="014171"/>
        </w:rPr>
        <w:t>small size</w:t>
      </w:r>
      <w:r w:rsidR="003F0655">
        <w:rPr>
          <w:rFonts w:ascii="Segoe UI" w:hAnsi="Segoe UI" w:cs="Segoe UI"/>
          <w:color w:val="014171"/>
        </w:rPr>
        <w:t>,</w:t>
      </w:r>
      <w:r w:rsidRPr="00834F0A">
        <w:rPr>
          <w:rFonts w:ascii="Segoe UI" w:hAnsi="Segoe UI" w:cs="Segoe UI"/>
          <w:color w:val="014171"/>
        </w:rPr>
        <w:t xml:space="preserve"> the </w:t>
      </w:r>
      <w:r w:rsidR="003F0655">
        <w:rPr>
          <w:rFonts w:ascii="Segoe UI" w:hAnsi="Segoe UI" w:cs="Segoe UI"/>
          <w:color w:val="014171"/>
        </w:rPr>
        <w:t>Firm</w:t>
      </w:r>
      <w:r w:rsidR="003F0655" w:rsidRPr="00834F0A">
        <w:rPr>
          <w:rFonts w:ascii="Segoe UI" w:hAnsi="Segoe UI" w:cs="Segoe UI"/>
          <w:color w:val="014171"/>
        </w:rPr>
        <w:t xml:space="preserve"> </w:t>
      </w:r>
      <w:r w:rsidR="00E63008" w:rsidRPr="00834F0A">
        <w:rPr>
          <w:rFonts w:ascii="Segoe UI" w:hAnsi="Segoe UI" w:cs="Segoe UI"/>
          <w:color w:val="014171"/>
        </w:rPr>
        <w:t xml:space="preserve">has neither appointed a </w:t>
      </w:r>
      <w:r w:rsidR="00DD0D55">
        <w:rPr>
          <w:rFonts w:ascii="Segoe UI" w:hAnsi="Segoe UI" w:cs="Segoe UI"/>
          <w:color w:val="014171"/>
        </w:rPr>
        <w:t>R</w:t>
      </w:r>
      <w:r w:rsidR="00E63008" w:rsidRPr="00834F0A">
        <w:rPr>
          <w:rFonts w:ascii="Segoe UI" w:hAnsi="Segoe UI" w:cs="Segoe UI"/>
          <w:color w:val="014171"/>
        </w:rPr>
        <w:t xml:space="preserve">emuneration </w:t>
      </w:r>
      <w:r w:rsidR="00DD0D55">
        <w:rPr>
          <w:rFonts w:ascii="Segoe UI" w:hAnsi="Segoe UI" w:cs="Segoe UI"/>
          <w:color w:val="014171"/>
        </w:rPr>
        <w:t>O</w:t>
      </w:r>
      <w:r w:rsidR="00E63008" w:rsidRPr="00834F0A">
        <w:rPr>
          <w:rFonts w:ascii="Segoe UI" w:hAnsi="Segoe UI" w:cs="Segoe UI"/>
          <w:color w:val="014171"/>
        </w:rPr>
        <w:t>fficer (</w:t>
      </w:r>
      <w:r w:rsidR="00E63008" w:rsidRPr="00834F0A">
        <w:rPr>
          <w:rFonts w:ascii="Segoe UI" w:hAnsi="Segoe UI" w:cs="Segoe UI"/>
          <w:i/>
          <w:color w:val="014171"/>
        </w:rPr>
        <w:t>Vergütungsbeauftragter</w:t>
      </w:r>
      <w:r w:rsidR="00E63008" w:rsidRPr="00834F0A">
        <w:rPr>
          <w:rFonts w:ascii="Segoe UI" w:hAnsi="Segoe UI" w:cs="Segoe UI"/>
          <w:color w:val="014171"/>
        </w:rPr>
        <w:t xml:space="preserve">) nor established a </w:t>
      </w:r>
      <w:r w:rsidR="00DD0D55">
        <w:rPr>
          <w:rFonts w:ascii="Segoe UI" w:hAnsi="Segoe UI" w:cs="Segoe UI"/>
          <w:color w:val="014171"/>
        </w:rPr>
        <w:t>R</w:t>
      </w:r>
      <w:r w:rsidR="00E63008" w:rsidRPr="00834F0A">
        <w:rPr>
          <w:rFonts w:ascii="Segoe UI" w:hAnsi="Segoe UI" w:cs="Segoe UI"/>
          <w:color w:val="014171"/>
        </w:rPr>
        <w:t xml:space="preserve">emuneration </w:t>
      </w:r>
      <w:r w:rsidR="00DD0D55">
        <w:rPr>
          <w:rFonts w:ascii="Segoe UI" w:hAnsi="Segoe UI" w:cs="Segoe UI"/>
          <w:color w:val="014171"/>
        </w:rPr>
        <w:t>C</w:t>
      </w:r>
      <w:r w:rsidR="00E63008" w:rsidRPr="00834F0A">
        <w:rPr>
          <w:rFonts w:ascii="Segoe UI" w:hAnsi="Segoe UI" w:cs="Segoe UI"/>
          <w:color w:val="014171"/>
        </w:rPr>
        <w:t>ommittee (</w:t>
      </w:r>
      <w:r w:rsidR="00E63008" w:rsidRPr="00834F0A">
        <w:rPr>
          <w:rFonts w:ascii="Segoe UI" w:hAnsi="Segoe UI" w:cs="Segoe UI"/>
          <w:i/>
          <w:color w:val="014171"/>
        </w:rPr>
        <w:t>Vergütungskontroll</w:t>
      </w:r>
      <w:r w:rsidRPr="00834F0A">
        <w:rPr>
          <w:rFonts w:ascii="Segoe UI" w:hAnsi="Segoe UI" w:cs="Segoe UI"/>
          <w:i/>
          <w:color w:val="014171"/>
        </w:rPr>
        <w:t>-</w:t>
      </w:r>
      <w:r w:rsidR="00E63008" w:rsidRPr="00834F0A">
        <w:rPr>
          <w:rFonts w:ascii="Segoe UI" w:hAnsi="Segoe UI" w:cs="Segoe UI"/>
          <w:i/>
          <w:color w:val="014171"/>
        </w:rPr>
        <w:t>ausschuss</w:t>
      </w:r>
      <w:r w:rsidR="00E63008" w:rsidRPr="00834F0A">
        <w:rPr>
          <w:rFonts w:ascii="Segoe UI" w:hAnsi="Segoe UI" w:cs="Segoe UI"/>
          <w:color w:val="014171"/>
        </w:rPr>
        <w:t>) as it does not qualify as a significant institution (</w:t>
      </w:r>
      <w:r w:rsidR="00E63008" w:rsidRPr="00834F0A">
        <w:rPr>
          <w:rFonts w:ascii="Segoe UI" w:hAnsi="Segoe UI" w:cs="Segoe UI"/>
          <w:i/>
          <w:color w:val="014171"/>
        </w:rPr>
        <w:t>bedeutendes Institut</w:t>
      </w:r>
      <w:r w:rsidR="00E63008" w:rsidRPr="00834F0A">
        <w:rPr>
          <w:rFonts w:ascii="Segoe UI" w:hAnsi="Segoe UI" w:cs="Segoe UI"/>
          <w:color w:val="014171"/>
        </w:rPr>
        <w:t>) pursuant to section 1 (3c) KWG, respectively section 25d (12) 1 KWG in connection with section 15 IVV, section 25d (3) 1</w:t>
      </w:r>
      <w:r w:rsidR="00BF51E6" w:rsidRPr="00834F0A">
        <w:rPr>
          <w:rFonts w:ascii="Segoe UI" w:hAnsi="Segoe UI" w:cs="Segoe UI"/>
          <w:color w:val="014171"/>
        </w:rPr>
        <w:t xml:space="preserve"> KWG and section 25d (3) 8 KWG</w:t>
      </w:r>
      <w:r w:rsidR="003D32EF">
        <w:rPr>
          <w:rFonts w:ascii="Segoe UI" w:hAnsi="Segoe UI" w:cs="Segoe UI"/>
          <w:color w:val="014171"/>
        </w:rPr>
        <w:t>,</w:t>
      </w:r>
      <w:r w:rsidR="00BF51E6" w:rsidRPr="00834F0A">
        <w:rPr>
          <w:rFonts w:ascii="Segoe UI" w:hAnsi="Segoe UI" w:cs="Segoe UI"/>
          <w:color w:val="014171"/>
        </w:rPr>
        <w:t xml:space="preserve"> respectively section 44 (3) 2 WpIG.</w:t>
      </w:r>
    </w:p>
    <w:p w14:paraId="5AE92C15" w14:textId="77777777" w:rsidR="00034E96" w:rsidRDefault="00034E96" w:rsidP="00834F0A">
      <w:pPr>
        <w:spacing w:after="0"/>
        <w:jc w:val="both"/>
        <w:rPr>
          <w:rFonts w:ascii="Segoe UI" w:hAnsi="Segoe UI" w:cs="Segoe UI"/>
          <w:color w:val="014171"/>
        </w:rPr>
      </w:pPr>
    </w:p>
    <w:p w14:paraId="3FF65929" w14:textId="2BA0E090" w:rsidR="00E63008" w:rsidRDefault="00E63008" w:rsidP="00834F0A">
      <w:pPr>
        <w:spacing w:after="0"/>
        <w:jc w:val="both"/>
        <w:rPr>
          <w:rFonts w:ascii="Segoe UI" w:hAnsi="Segoe UI" w:cs="Segoe UI"/>
          <w:color w:val="014171"/>
        </w:rPr>
      </w:pPr>
      <w:r w:rsidRPr="00834F0A">
        <w:rPr>
          <w:rFonts w:ascii="Segoe UI" w:hAnsi="Segoe UI" w:cs="Segoe UI"/>
          <w:color w:val="014171"/>
        </w:rPr>
        <w:t>The setting of remuneration</w:t>
      </w:r>
      <w:r w:rsidR="00914A6B" w:rsidRPr="00834F0A">
        <w:rPr>
          <w:rFonts w:ascii="Segoe UI" w:hAnsi="Segoe UI" w:cs="Segoe UI"/>
          <w:color w:val="014171"/>
        </w:rPr>
        <w:t xml:space="preserve"> rules</w:t>
      </w:r>
      <w:r w:rsidRPr="00834F0A">
        <w:rPr>
          <w:rFonts w:ascii="Segoe UI" w:hAnsi="Segoe UI" w:cs="Segoe UI"/>
          <w:color w:val="014171"/>
        </w:rPr>
        <w:t xml:space="preserve"> is the responsib</w:t>
      </w:r>
      <w:r w:rsidR="00BF51E6" w:rsidRPr="00834F0A">
        <w:rPr>
          <w:rFonts w:ascii="Segoe UI" w:hAnsi="Segoe UI" w:cs="Segoe UI"/>
          <w:color w:val="014171"/>
        </w:rPr>
        <w:t>ility of the Managing Directors and</w:t>
      </w:r>
      <w:r w:rsidRPr="00834F0A">
        <w:rPr>
          <w:rFonts w:ascii="Segoe UI" w:hAnsi="Segoe UI" w:cs="Segoe UI"/>
          <w:color w:val="014171"/>
        </w:rPr>
        <w:t xml:space="preserve"> the Shareholder</w:t>
      </w:r>
      <w:r w:rsidR="00034E96">
        <w:rPr>
          <w:rFonts w:ascii="Segoe UI" w:hAnsi="Segoe UI" w:cs="Segoe UI"/>
          <w:color w:val="014171"/>
        </w:rPr>
        <w:t>,</w:t>
      </w:r>
      <w:r w:rsidRPr="00834F0A">
        <w:rPr>
          <w:rFonts w:ascii="Segoe UI" w:hAnsi="Segoe UI" w:cs="Segoe UI"/>
          <w:color w:val="014171"/>
        </w:rPr>
        <w:t xml:space="preserve"> respectiv</w:t>
      </w:r>
      <w:r w:rsidR="00BF51E6" w:rsidRPr="00834F0A">
        <w:rPr>
          <w:rFonts w:ascii="Segoe UI" w:hAnsi="Segoe UI" w:cs="Segoe UI"/>
          <w:color w:val="014171"/>
        </w:rPr>
        <w:t>ely.</w:t>
      </w:r>
      <w:r w:rsidR="00090AF1">
        <w:rPr>
          <w:rFonts w:ascii="Segoe UI" w:hAnsi="Segoe UI" w:cs="Segoe UI"/>
          <w:color w:val="014171"/>
        </w:rPr>
        <w:t xml:space="preserve"> To have sufficient governance DCMD is using the Remuneration Committee from its Head Office to review and approve the variable remuneration components on a yearly basis.</w:t>
      </w:r>
    </w:p>
    <w:p w14:paraId="29C80D32" w14:textId="77777777" w:rsidR="00C81EA2" w:rsidRPr="00834F0A" w:rsidRDefault="00C81EA2" w:rsidP="00834F0A">
      <w:pPr>
        <w:spacing w:after="0"/>
        <w:jc w:val="both"/>
        <w:rPr>
          <w:rFonts w:ascii="Segoe UI" w:hAnsi="Segoe UI" w:cs="Segoe UI"/>
          <w:color w:val="014171"/>
        </w:rPr>
      </w:pPr>
    </w:p>
    <w:p w14:paraId="7AAEF653" w14:textId="77777777" w:rsidR="00C81EA2" w:rsidRPr="00834F0A" w:rsidRDefault="00C81EA2" w:rsidP="00834F0A">
      <w:pPr>
        <w:pStyle w:val="Heading2"/>
      </w:pPr>
      <w:bookmarkStart w:id="112" w:name="_Toc122626074"/>
      <w:bookmarkStart w:id="113" w:name="_Toc102121172"/>
      <w:r w:rsidRPr="00834F0A">
        <w:t>Control Functions</w:t>
      </w:r>
      <w:bookmarkEnd w:id="112"/>
    </w:p>
    <w:p w14:paraId="252CD314" w14:textId="2AA31178" w:rsidR="00C81EA2" w:rsidRPr="00834F0A" w:rsidRDefault="00C81EA2" w:rsidP="00834F0A">
      <w:pPr>
        <w:spacing w:after="0"/>
        <w:jc w:val="both"/>
        <w:rPr>
          <w:rFonts w:ascii="Segoe UI" w:hAnsi="Segoe UI" w:cs="Segoe UI"/>
          <w:color w:val="014171"/>
        </w:rPr>
      </w:pPr>
      <w:r w:rsidRPr="00834F0A">
        <w:rPr>
          <w:rFonts w:ascii="Segoe UI" w:hAnsi="Segoe UI" w:cs="Segoe UI"/>
          <w:color w:val="014171"/>
        </w:rPr>
        <w:t>Senior individuals in control functions, including risk and compliance, must provide inputs for remuneration decisions, specifically in relation to individuals involved in any reportable incident or notable events. The Firm considers its control functions to be Risk Management, Compliance,</w:t>
      </w:r>
      <w:r w:rsidR="00FA0F09" w:rsidRPr="00834F0A">
        <w:rPr>
          <w:rFonts w:ascii="Segoe UI" w:hAnsi="Segoe UI" w:cs="Segoe UI"/>
          <w:color w:val="014171"/>
        </w:rPr>
        <w:t xml:space="preserve"> Finance</w:t>
      </w:r>
      <w:r w:rsidRPr="00834F0A">
        <w:rPr>
          <w:rFonts w:ascii="Segoe UI" w:hAnsi="Segoe UI" w:cs="Segoe UI"/>
          <w:color w:val="014171"/>
        </w:rPr>
        <w:t xml:space="preserve"> and Internal Audit.</w:t>
      </w:r>
    </w:p>
    <w:p w14:paraId="43AA62BC" w14:textId="77777777" w:rsidR="00C81EA2" w:rsidRPr="00834F0A" w:rsidRDefault="00C81EA2" w:rsidP="00834F0A">
      <w:pPr>
        <w:spacing w:after="0"/>
        <w:jc w:val="both"/>
        <w:rPr>
          <w:rFonts w:ascii="Segoe UI" w:hAnsi="Segoe UI" w:cs="Segoe UI"/>
          <w:color w:val="014171"/>
        </w:rPr>
      </w:pPr>
    </w:p>
    <w:p w14:paraId="6AAAD8F6" w14:textId="27ECC3F5" w:rsidR="00C81EA2" w:rsidRPr="00834F0A" w:rsidRDefault="00544F23" w:rsidP="00834F0A">
      <w:pPr>
        <w:spacing w:after="0"/>
        <w:jc w:val="both"/>
        <w:rPr>
          <w:rFonts w:ascii="Segoe UI" w:hAnsi="Segoe UI" w:cs="Segoe UI"/>
          <w:color w:val="014171"/>
        </w:rPr>
      </w:pPr>
      <w:r w:rsidRPr="00834F0A">
        <w:rPr>
          <w:rFonts w:ascii="Segoe UI" w:hAnsi="Segoe UI" w:cs="Segoe UI"/>
          <w:color w:val="014171"/>
        </w:rPr>
        <w:t>DCMD</w:t>
      </w:r>
      <w:r w:rsidR="00C81EA2" w:rsidRPr="00834F0A">
        <w:rPr>
          <w:rFonts w:ascii="Segoe UI" w:hAnsi="Segoe UI" w:cs="Segoe UI"/>
          <w:color w:val="014171"/>
        </w:rPr>
        <w:t xml:space="preserve"> is required by the relevant Remuneration Code to ensure that employees engaged in control functions are independent from the business units they oversee, have appropriate authority and are remunerated in such a way to attract qualified and experienced staff and to reward the performance against the objectives linked to their functions, independent of the performance of the business areas they control. Thus, the calculation of bonus for employees in this category is totally disconnected from any specific areas of business, and whilst the overall performance of the </w:t>
      </w:r>
      <w:r w:rsidR="003F0655" w:rsidRPr="00834F0A">
        <w:rPr>
          <w:rFonts w:ascii="Segoe UI" w:hAnsi="Segoe UI" w:cs="Segoe UI"/>
          <w:color w:val="014171"/>
        </w:rPr>
        <w:t xml:space="preserve">Firm </w:t>
      </w:r>
      <w:r w:rsidR="00C81EA2" w:rsidRPr="00834F0A">
        <w:rPr>
          <w:rFonts w:ascii="Segoe UI" w:hAnsi="Segoe UI" w:cs="Segoe UI"/>
          <w:color w:val="014171"/>
        </w:rPr>
        <w:t xml:space="preserve">will be a contributing factor, the primary factors will be the degree to which specific functional objectives have been achieved and the achievement of personal objectives. </w:t>
      </w:r>
      <w:r w:rsidR="00475DF7" w:rsidRPr="00834F0A">
        <w:rPr>
          <w:rFonts w:ascii="Segoe UI" w:hAnsi="Segoe UI" w:cs="Segoe UI"/>
          <w:color w:val="014171"/>
        </w:rPr>
        <w:t>DCMD is using the Remuneration Committee of its parent company to review all of its variable compensations.</w:t>
      </w:r>
      <w:r w:rsidR="00FA0F09" w:rsidRPr="00834F0A">
        <w:rPr>
          <w:rFonts w:ascii="Segoe UI" w:hAnsi="Segoe UI" w:cs="Segoe UI"/>
          <w:color w:val="014171"/>
        </w:rPr>
        <w:t xml:space="preserve"> </w:t>
      </w:r>
      <w:r w:rsidR="00E270A3" w:rsidRPr="00834F0A">
        <w:rPr>
          <w:rFonts w:ascii="Segoe UI" w:hAnsi="Segoe UI" w:cs="Segoe UI"/>
          <w:color w:val="014171"/>
        </w:rPr>
        <w:t>In respect of each control function’s input into remuneration decisions, the Firm’s Chief Risk Officer (“CRO”)</w:t>
      </w:r>
      <w:r w:rsidR="00475DF7" w:rsidRPr="00834F0A">
        <w:rPr>
          <w:rFonts w:ascii="Segoe UI" w:hAnsi="Segoe UI" w:cs="Segoe UI"/>
          <w:color w:val="014171"/>
        </w:rPr>
        <w:t xml:space="preserve"> and the Chief Financial Officer (</w:t>
      </w:r>
      <w:r w:rsidR="00110E32" w:rsidRPr="00834F0A">
        <w:rPr>
          <w:rFonts w:ascii="Segoe UI" w:hAnsi="Segoe UI" w:cs="Segoe UI"/>
          <w:color w:val="014171"/>
        </w:rPr>
        <w:t>“</w:t>
      </w:r>
      <w:r w:rsidR="00475DF7" w:rsidRPr="00834F0A">
        <w:rPr>
          <w:rFonts w:ascii="Segoe UI" w:hAnsi="Segoe UI" w:cs="Segoe UI"/>
          <w:color w:val="014171"/>
        </w:rPr>
        <w:t>CFO</w:t>
      </w:r>
      <w:r w:rsidR="00110E32" w:rsidRPr="00834F0A">
        <w:rPr>
          <w:rFonts w:ascii="Segoe UI" w:hAnsi="Segoe UI" w:cs="Segoe UI"/>
          <w:color w:val="014171"/>
        </w:rPr>
        <w:t>”</w:t>
      </w:r>
      <w:r w:rsidR="00475DF7" w:rsidRPr="00834F0A">
        <w:rPr>
          <w:rFonts w:ascii="Segoe UI" w:hAnsi="Segoe UI" w:cs="Segoe UI"/>
          <w:color w:val="014171"/>
        </w:rPr>
        <w:t xml:space="preserve">) of DCMD need to confirm the </w:t>
      </w:r>
      <w:r w:rsidR="001D4685" w:rsidRPr="00834F0A">
        <w:rPr>
          <w:rFonts w:ascii="Segoe UI" w:hAnsi="Segoe UI" w:cs="Segoe UI"/>
          <w:color w:val="014171"/>
        </w:rPr>
        <w:t xml:space="preserve">effect of any </w:t>
      </w:r>
      <w:r w:rsidR="00475DF7" w:rsidRPr="00834F0A">
        <w:rPr>
          <w:rFonts w:ascii="Segoe UI" w:hAnsi="Segoe UI" w:cs="Segoe UI"/>
          <w:color w:val="014171"/>
        </w:rPr>
        <w:t>annual bonus payments in writing</w:t>
      </w:r>
      <w:r w:rsidR="001D4685" w:rsidRPr="00834F0A">
        <w:rPr>
          <w:rFonts w:ascii="Segoe UI" w:hAnsi="Segoe UI" w:cs="Segoe UI"/>
          <w:color w:val="014171"/>
        </w:rPr>
        <w:t xml:space="preserve"> on the capital and liquidity of DCMD</w:t>
      </w:r>
      <w:r w:rsidR="00475DF7" w:rsidRPr="00834F0A">
        <w:rPr>
          <w:rFonts w:ascii="Segoe UI" w:hAnsi="Segoe UI" w:cs="Segoe UI"/>
          <w:color w:val="014171"/>
        </w:rPr>
        <w:t>.</w:t>
      </w:r>
    </w:p>
    <w:p w14:paraId="20E57FA4" w14:textId="6F813239" w:rsidR="00C81EA2" w:rsidRPr="00834F0A" w:rsidRDefault="00C81EA2" w:rsidP="00834F0A">
      <w:pPr>
        <w:spacing w:after="0"/>
        <w:jc w:val="both"/>
        <w:rPr>
          <w:rFonts w:ascii="Segoe UI" w:hAnsi="Segoe UI" w:cs="Segoe UI"/>
          <w:color w:val="014171"/>
        </w:rPr>
      </w:pPr>
    </w:p>
    <w:p w14:paraId="1F5E6F9A" w14:textId="505D2689" w:rsidR="00C81EA2" w:rsidRPr="00834F0A" w:rsidRDefault="001909EA" w:rsidP="00834F0A">
      <w:pPr>
        <w:spacing w:after="0"/>
        <w:jc w:val="both"/>
        <w:rPr>
          <w:rFonts w:ascii="Segoe UI" w:hAnsi="Segoe UI" w:cs="Segoe UI"/>
          <w:color w:val="014171"/>
        </w:rPr>
      </w:pPr>
      <w:r w:rsidRPr="00834F0A">
        <w:rPr>
          <w:rFonts w:ascii="Segoe UI" w:hAnsi="Segoe UI" w:cs="Segoe UI"/>
          <w:color w:val="014171"/>
        </w:rPr>
        <w:t>Internal Audit is</w:t>
      </w:r>
      <w:r w:rsidR="00C81EA2" w:rsidRPr="00834F0A">
        <w:rPr>
          <w:rFonts w:ascii="Segoe UI" w:hAnsi="Segoe UI" w:cs="Segoe UI"/>
          <w:color w:val="014171"/>
        </w:rPr>
        <w:t xml:space="preserve"> responsible for ensuring that the implementation of the Remuneration Policy is, at least annually, subject to central and independent internal </w:t>
      </w:r>
      <w:r w:rsidR="001D4685" w:rsidRPr="00834F0A">
        <w:rPr>
          <w:rFonts w:ascii="Segoe UI" w:hAnsi="Segoe UI" w:cs="Segoe UI"/>
          <w:color w:val="014171"/>
        </w:rPr>
        <w:t xml:space="preserve">or external </w:t>
      </w:r>
      <w:r w:rsidR="00C81EA2" w:rsidRPr="00834F0A">
        <w:rPr>
          <w:rFonts w:ascii="Segoe UI" w:hAnsi="Segoe UI" w:cs="Segoe UI"/>
          <w:color w:val="014171"/>
        </w:rPr>
        <w:t>review for compliance with policies and procedures.</w:t>
      </w:r>
    </w:p>
    <w:p w14:paraId="5F5D9EF6" w14:textId="2A9FC295" w:rsidR="00C81EA2" w:rsidRDefault="00C81EA2" w:rsidP="00834F0A">
      <w:pPr>
        <w:spacing w:after="0"/>
        <w:jc w:val="both"/>
        <w:rPr>
          <w:rFonts w:ascii="Segoe UI" w:hAnsi="Segoe UI" w:cs="Segoe UI"/>
          <w:color w:val="014171"/>
        </w:rPr>
      </w:pPr>
    </w:p>
    <w:p w14:paraId="4DF88653" w14:textId="77777777" w:rsidR="00D97521" w:rsidRPr="00834F0A" w:rsidRDefault="00D97521" w:rsidP="00834F0A">
      <w:pPr>
        <w:spacing w:after="0"/>
        <w:jc w:val="both"/>
        <w:rPr>
          <w:rFonts w:ascii="Segoe UI" w:hAnsi="Segoe UI" w:cs="Segoe UI"/>
          <w:color w:val="014171"/>
        </w:rPr>
      </w:pPr>
    </w:p>
    <w:p w14:paraId="04EC2331" w14:textId="77777777" w:rsidR="00C81EA2" w:rsidRPr="00834F0A" w:rsidRDefault="00C81EA2" w:rsidP="00834F0A">
      <w:pPr>
        <w:pStyle w:val="Heading2"/>
        <w:ind w:left="578" w:hanging="578"/>
      </w:pPr>
      <w:bookmarkStart w:id="114" w:name="_Toc122626075"/>
      <w:r w:rsidRPr="00834F0A">
        <w:lastRenderedPageBreak/>
        <w:t>Material Risk Takers</w:t>
      </w:r>
      <w:bookmarkEnd w:id="114"/>
    </w:p>
    <w:p w14:paraId="67D7E71D" w14:textId="060BD720" w:rsidR="00034E96" w:rsidRPr="00834F0A" w:rsidRDefault="00090AF1" w:rsidP="00834F0A">
      <w:pPr>
        <w:spacing w:after="0"/>
        <w:jc w:val="both"/>
        <w:rPr>
          <w:rFonts w:ascii="Segoe UI" w:hAnsi="Segoe UI" w:cs="Segoe UI"/>
          <w:color w:val="014171"/>
        </w:rPr>
      </w:pPr>
      <w:r>
        <w:rPr>
          <w:rFonts w:ascii="Segoe UI" w:hAnsi="Segoe UI" w:cs="Segoe UI"/>
          <w:color w:val="014171"/>
        </w:rPr>
        <w:t>Based on IVV 3.0 o</w:t>
      </w:r>
      <w:r w:rsidR="00C52A85" w:rsidRPr="00834F0A">
        <w:rPr>
          <w:rFonts w:ascii="Segoe UI" w:hAnsi="Segoe UI" w:cs="Segoe UI"/>
          <w:color w:val="014171"/>
        </w:rPr>
        <w:t xml:space="preserve">nly significant institutions are required to determine by way of a risk analysis whether they have staff who qualify as </w:t>
      </w:r>
      <w:r w:rsidR="00C25941">
        <w:rPr>
          <w:rFonts w:ascii="Segoe UI" w:hAnsi="Segoe UI" w:cs="Segoe UI"/>
          <w:color w:val="014171"/>
        </w:rPr>
        <w:t>Material Risk Taker (“</w:t>
      </w:r>
      <w:r w:rsidR="00C52A85" w:rsidRPr="00834F0A">
        <w:rPr>
          <w:rFonts w:ascii="Segoe UI" w:hAnsi="Segoe UI" w:cs="Segoe UI"/>
          <w:color w:val="014171"/>
        </w:rPr>
        <w:t>MRTs</w:t>
      </w:r>
      <w:r w:rsidR="00C25941">
        <w:rPr>
          <w:rFonts w:ascii="Segoe UI" w:hAnsi="Segoe UI" w:cs="Segoe UI"/>
          <w:color w:val="014171"/>
        </w:rPr>
        <w:t>”)</w:t>
      </w:r>
      <w:r w:rsidR="00C52A85" w:rsidRPr="00834F0A">
        <w:rPr>
          <w:rFonts w:ascii="Segoe UI" w:hAnsi="Segoe UI" w:cs="Segoe UI"/>
          <w:color w:val="014171"/>
        </w:rPr>
        <w:t>, i.e. staff whose professional activities have a material impact on the overall risk profile. DCMD has categorised all staff as either “Identified Staff” or “not Identified Staff” under the new upcoming rules. However, this does not yet have any consequences in the context of DCMD</w:t>
      </w:r>
      <w:r w:rsidR="00110E32" w:rsidRPr="00834F0A">
        <w:rPr>
          <w:rFonts w:ascii="Segoe UI" w:hAnsi="Segoe UI" w:cs="Segoe UI"/>
          <w:color w:val="014171"/>
        </w:rPr>
        <w:t>’</w:t>
      </w:r>
      <w:r w:rsidR="00C52A85" w:rsidRPr="00834F0A">
        <w:rPr>
          <w:rFonts w:ascii="Segoe UI" w:hAnsi="Segoe UI" w:cs="Segoe UI"/>
          <w:color w:val="014171"/>
        </w:rPr>
        <w:t>s remuneration guideline. Although DCMD</w:t>
      </w:r>
      <w:r w:rsidR="0048121F" w:rsidRPr="00834F0A">
        <w:rPr>
          <w:rFonts w:ascii="Segoe UI" w:hAnsi="Segoe UI" w:cs="Segoe UI"/>
          <w:color w:val="014171"/>
        </w:rPr>
        <w:t>’</w:t>
      </w:r>
      <w:r w:rsidR="00C52A85" w:rsidRPr="00834F0A">
        <w:rPr>
          <w:rFonts w:ascii="Segoe UI" w:hAnsi="Segoe UI" w:cs="Segoe UI"/>
          <w:color w:val="014171"/>
        </w:rPr>
        <w:t xml:space="preserve">s parent company is considered to be a significant institution in the UK and required to identify MRTs, DCMD (despite belonging to the same group as DCME) does not qualify as its total assets have not reached or exceeded an average (or individually per year) of EUR 15 billion at the respective reporting dates of the last four financial years (section 1 </w:t>
      </w:r>
      <w:r w:rsidR="00034E96" w:rsidRPr="00834F0A">
        <w:rPr>
          <w:rFonts w:ascii="Segoe UI" w:hAnsi="Segoe UI" w:cs="Segoe UI"/>
          <w:color w:val="014171"/>
        </w:rPr>
        <w:t>(</w:t>
      </w:r>
      <w:r w:rsidR="00C52A85" w:rsidRPr="00834F0A">
        <w:rPr>
          <w:rFonts w:ascii="Segoe UI" w:hAnsi="Segoe UI" w:cs="Segoe UI"/>
          <w:color w:val="014171"/>
        </w:rPr>
        <w:t>3c</w:t>
      </w:r>
      <w:r w:rsidR="00034E96" w:rsidRPr="00834F0A">
        <w:rPr>
          <w:rFonts w:ascii="Segoe UI" w:hAnsi="Segoe UI" w:cs="Segoe UI"/>
          <w:color w:val="014171"/>
        </w:rPr>
        <w:t>)</w:t>
      </w:r>
      <w:r w:rsidR="00C52A85" w:rsidRPr="00834F0A">
        <w:rPr>
          <w:rFonts w:ascii="Segoe UI" w:hAnsi="Segoe UI" w:cs="Segoe UI"/>
          <w:color w:val="014171"/>
        </w:rPr>
        <w:t xml:space="preserve"> KWG).</w:t>
      </w:r>
    </w:p>
    <w:p w14:paraId="34C7E004" w14:textId="77777777" w:rsidR="00034E96" w:rsidRPr="00834F0A" w:rsidRDefault="00034E96" w:rsidP="00834F0A">
      <w:pPr>
        <w:spacing w:after="0"/>
        <w:jc w:val="both"/>
        <w:rPr>
          <w:rFonts w:ascii="Segoe UI" w:hAnsi="Segoe UI" w:cs="Segoe UI"/>
          <w:color w:val="014171"/>
        </w:rPr>
      </w:pPr>
    </w:p>
    <w:p w14:paraId="240922D3" w14:textId="22557E05" w:rsidR="00C81EA2" w:rsidRPr="00834F0A" w:rsidRDefault="00C52A85" w:rsidP="00834F0A">
      <w:pPr>
        <w:spacing w:after="0"/>
        <w:jc w:val="both"/>
        <w:rPr>
          <w:rFonts w:ascii="Segoe UI" w:hAnsi="Segoe UI" w:cs="Segoe UI"/>
          <w:color w:val="014171"/>
        </w:rPr>
      </w:pPr>
      <w:r w:rsidRPr="00834F0A">
        <w:rPr>
          <w:rFonts w:ascii="Segoe UI" w:hAnsi="Segoe UI" w:cs="Segoe UI"/>
          <w:color w:val="014171"/>
        </w:rPr>
        <w:t xml:space="preserve">Nevertheless and under a group perspective employees of DCMD may be identified as part of DCME´s current Material Risk Taker framework. Where employees are identified as MRTs, the remuneration arrangements for these individuals will be compliant with the relevant remuneration regulations applicable to DCME staff. To note: the Managing Directors </w:t>
      </w:r>
      <w:r w:rsidR="00090AF1">
        <w:rPr>
          <w:rFonts w:ascii="Segoe UI" w:hAnsi="Segoe UI" w:cs="Segoe UI"/>
          <w:color w:val="014171"/>
        </w:rPr>
        <w:t xml:space="preserve">of DCMD </w:t>
      </w:r>
      <w:r w:rsidRPr="00834F0A">
        <w:rPr>
          <w:rFonts w:ascii="Segoe UI" w:hAnsi="Segoe UI" w:cs="Segoe UI"/>
          <w:color w:val="014171"/>
        </w:rPr>
        <w:t>are regarded as Risk Ta</w:t>
      </w:r>
      <w:r w:rsidR="00E43CD0" w:rsidRPr="00834F0A">
        <w:rPr>
          <w:rFonts w:ascii="Segoe UI" w:hAnsi="Segoe UI" w:cs="Segoe UI"/>
          <w:color w:val="014171"/>
        </w:rPr>
        <w:t xml:space="preserve">kers under this </w:t>
      </w:r>
      <w:r w:rsidR="00090AF1">
        <w:rPr>
          <w:rFonts w:ascii="Segoe UI" w:hAnsi="Segoe UI" w:cs="Segoe UI"/>
          <w:color w:val="014171"/>
        </w:rPr>
        <w:t xml:space="preserve">Head Office </w:t>
      </w:r>
      <w:r w:rsidR="00E43CD0" w:rsidRPr="00834F0A">
        <w:rPr>
          <w:rFonts w:ascii="Segoe UI" w:hAnsi="Segoe UI" w:cs="Segoe UI"/>
          <w:color w:val="014171"/>
        </w:rPr>
        <w:t xml:space="preserve">policy. </w:t>
      </w:r>
      <w:r w:rsidR="002F5666" w:rsidRPr="00834F0A">
        <w:rPr>
          <w:rFonts w:ascii="Segoe UI" w:hAnsi="Segoe UI" w:cs="Segoe UI"/>
          <w:color w:val="014171"/>
        </w:rPr>
        <w:t>The parent companies</w:t>
      </w:r>
      <w:r w:rsidR="00C81EA2" w:rsidRPr="00834F0A">
        <w:rPr>
          <w:rFonts w:ascii="Segoe UI" w:hAnsi="Segoe UI" w:cs="Segoe UI"/>
          <w:color w:val="014171"/>
        </w:rPr>
        <w:t xml:space="preserve"> Remuneration Policy is applied consistently to MRTs</w:t>
      </w:r>
      <w:r w:rsidR="002F5666" w:rsidRPr="00834F0A">
        <w:rPr>
          <w:rFonts w:ascii="Segoe UI" w:hAnsi="Segoe UI" w:cs="Segoe UI"/>
          <w:color w:val="014171"/>
        </w:rPr>
        <w:t xml:space="preserve"> in DCMD</w:t>
      </w:r>
      <w:r w:rsidR="00090AF1">
        <w:rPr>
          <w:rFonts w:ascii="Segoe UI" w:hAnsi="Segoe UI" w:cs="Segoe UI"/>
          <w:color w:val="014171"/>
        </w:rPr>
        <w:t xml:space="preserve"> and DCME</w:t>
      </w:r>
      <w:r w:rsidR="00C81EA2" w:rsidRPr="00834F0A">
        <w:rPr>
          <w:rFonts w:ascii="Segoe UI" w:hAnsi="Segoe UI" w:cs="Segoe UI"/>
          <w:color w:val="014171"/>
        </w:rPr>
        <w:t xml:space="preserve">. </w:t>
      </w:r>
    </w:p>
    <w:p w14:paraId="0D89CF46" w14:textId="77777777" w:rsidR="00C81EA2" w:rsidRPr="00834F0A" w:rsidRDefault="00C81EA2" w:rsidP="00834F0A">
      <w:pPr>
        <w:spacing w:after="0"/>
        <w:jc w:val="both"/>
        <w:rPr>
          <w:rFonts w:ascii="Segoe UI" w:hAnsi="Segoe UI" w:cs="Segoe UI"/>
          <w:color w:val="014171"/>
        </w:rPr>
      </w:pPr>
    </w:p>
    <w:p w14:paraId="33A00E82" w14:textId="4D01ECFE" w:rsidR="00C81EA2" w:rsidRPr="00CE319F" w:rsidRDefault="00C81EA2" w:rsidP="00CE319F">
      <w:pPr>
        <w:pStyle w:val="Heading2"/>
      </w:pPr>
      <w:bookmarkStart w:id="115" w:name="_Toc122626076"/>
      <w:r w:rsidRPr="00CE319F">
        <w:t>Reward Strategy in Practice</w:t>
      </w:r>
      <w:bookmarkEnd w:id="113"/>
      <w:bookmarkEnd w:id="115"/>
    </w:p>
    <w:p w14:paraId="1E594F7F" w14:textId="64A8CF1C" w:rsidR="00C81EA2" w:rsidRPr="00CE319F" w:rsidRDefault="00C33B56" w:rsidP="00CE319F">
      <w:pPr>
        <w:spacing w:after="0"/>
        <w:jc w:val="both"/>
        <w:rPr>
          <w:rFonts w:ascii="Segoe UI" w:hAnsi="Segoe UI" w:cs="Segoe UI"/>
          <w:color w:val="014171"/>
        </w:rPr>
      </w:pPr>
      <w:r w:rsidRPr="00CE319F">
        <w:rPr>
          <w:rFonts w:ascii="Segoe UI" w:hAnsi="Segoe UI" w:cs="Segoe UI"/>
          <w:color w:val="014171"/>
        </w:rPr>
        <w:t>DCMD</w:t>
      </w:r>
      <w:r w:rsidR="00C81EA2" w:rsidRPr="00CE319F">
        <w:rPr>
          <w:rFonts w:ascii="Segoe UI" w:hAnsi="Segoe UI" w:cs="Segoe UI"/>
          <w:color w:val="014171"/>
        </w:rPr>
        <w:t xml:space="preserve"> rewards staff with fixed and </w:t>
      </w:r>
      <w:r w:rsidR="002B24B7">
        <w:rPr>
          <w:rFonts w:ascii="Segoe UI" w:hAnsi="Segoe UI" w:cs="Segoe UI"/>
          <w:color w:val="014171"/>
        </w:rPr>
        <w:t xml:space="preserve">often with </w:t>
      </w:r>
      <w:r w:rsidR="00C81EA2" w:rsidRPr="00CE319F">
        <w:rPr>
          <w:rFonts w:ascii="Segoe UI" w:hAnsi="Segoe UI" w:cs="Segoe UI"/>
          <w:color w:val="014171"/>
        </w:rPr>
        <w:t>variable remuneration in the form of salaries and bonuses</w:t>
      </w:r>
      <w:r w:rsidR="00A86C8C">
        <w:rPr>
          <w:rFonts w:ascii="Segoe UI" w:hAnsi="Segoe UI" w:cs="Segoe UI"/>
          <w:color w:val="014171"/>
        </w:rPr>
        <w:t>,</w:t>
      </w:r>
      <w:r w:rsidR="00C81EA2" w:rsidRPr="00CE319F">
        <w:rPr>
          <w:rFonts w:ascii="Segoe UI" w:hAnsi="Segoe UI" w:cs="Segoe UI"/>
          <w:color w:val="014171"/>
        </w:rPr>
        <w:t xml:space="preserve"> respectively. All remuneration is currently offered in cash; no other instruments are offered as remunera</w:t>
      </w:r>
      <w:r w:rsidRPr="00CE319F">
        <w:rPr>
          <w:rFonts w:ascii="Segoe UI" w:hAnsi="Segoe UI" w:cs="Segoe UI"/>
          <w:color w:val="014171"/>
        </w:rPr>
        <w:t xml:space="preserve">tion </w:t>
      </w:r>
      <w:r w:rsidR="002B24B7">
        <w:rPr>
          <w:rFonts w:ascii="Segoe UI" w:hAnsi="Segoe UI" w:cs="Segoe UI"/>
          <w:color w:val="014171"/>
        </w:rPr>
        <w:t xml:space="preserve">currently </w:t>
      </w:r>
      <w:r w:rsidRPr="00CE319F">
        <w:rPr>
          <w:rFonts w:ascii="Segoe UI" w:hAnsi="Segoe UI" w:cs="Segoe UI"/>
          <w:color w:val="014171"/>
        </w:rPr>
        <w:t xml:space="preserve">(this </w:t>
      </w:r>
      <w:r w:rsidR="002B24B7">
        <w:rPr>
          <w:rFonts w:ascii="Segoe UI" w:hAnsi="Segoe UI" w:cs="Segoe UI"/>
          <w:color w:val="014171"/>
        </w:rPr>
        <w:t xml:space="preserve">praxis </w:t>
      </w:r>
      <w:r w:rsidRPr="00CE319F">
        <w:rPr>
          <w:rFonts w:ascii="Segoe UI" w:hAnsi="Segoe UI" w:cs="Segoe UI"/>
          <w:color w:val="014171"/>
        </w:rPr>
        <w:t xml:space="preserve">will change under </w:t>
      </w:r>
      <w:r w:rsidR="002B24B7">
        <w:rPr>
          <w:rFonts w:ascii="Segoe UI" w:hAnsi="Segoe UI" w:cs="Segoe UI"/>
          <w:color w:val="014171"/>
        </w:rPr>
        <w:t>the new remuneration rules to be announced by BaFin</w:t>
      </w:r>
      <w:r w:rsidR="00C81EA2" w:rsidRPr="00CE319F">
        <w:rPr>
          <w:rFonts w:ascii="Segoe UI" w:hAnsi="Segoe UI" w:cs="Segoe UI"/>
          <w:color w:val="014171"/>
        </w:rPr>
        <w:t>).</w:t>
      </w:r>
    </w:p>
    <w:p w14:paraId="634B6C70" w14:textId="77777777" w:rsidR="00C81EA2" w:rsidRPr="00CE319F" w:rsidRDefault="00C81EA2" w:rsidP="00CE319F">
      <w:pPr>
        <w:spacing w:after="0"/>
        <w:jc w:val="both"/>
        <w:rPr>
          <w:rFonts w:ascii="Segoe UI" w:hAnsi="Segoe UI" w:cs="Segoe UI"/>
          <w:color w:val="014171"/>
        </w:rPr>
      </w:pPr>
    </w:p>
    <w:p w14:paraId="5F8BF275" w14:textId="61B941C8" w:rsidR="00C81EA2" w:rsidRPr="00CE319F" w:rsidRDefault="00C81EA2" w:rsidP="00CE319F">
      <w:pPr>
        <w:spacing w:after="0"/>
        <w:jc w:val="both"/>
        <w:rPr>
          <w:rFonts w:ascii="Segoe UI" w:hAnsi="Segoe UI" w:cs="Segoe UI"/>
          <w:color w:val="014171"/>
        </w:rPr>
      </w:pPr>
      <w:r w:rsidRPr="00CE319F">
        <w:rPr>
          <w:rFonts w:ascii="Segoe UI" w:hAnsi="Segoe UI" w:cs="Segoe UI"/>
          <w:color w:val="014171"/>
        </w:rPr>
        <w:t xml:space="preserve">The factors that determine remuneration include an employee’s responsibilities, seniority, and experience. </w:t>
      </w:r>
      <w:r w:rsidR="002B24B7">
        <w:rPr>
          <w:rFonts w:ascii="Segoe UI" w:hAnsi="Segoe UI" w:cs="Segoe UI"/>
          <w:color w:val="014171"/>
        </w:rPr>
        <w:t>Also no variable remuneration is possible in DCMD.</w:t>
      </w:r>
      <w:r w:rsidR="0022567C">
        <w:rPr>
          <w:rFonts w:ascii="Segoe UI" w:hAnsi="Segoe UI" w:cs="Segoe UI"/>
          <w:color w:val="014171"/>
        </w:rPr>
        <w:t xml:space="preserve"> The fixed remuneration is considered high enough that staff </w:t>
      </w:r>
      <w:r w:rsidR="008614C5">
        <w:rPr>
          <w:rFonts w:ascii="Segoe UI" w:hAnsi="Segoe UI" w:cs="Segoe UI"/>
          <w:color w:val="014171"/>
        </w:rPr>
        <w:t>can earn their</w:t>
      </w:r>
      <w:r w:rsidR="00D16B5B">
        <w:rPr>
          <w:rFonts w:ascii="Segoe UI" w:hAnsi="Segoe UI" w:cs="Segoe UI"/>
          <w:color w:val="014171"/>
        </w:rPr>
        <w:t xml:space="preserve"> living.</w:t>
      </w:r>
    </w:p>
    <w:p w14:paraId="16E15051" w14:textId="77777777" w:rsidR="00C81EA2" w:rsidRPr="00CE319F" w:rsidRDefault="00C81EA2" w:rsidP="00CE319F">
      <w:pPr>
        <w:spacing w:after="0"/>
        <w:jc w:val="both"/>
        <w:rPr>
          <w:rFonts w:ascii="Segoe UI" w:hAnsi="Segoe UI" w:cs="Segoe UI"/>
          <w:color w:val="014171"/>
        </w:rPr>
      </w:pPr>
    </w:p>
    <w:p w14:paraId="755126A0" w14:textId="66EA6FB8" w:rsidR="007D5E1D" w:rsidRPr="00CE319F" w:rsidRDefault="00C81EA2" w:rsidP="00CE319F">
      <w:pPr>
        <w:spacing w:after="0"/>
        <w:jc w:val="both"/>
        <w:rPr>
          <w:rFonts w:ascii="Segoe UI" w:hAnsi="Segoe UI" w:cs="Segoe UI"/>
          <w:color w:val="014171"/>
        </w:rPr>
      </w:pPr>
      <w:r w:rsidRPr="00CE319F">
        <w:rPr>
          <w:rFonts w:ascii="Segoe UI" w:hAnsi="Segoe UI" w:cs="Segoe UI"/>
          <w:color w:val="014171"/>
        </w:rPr>
        <w:t>A Discretionary Bonus Scheme is operated annually to reward and encourage good financial and non-financial performance, as well as high standards of personal and professional conduct. All employees are eligible for the Discretionary Bonus Scheme. There is no separate scheme for the Firm’s MRTs.</w:t>
      </w:r>
    </w:p>
    <w:p w14:paraId="13B33874" w14:textId="77777777" w:rsidR="00C036B2" w:rsidRDefault="00C036B2" w:rsidP="00CE319F">
      <w:pPr>
        <w:spacing w:after="0"/>
        <w:jc w:val="both"/>
        <w:rPr>
          <w:rFonts w:ascii="Segoe UI" w:hAnsi="Segoe UI" w:cs="Segoe UI"/>
          <w:color w:val="014171"/>
        </w:rPr>
      </w:pPr>
    </w:p>
    <w:p w14:paraId="6414B568" w14:textId="4217520B" w:rsidR="007D5E1D" w:rsidRPr="00CE319F" w:rsidRDefault="007D5E1D" w:rsidP="00CE319F">
      <w:pPr>
        <w:spacing w:after="0"/>
        <w:jc w:val="both"/>
        <w:rPr>
          <w:rFonts w:ascii="Segoe UI" w:hAnsi="Segoe UI" w:cs="Segoe UI"/>
          <w:color w:val="014171"/>
        </w:rPr>
      </w:pPr>
      <w:r w:rsidRPr="00CE319F">
        <w:rPr>
          <w:rFonts w:ascii="Segoe UI" w:hAnsi="Segoe UI" w:cs="Segoe UI"/>
          <w:color w:val="014171"/>
        </w:rPr>
        <w:t xml:space="preserve">The Fixed Remuneration consists of base salary, contributions to DCMD’s pension plan and “other benefits”. The Fixed Remuneration is reviewed annually against general market benchmarks with any increase being solely at the </w:t>
      </w:r>
      <w:r w:rsidR="00A86C8C">
        <w:rPr>
          <w:rFonts w:ascii="Segoe UI" w:hAnsi="Segoe UI" w:cs="Segoe UI"/>
          <w:color w:val="014171"/>
        </w:rPr>
        <w:t>Firm</w:t>
      </w:r>
      <w:r w:rsidR="00A86C8C" w:rsidRPr="00CE319F">
        <w:rPr>
          <w:rFonts w:ascii="Segoe UI" w:hAnsi="Segoe UI" w:cs="Segoe UI"/>
          <w:color w:val="014171"/>
        </w:rPr>
        <w:t xml:space="preserve">'s </w:t>
      </w:r>
      <w:r w:rsidRPr="00CE319F">
        <w:rPr>
          <w:rFonts w:ascii="Segoe UI" w:hAnsi="Segoe UI" w:cs="Segoe UI"/>
          <w:color w:val="014171"/>
        </w:rPr>
        <w:t>discretion.  It is set at an appropriate level to allow a fully flexible policy to be operated in respect of the award of any discretionary bonus. Fixed Remuneration is an annual salary divided by twelve and paid on a monthly basis twelve times a year. DCMD pays an amount of 3</w:t>
      </w:r>
      <w:r w:rsidR="00954B9E">
        <w:rPr>
          <w:rFonts w:ascii="Segoe UI" w:hAnsi="Segoe UI" w:cs="Segoe UI"/>
          <w:color w:val="014171"/>
        </w:rPr>
        <w:t>.</w:t>
      </w:r>
      <w:r w:rsidRPr="00CE319F">
        <w:rPr>
          <w:rFonts w:ascii="Segoe UI" w:hAnsi="Segoe UI" w:cs="Segoe UI"/>
          <w:color w:val="014171"/>
        </w:rPr>
        <w:t xml:space="preserve">5% of the gross salary on a monthly basis </w:t>
      </w:r>
      <w:r w:rsidRPr="00CE319F">
        <w:rPr>
          <w:rFonts w:ascii="Segoe UI" w:hAnsi="Segoe UI" w:cs="Segoe UI"/>
          <w:color w:val="014171"/>
        </w:rPr>
        <w:lastRenderedPageBreak/>
        <w:t xml:space="preserve">(max. </w:t>
      </w:r>
      <w:r w:rsidR="00954B9E">
        <w:rPr>
          <w:rFonts w:ascii="Segoe UI" w:hAnsi="Segoe UI" w:cs="Segoe UI"/>
          <w:color w:val="014171"/>
        </w:rPr>
        <w:t xml:space="preserve">EUR </w:t>
      </w:r>
      <w:r w:rsidRPr="00CE319F">
        <w:rPr>
          <w:rFonts w:ascii="Segoe UI" w:hAnsi="Segoe UI" w:cs="Segoe UI"/>
          <w:color w:val="014171"/>
        </w:rPr>
        <w:t>500</w:t>
      </w:r>
      <w:r w:rsidR="00954B9E">
        <w:rPr>
          <w:rFonts w:ascii="Segoe UI" w:hAnsi="Segoe UI" w:cs="Segoe UI"/>
          <w:color w:val="014171"/>
        </w:rPr>
        <w:t>.0</w:t>
      </w:r>
      <w:r w:rsidRPr="00CE319F">
        <w:rPr>
          <w:rFonts w:ascii="Segoe UI" w:hAnsi="Segoe UI" w:cs="Segoe UI"/>
          <w:color w:val="014171"/>
        </w:rPr>
        <w:t>) into a pension fund for banks and financial services provider (</w:t>
      </w:r>
      <w:r w:rsidR="00A86C8C" w:rsidRPr="00CE319F">
        <w:rPr>
          <w:rFonts w:ascii="Segoe UI" w:hAnsi="Segoe UI" w:cs="Segoe UI"/>
          <w:i/>
          <w:color w:val="014171"/>
        </w:rPr>
        <w:t>BVV Versicherungsverein des Bankgewerbes</w:t>
      </w:r>
      <w:r w:rsidR="00A86C8C">
        <w:rPr>
          <w:rFonts w:ascii="Segoe UI" w:hAnsi="Segoe UI" w:cs="Segoe UI"/>
          <w:color w:val="014171"/>
        </w:rPr>
        <w:t>,</w:t>
      </w:r>
      <w:r w:rsidR="00A86C8C" w:rsidRPr="00377C35">
        <w:rPr>
          <w:rFonts w:ascii="Segoe UI" w:hAnsi="Segoe UI" w:cs="Segoe UI"/>
          <w:color w:val="014171"/>
        </w:rPr>
        <w:t xml:space="preserve"> </w:t>
      </w:r>
      <w:r w:rsidR="00A86C8C">
        <w:rPr>
          <w:rFonts w:ascii="Segoe UI" w:hAnsi="Segoe UI" w:cs="Segoe UI"/>
          <w:color w:val="014171"/>
        </w:rPr>
        <w:t>“</w:t>
      </w:r>
      <w:r w:rsidRPr="00CE319F">
        <w:rPr>
          <w:rFonts w:ascii="Segoe UI" w:hAnsi="Segoe UI" w:cs="Segoe UI"/>
          <w:color w:val="014171"/>
        </w:rPr>
        <w:t>BVV</w:t>
      </w:r>
      <w:r w:rsidR="00A86C8C">
        <w:rPr>
          <w:rFonts w:ascii="Segoe UI" w:hAnsi="Segoe UI" w:cs="Segoe UI"/>
          <w:color w:val="014171"/>
        </w:rPr>
        <w:t>”</w:t>
      </w:r>
      <w:r w:rsidRPr="00CE319F">
        <w:rPr>
          <w:rFonts w:ascii="Segoe UI" w:hAnsi="Segoe UI" w:cs="Segoe UI"/>
          <w:color w:val="014171"/>
        </w:rPr>
        <w:t xml:space="preserve">). The amounts of these salary components have been determined in advance and their terms have been communicated clearly to all staff. Furthermore, the grant of such benefits and their amount is transparent and cannot be changed unilaterally by the </w:t>
      </w:r>
      <w:r w:rsidR="003F0655">
        <w:rPr>
          <w:rFonts w:ascii="Segoe UI" w:hAnsi="Segoe UI" w:cs="Segoe UI"/>
          <w:color w:val="014171"/>
        </w:rPr>
        <w:t>Firm</w:t>
      </w:r>
      <w:r w:rsidR="003F0655" w:rsidRPr="00CE319F">
        <w:rPr>
          <w:rFonts w:ascii="Segoe UI" w:hAnsi="Segoe UI" w:cs="Segoe UI"/>
          <w:color w:val="014171"/>
        </w:rPr>
        <w:t xml:space="preserve"> </w:t>
      </w:r>
      <w:r w:rsidRPr="00CE319F">
        <w:rPr>
          <w:rFonts w:ascii="Segoe UI" w:hAnsi="Segoe UI" w:cs="Segoe UI"/>
          <w:color w:val="014171"/>
        </w:rPr>
        <w:t>and these benefits are neither performance related nor conditional.</w:t>
      </w:r>
      <w:r w:rsidR="00503D55" w:rsidRPr="00CE319F">
        <w:rPr>
          <w:rFonts w:ascii="Segoe UI" w:hAnsi="Segoe UI" w:cs="Segoe UI"/>
          <w:color w:val="014171"/>
        </w:rPr>
        <w:t xml:space="preserve"> </w:t>
      </w:r>
      <w:r w:rsidRPr="00CE319F">
        <w:rPr>
          <w:rFonts w:ascii="Segoe UI" w:hAnsi="Segoe UI" w:cs="Segoe UI"/>
          <w:color w:val="014171"/>
        </w:rPr>
        <w:t xml:space="preserve">The </w:t>
      </w:r>
      <w:r w:rsidR="003F0655">
        <w:rPr>
          <w:rFonts w:ascii="Segoe UI" w:hAnsi="Segoe UI" w:cs="Segoe UI"/>
          <w:color w:val="014171"/>
        </w:rPr>
        <w:t>Firm</w:t>
      </w:r>
      <w:r w:rsidR="003F0655" w:rsidRPr="00CE319F">
        <w:rPr>
          <w:rFonts w:ascii="Segoe UI" w:hAnsi="Segoe UI" w:cs="Segoe UI"/>
          <w:color w:val="014171"/>
        </w:rPr>
        <w:t xml:space="preserve"> </w:t>
      </w:r>
      <w:r w:rsidRPr="00CE319F">
        <w:rPr>
          <w:rFonts w:ascii="Segoe UI" w:hAnsi="Segoe UI" w:cs="Segoe UI"/>
          <w:color w:val="014171"/>
        </w:rPr>
        <w:t>does not provide additional discretionary early retirement benefits to employees.</w:t>
      </w:r>
    </w:p>
    <w:p w14:paraId="789E3ED4" w14:textId="008318E9" w:rsidR="007D5E1D" w:rsidRPr="00CE319F" w:rsidRDefault="007D5E1D" w:rsidP="00CE319F">
      <w:pPr>
        <w:spacing w:after="0"/>
        <w:jc w:val="both"/>
        <w:rPr>
          <w:rFonts w:ascii="Segoe UI" w:hAnsi="Segoe UI" w:cs="Segoe UI"/>
          <w:color w:val="014171"/>
        </w:rPr>
      </w:pPr>
    </w:p>
    <w:p w14:paraId="76D64961" w14:textId="55D7AF73" w:rsidR="007D5E1D" w:rsidRDefault="007D5E1D" w:rsidP="00CE319F">
      <w:pPr>
        <w:spacing w:after="0"/>
        <w:jc w:val="both"/>
        <w:rPr>
          <w:rFonts w:ascii="Segoe UI" w:hAnsi="Segoe UI" w:cs="Segoe UI"/>
          <w:color w:val="014171"/>
        </w:rPr>
      </w:pPr>
      <w:r w:rsidRPr="00CE319F">
        <w:rPr>
          <w:rFonts w:ascii="Segoe UI" w:hAnsi="Segoe UI" w:cs="Segoe UI"/>
          <w:color w:val="014171"/>
        </w:rPr>
        <w:t xml:space="preserve">Variable Remuneration is determined on the basis of a multi-year performance assessment framework </w:t>
      </w:r>
      <w:r w:rsidR="00CE319F">
        <w:rPr>
          <w:rFonts w:ascii="Segoe UI" w:hAnsi="Segoe UI" w:cs="Segoe UI"/>
          <w:color w:val="014171"/>
        </w:rPr>
        <w:t>in DCMD’s remuneration policy</w:t>
      </w:r>
      <w:r w:rsidRPr="00CE319F">
        <w:rPr>
          <w:rFonts w:ascii="Segoe UI" w:hAnsi="Segoe UI" w:cs="Segoe UI"/>
          <w:color w:val="014171"/>
        </w:rPr>
        <w:t xml:space="preserve">. The </w:t>
      </w:r>
      <w:r w:rsidR="003F0655">
        <w:rPr>
          <w:rFonts w:ascii="Segoe UI" w:hAnsi="Segoe UI" w:cs="Segoe UI"/>
          <w:color w:val="014171"/>
        </w:rPr>
        <w:t>Firm</w:t>
      </w:r>
      <w:r w:rsidR="003F0655" w:rsidRPr="00CE319F">
        <w:rPr>
          <w:rFonts w:ascii="Segoe UI" w:hAnsi="Segoe UI" w:cs="Segoe UI"/>
          <w:color w:val="014171"/>
        </w:rPr>
        <w:t xml:space="preserve"> </w:t>
      </w:r>
      <w:r w:rsidRPr="00CE319F">
        <w:rPr>
          <w:rFonts w:ascii="Segoe UI" w:hAnsi="Segoe UI" w:cs="Segoe UI"/>
          <w:color w:val="014171"/>
        </w:rPr>
        <w:t xml:space="preserve">will undertake efforts to ensure that the Variable Remuneration of Secondees is aligned with the provisions of the old IVV </w:t>
      </w:r>
      <w:r w:rsidR="002B24B7">
        <w:rPr>
          <w:rFonts w:ascii="Segoe UI" w:hAnsi="Segoe UI" w:cs="Segoe UI"/>
          <w:color w:val="014171"/>
        </w:rPr>
        <w:t xml:space="preserve">3.0 </w:t>
      </w:r>
      <w:r w:rsidRPr="00CE319F">
        <w:rPr>
          <w:rFonts w:ascii="Segoe UI" w:hAnsi="Segoe UI" w:cs="Segoe UI"/>
          <w:color w:val="014171"/>
        </w:rPr>
        <w:t>and the EBA guidelines on remuneration as reflected in this Remuneration Policy. Nevertheless</w:t>
      </w:r>
      <w:r w:rsidR="00A86C8C">
        <w:rPr>
          <w:rFonts w:ascii="Segoe UI" w:hAnsi="Segoe UI" w:cs="Segoe UI"/>
          <w:color w:val="014171"/>
        </w:rPr>
        <w:t>,</w:t>
      </w:r>
      <w:r w:rsidRPr="00CE319F">
        <w:rPr>
          <w:rFonts w:ascii="Segoe UI" w:hAnsi="Segoe UI" w:cs="Segoe UI"/>
          <w:color w:val="014171"/>
        </w:rPr>
        <w:t xml:space="preserve"> it should be noted that DCMD will not implement a “share component”, or similar, as variable remuneration part for this specific policy </w:t>
      </w:r>
      <w:r w:rsidR="002B214C">
        <w:rPr>
          <w:rFonts w:ascii="Segoe UI" w:hAnsi="Segoe UI" w:cs="Segoe UI"/>
          <w:color w:val="014171"/>
        </w:rPr>
        <w:t>until BaFin has issued the finalised WVV. B</w:t>
      </w:r>
      <w:r w:rsidR="002B214C" w:rsidRPr="00CE319F">
        <w:rPr>
          <w:rFonts w:ascii="Segoe UI" w:hAnsi="Segoe UI" w:cs="Segoe UI"/>
          <w:color w:val="014171"/>
        </w:rPr>
        <w:t xml:space="preserve">ut </w:t>
      </w:r>
      <w:r w:rsidRPr="00CE319F">
        <w:rPr>
          <w:rFonts w:ascii="Segoe UI" w:hAnsi="Segoe UI" w:cs="Segoe UI"/>
          <w:color w:val="014171"/>
        </w:rPr>
        <w:t xml:space="preserve">DCMD is aware that the next DCMD remuneration policy will have such a “share component” incorporated as this is a formal requirement which DCMD </w:t>
      </w:r>
      <w:r w:rsidR="00AE5CC9" w:rsidRPr="00CE319F">
        <w:rPr>
          <w:rFonts w:ascii="Segoe UI" w:hAnsi="Segoe UI" w:cs="Segoe UI"/>
          <w:color w:val="014171"/>
        </w:rPr>
        <w:t xml:space="preserve">will follow based on the </w:t>
      </w:r>
      <w:r w:rsidR="002B24B7">
        <w:rPr>
          <w:rFonts w:ascii="Segoe UI" w:hAnsi="Segoe UI" w:cs="Segoe UI"/>
          <w:color w:val="014171"/>
        </w:rPr>
        <w:t xml:space="preserve">external BaFin </w:t>
      </w:r>
      <w:r w:rsidR="00AE5CC9" w:rsidRPr="00CE319F">
        <w:rPr>
          <w:rFonts w:ascii="Segoe UI" w:hAnsi="Segoe UI" w:cs="Segoe UI"/>
          <w:color w:val="014171"/>
        </w:rPr>
        <w:t xml:space="preserve">rules. </w:t>
      </w:r>
      <w:r w:rsidRPr="00CE319F">
        <w:rPr>
          <w:rFonts w:ascii="Segoe UI" w:hAnsi="Segoe UI" w:cs="Segoe UI"/>
          <w:color w:val="014171"/>
        </w:rPr>
        <w:t>Variable Remuneration is paid on a discretionary and non-guaranteed basis using the following objectives and key performance indicators:</w:t>
      </w:r>
    </w:p>
    <w:p w14:paraId="7282B6E3" w14:textId="77777777" w:rsidR="00A86C8C" w:rsidRPr="00CE319F" w:rsidRDefault="00A86C8C" w:rsidP="00CE319F">
      <w:pPr>
        <w:spacing w:after="0"/>
        <w:jc w:val="both"/>
        <w:rPr>
          <w:rFonts w:ascii="Segoe UI" w:hAnsi="Segoe UI" w:cs="Segoe UI"/>
          <w:color w:val="014171"/>
        </w:rPr>
      </w:pPr>
    </w:p>
    <w:p w14:paraId="0000ED00" w14:textId="6407E1ED" w:rsidR="007D5E1D" w:rsidRPr="00CE319F" w:rsidRDefault="007D5E1D" w:rsidP="00CE319F">
      <w:pPr>
        <w:spacing w:after="0"/>
        <w:jc w:val="both"/>
        <w:rPr>
          <w:rFonts w:ascii="Segoe UI" w:hAnsi="Segoe UI" w:cs="Segoe UI"/>
          <w:color w:val="014171"/>
        </w:rPr>
      </w:pPr>
      <w:r w:rsidRPr="00CE319F">
        <w:rPr>
          <w:rFonts w:ascii="Segoe UI" w:hAnsi="Segoe UI" w:cs="Segoe UI"/>
          <w:color w:val="014171"/>
        </w:rPr>
        <w:t xml:space="preserve">The total Variable Remuneration for Front Office staff shall not exceed 100% of the Fixed Remuneration, unless the </w:t>
      </w:r>
      <w:r w:rsidR="003F0655">
        <w:rPr>
          <w:rFonts w:ascii="Segoe UI" w:hAnsi="Segoe UI" w:cs="Segoe UI"/>
          <w:color w:val="014171"/>
        </w:rPr>
        <w:t>Firm</w:t>
      </w:r>
      <w:r w:rsidR="003F0655" w:rsidRPr="00CE319F">
        <w:rPr>
          <w:rFonts w:ascii="Segoe UI" w:hAnsi="Segoe UI" w:cs="Segoe UI"/>
          <w:color w:val="014171"/>
        </w:rPr>
        <w:t xml:space="preserve"> </w:t>
      </w:r>
      <w:r w:rsidRPr="00CE319F">
        <w:rPr>
          <w:rFonts w:ascii="Segoe UI" w:hAnsi="Segoe UI" w:cs="Segoe UI"/>
          <w:color w:val="014171"/>
        </w:rPr>
        <w:t>has raised the limit for the Variable Remuneration of the Front Office staff i</w:t>
      </w:r>
      <w:r w:rsidR="00503D55" w:rsidRPr="00CE319F">
        <w:rPr>
          <w:rFonts w:ascii="Segoe UI" w:hAnsi="Segoe UI" w:cs="Segoe UI"/>
          <w:color w:val="014171"/>
        </w:rPr>
        <w:t>n accordance with</w:t>
      </w:r>
      <w:r w:rsidRPr="00CE319F">
        <w:rPr>
          <w:rFonts w:ascii="Segoe UI" w:hAnsi="Segoe UI" w:cs="Segoe UI"/>
          <w:color w:val="014171"/>
        </w:rPr>
        <w:t xml:space="preserve"> section 6 (2) old IVV </w:t>
      </w:r>
      <w:r w:rsidR="002B24B7">
        <w:rPr>
          <w:rFonts w:ascii="Segoe UI" w:hAnsi="Segoe UI" w:cs="Segoe UI"/>
          <w:color w:val="014171"/>
        </w:rPr>
        <w:t xml:space="preserve">3.0 </w:t>
      </w:r>
      <w:r w:rsidRPr="00CE319F">
        <w:rPr>
          <w:rFonts w:ascii="Segoe UI" w:hAnsi="Segoe UI" w:cs="Segoe UI"/>
          <w:color w:val="014171"/>
        </w:rPr>
        <w:t>in connection with section 25a (5) sentences 5 - 9 KWG.  Under no circumstances may the total Variable Remuneration exceed the statutory limit of 200% of the Fixed Remuneration. The total Variable Remuneration for Back Office (including the Control U</w:t>
      </w:r>
      <w:r w:rsidR="001F5707">
        <w:rPr>
          <w:rFonts w:ascii="Segoe UI" w:hAnsi="Segoe UI" w:cs="Segoe UI"/>
          <w:color w:val="014171"/>
        </w:rPr>
        <w:t>nits) staff shall not exceed 50</w:t>
      </w:r>
      <w:r w:rsidRPr="00CE319F">
        <w:rPr>
          <w:rFonts w:ascii="Segoe UI" w:hAnsi="Segoe UI" w:cs="Segoe UI"/>
          <w:color w:val="014171"/>
        </w:rPr>
        <w:t xml:space="preserve">% of the total annual Fixed Remuneration. If somebody is not employed with the </w:t>
      </w:r>
      <w:r w:rsidR="003F0655">
        <w:rPr>
          <w:rFonts w:ascii="Segoe UI" w:hAnsi="Segoe UI" w:cs="Segoe UI"/>
          <w:color w:val="014171"/>
        </w:rPr>
        <w:t>Firm</w:t>
      </w:r>
      <w:r w:rsidR="003F0655" w:rsidRPr="00CE319F">
        <w:rPr>
          <w:rFonts w:ascii="Segoe UI" w:hAnsi="Segoe UI" w:cs="Segoe UI"/>
          <w:color w:val="014171"/>
        </w:rPr>
        <w:t xml:space="preserve"> </w:t>
      </w:r>
      <w:r w:rsidRPr="00CE319F">
        <w:rPr>
          <w:rFonts w:ascii="Segoe UI" w:hAnsi="Segoe UI" w:cs="Segoe UI"/>
          <w:color w:val="014171"/>
        </w:rPr>
        <w:t>for a whole fiscal year, the Variable Remuneration shall be paid on a pro-rated basis.</w:t>
      </w:r>
    </w:p>
    <w:p w14:paraId="5D697090" w14:textId="42315E81" w:rsidR="00E270A3" w:rsidRPr="006420E8" w:rsidRDefault="00E270A3" w:rsidP="00CE319F">
      <w:pPr>
        <w:spacing w:after="0"/>
        <w:jc w:val="both"/>
        <w:rPr>
          <w:rFonts w:ascii="Segoe UI" w:hAnsi="Segoe UI" w:cs="Segoe UI"/>
          <w:color w:val="014171"/>
        </w:rPr>
      </w:pPr>
    </w:p>
    <w:p w14:paraId="4A47A119" w14:textId="3F830447" w:rsidR="00C81EA2" w:rsidRDefault="007D5E1D" w:rsidP="00CE319F">
      <w:pPr>
        <w:spacing w:after="0"/>
        <w:jc w:val="both"/>
        <w:rPr>
          <w:rFonts w:ascii="Segoe UI" w:hAnsi="Segoe UI" w:cs="Segoe UI"/>
          <w:color w:val="014171"/>
        </w:rPr>
      </w:pPr>
      <w:r w:rsidRPr="006420E8">
        <w:rPr>
          <w:rFonts w:ascii="Segoe UI" w:hAnsi="Segoe UI" w:cs="Segoe UI"/>
          <w:color w:val="014171"/>
        </w:rPr>
        <w:t>Under the current regime there is no deferred variable remuneration in place</w:t>
      </w:r>
      <w:r w:rsidR="004C6AC5" w:rsidRPr="006420E8">
        <w:rPr>
          <w:rFonts w:ascii="Segoe UI" w:hAnsi="Segoe UI" w:cs="Segoe UI"/>
          <w:color w:val="014171"/>
        </w:rPr>
        <w:t xml:space="preserve"> for DCMD due to its size</w:t>
      </w:r>
      <w:r w:rsidRPr="006420E8">
        <w:rPr>
          <w:rFonts w:ascii="Segoe UI" w:hAnsi="Segoe UI" w:cs="Segoe UI"/>
          <w:color w:val="014171"/>
        </w:rPr>
        <w:t>.</w:t>
      </w:r>
      <w:r w:rsidR="004C6AC5" w:rsidRPr="006420E8">
        <w:rPr>
          <w:rFonts w:ascii="Segoe UI" w:hAnsi="Segoe UI" w:cs="Segoe UI"/>
          <w:color w:val="014171"/>
        </w:rPr>
        <w:t xml:space="preserve"> DCMD has not paid any guaranteed or on</w:t>
      </w:r>
      <w:r w:rsidR="00716A7E">
        <w:rPr>
          <w:rFonts w:ascii="Segoe UI" w:hAnsi="Segoe UI" w:cs="Segoe UI"/>
          <w:color w:val="014171"/>
        </w:rPr>
        <w:t>-</w:t>
      </w:r>
      <w:r w:rsidR="004C6AC5" w:rsidRPr="006420E8">
        <w:rPr>
          <w:rFonts w:ascii="Segoe UI" w:hAnsi="Segoe UI" w:cs="Segoe UI"/>
          <w:color w:val="014171"/>
        </w:rPr>
        <w:t>boarding bonus since inception.</w:t>
      </w:r>
      <w:r w:rsidR="006420E8">
        <w:rPr>
          <w:rFonts w:ascii="Segoe UI" w:hAnsi="Segoe UI" w:cs="Segoe UI"/>
          <w:color w:val="014171"/>
        </w:rPr>
        <w:t xml:space="preserve"> </w:t>
      </w:r>
      <w:r w:rsidR="00C81EA2" w:rsidRPr="006420E8">
        <w:rPr>
          <w:rFonts w:ascii="Segoe UI" w:hAnsi="Segoe UI" w:cs="Segoe UI"/>
          <w:color w:val="014171"/>
        </w:rPr>
        <w:t xml:space="preserve">Guaranteed bonuses and/or buying out deferred variable remuneration may be used in exceptional circumstances to attract individuals through buying out variable remuneration accrued but unpaid whilst at their previous employer. </w:t>
      </w:r>
    </w:p>
    <w:p w14:paraId="5D4B4960" w14:textId="77777777" w:rsidR="00C036B2" w:rsidRPr="006420E8" w:rsidRDefault="00C036B2" w:rsidP="00CE319F">
      <w:pPr>
        <w:spacing w:after="0"/>
        <w:jc w:val="both"/>
        <w:rPr>
          <w:rFonts w:ascii="Segoe UI" w:hAnsi="Segoe UI" w:cs="Segoe UI"/>
          <w:color w:val="014171"/>
        </w:rPr>
      </w:pPr>
    </w:p>
    <w:p w14:paraId="551B57DE" w14:textId="2DFDD498" w:rsidR="004C6AC5" w:rsidRPr="006420E8" w:rsidRDefault="004C6AC5" w:rsidP="00CE319F">
      <w:pPr>
        <w:spacing w:after="0"/>
        <w:jc w:val="both"/>
        <w:rPr>
          <w:rFonts w:ascii="Segoe UI" w:hAnsi="Segoe UI" w:cs="Segoe UI"/>
          <w:color w:val="014171"/>
        </w:rPr>
      </w:pPr>
      <w:r w:rsidRPr="006420E8">
        <w:rPr>
          <w:rFonts w:ascii="Segoe UI" w:hAnsi="Segoe UI" w:cs="Segoe UI"/>
          <w:color w:val="014171"/>
        </w:rPr>
        <w:t>The remuneration policy in DCMD is reviewed by the Head of Compliance.</w:t>
      </w:r>
    </w:p>
    <w:p w14:paraId="4A2CE9A9" w14:textId="156F904B" w:rsidR="002A71BE" w:rsidRPr="006420E8" w:rsidRDefault="002A71BE" w:rsidP="00CE319F">
      <w:pPr>
        <w:spacing w:after="0"/>
        <w:jc w:val="both"/>
        <w:rPr>
          <w:rFonts w:ascii="Segoe UI" w:hAnsi="Segoe UI" w:cs="Segoe UI"/>
          <w:color w:val="014171"/>
        </w:rPr>
      </w:pPr>
    </w:p>
    <w:p w14:paraId="27F99B0E" w14:textId="38C2D0DF" w:rsidR="00C81EA2" w:rsidRPr="00CE319F" w:rsidRDefault="004C6AC5" w:rsidP="00CE319F">
      <w:pPr>
        <w:spacing w:after="0"/>
        <w:jc w:val="both"/>
        <w:rPr>
          <w:rFonts w:ascii="Segoe UI" w:hAnsi="Segoe UI" w:cs="Segoe UI"/>
          <w:color w:val="014171"/>
        </w:rPr>
      </w:pPr>
      <w:r w:rsidRPr="006420E8">
        <w:rPr>
          <w:rFonts w:ascii="Segoe UI" w:hAnsi="Segoe UI" w:cs="Segoe UI"/>
          <w:color w:val="014171"/>
        </w:rPr>
        <w:t>Management</w:t>
      </w:r>
      <w:r w:rsidR="00C81EA2" w:rsidRPr="006420E8">
        <w:rPr>
          <w:rFonts w:ascii="Segoe UI" w:hAnsi="Segoe UI" w:cs="Segoe UI"/>
          <w:color w:val="014171"/>
        </w:rPr>
        <w:t xml:space="preserve"> is responsible for reviewing remuneration proposals (fixed and variable)</w:t>
      </w:r>
      <w:r w:rsidRPr="006420E8">
        <w:rPr>
          <w:rFonts w:ascii="Segoe UI" w:hAnsi="Segoe UI" w:cs="Segoe UI"/>
          <w:color w:val="014171"/>
        </w:rPr>
        <w:t xml:space="preserve">. DCMD is using the Head Office </w:t>
      </w:r>
      <w:r w:rsidR="007D5E1D" w:rsidRPr="006420E8">
        <w:rPr>
          <w:rFonts w:ascii="Segoe UI" w:hAnsi="Segoe UI" w:cs="Segoe UI"/>
          <w:color w:val="014171"/>
        </w:rPr>
        <w:t xml:space="preserve">Remuneration </w:t>
      </w:r>
      <w:r w:rsidR="00C81EA2" w:rsidRPr="006420E8">
        <w:rPr>
          <w:rFonts w:ascii="Segoe UI" w:hAnsi="Segoe UI" w:cs="Segoe UI"/>
          <w:color w:val="014171"/>
        </w:rPr>
        <w:t>Committee to ensure consistency with internal and external guidelines</w:t>
      </w:r>
      <w:r w:rsidRPr="006420E8">
        <w:rPr>
          <w:rFonts w:ascii="Segoe UI" w:hAnsi="Segoe UI" w:cs="Segoe UI"/>
          <w:color w:val="014171"/>
        </w:rPr>
        <w:t xml:space="preserve"> as well as within the Daiwa Group</w:t>
      </w:r>
      <w:r w:rsidR="00C81EA2" w:rsidRPr="006420E8">
        <w:rPr>
          <w:rFonts w:ascii="Segoe UI" w:hAnsi="Segoe UI" w:cs="Segoe UI"/>
          <w:color w:val="014171"/>
        </w:rPr>
        <w:t xml:space="preserve">. </w:t>
      </w:r>
    </w:p>
    <w:p w14:paraId="50FEF9E2" w14:textId="041106DC" w:rsidR="00C81EA2" w:rsidRPr="00CE319F" w:rsidRDefault="00C81EA2" w:rsidP="00CE319F">
      <w:pPr>
        <w:spacing w:after="0"/>
        <w:jc w:val="both"/>
        <w:rPr>
          <w:rFonts w:ascii="Segoe UI" w:hAnsi="Segoe UI" w:cs="Segoe UI"/>
          <w:color w:val="014171"/>
        </w:rPr>
      </w:pPr>
    </w:p>
    <w:p w14:paraId="0A118BEE" w14:textId="16D3E7FC" w:rsidR="00C81EA2" w:rsidRPr="006420E8" w:rsidRDefault="00C81EA2" w:rsidP="006420E8">
      <w:pPr>
        <w:pStyle w:val="Heading2"/>
      </w:pPr>
      <w:bookmarkStart w:id="116" w:name="_Toc102121173"/>
      <w:bookmarkStart w:id="117" w:name="_Toc122626077"/>
      <w:r w:rsidRPr="006420E8">
        <w:lastRenderedPageBreak/>
        <w:t>Link between Pay and Performance</w:t>
      </w:r>
      <w:bookmarkEnd w:id="116"/>
      <w:bookmarkEnd w:id="117"/>
    </w:p>
    <w:p w14:paraId="5E31DCA3" w14:textId="4D9D81A1" w:rsidR="00C81EA2" w:rsidRPr="006420E8" w:rsidRDefault="002A71BE" w:rsidP="006420E8">
      <w:pPr>
        <w:spacing w:after="0"/>
        <w:jc w:val="both"/>
        <w:rPr>
          <w:rFonts w:ascii="Segoe UI" w:hAnsi="Segoe UI" w:cs="Segoe UI"/>
          <w:color w:val="014171"/>
        </w:rPr>
      </w:pPr>
      <w:r w:rsidRPr="006420E8">
        <w:rPr>
          <w:rFonts w:ascii="Segoe UI" w:hAnsi="Segoe UI" w:cs="Segoe UI"/>
          <w:color w:val="014171"/>
        </w:rPr>
        <w:t>In calculatin</w:t>
      </w:r>
      <w:r w:rsidR="000B1971" w:rsidRPr="006420E8">
        <w:rPr>
          <w:rFonts w:ascii="Segoe UI" w:hAnsi="Segoe UI" w:cs="Segoe UI"/>
          <w:color w:val="014171"/>
        </w:rPr>
        <w:t>g the bonus pools, DCMD</w:t>
      </w:r>
      <w:r w:rsidRPr="006420E8">
        <w:rPr>
          <w:rFonts w:ascii="Segoe UI" w:hAnsi="Segoe UI" w:cs="Segoe UI"/>
          <w:color w:val="014171"/>
        </w:rPr>
        <w:t xml:space="preserve"> considers the Firm’s performance in line with the Overall Business Strategy as well as the performance of each individual business unit. </w:t>
      </w:r>
    </w:p>
    <w:p w14:paraId="39EA3561" w14:textId="77777777" w:rsidR="00C81EA2" w:rsidRPr="006420E8" w:rsidRDefault="00C81EA2" w:rsidP="006420E8">
      <w:pPr>
        <w:spacing w:after="0"/>
        <w:jc w:val="both"/>
        <w:rPr>
          <w:rFonts w:ascii="Segoe UI" w:hAnsi="Segoe UI" w:cs="Segoe UI"/>
          <w:color w:val="014171"/>
        </w:rPr>
      </w:pPr>
    </w:p>
    <w:p w14:paraId="08988CC4" w14:textId="3C99B8A1" w:rsidR="00FA3EAE" w:rsidRPr="006420E8" w:rsidRDefault="00F60CCA" w:rsidP="006420E8">
      <w:pPr>
        <w:spacing w:after="0"/>
        <w:jc w:val="both"/>
        <w:rPr>
          <w:rFonts w:ascii="Segoe UI" w:hAnsi="Segoe UI" w:cs="Segoe UI"/>
          <w:color w:val="014171"/>
        </w:rPr>
      </w:pPr>
      <w:r w:rsidRPr="006420E8">
        <w:rPr>
          <w:rFonts w:ascii="Segoe UI" w:hAnsi="Segoe UI" w:cs="Segoe UI"/>
          <w:color w:val="014171"/>
        </w:rPr>
        <w:t>The bonus pools for Front Office business units are calculated primarily based on their financial performances, and the Control Function pools are calculated separately, to ensure that their compensation is independent of the business units they control. Individual staff performance is measured against financial and non-financial factors, and supported by the Annual Performance Assessment Process. The range of criteria with which bonuses are determined varies between individua</w:t>
      </w:r>
      <w:r w:rsidR="00503D55" w:rsidRPr="006420E8">
        <w:rPr>
          <w:rFonts w:ascii="Segoe UI" w:hAnsi="Segoe UI" w:cs="Segoe UI"/>
          <w:color w:val="014171"/>
        </w:rPr>
        <w:t>l business units.</w:t>
      </w:r>
    </w:p>
    <w:p w14:paraId="4AAB0421" w14:textId="3CD42732" w:rsidR="00EA3933" w:rsidRPr="006420E8" w:rsidRDefault="00EA3933" w:rsidP="006420E8">
      <w:pPr>
        <w:spacing w:after="0"/>
        <w:jc w:val="both"/>
        <w:rPr>
          <w:rFonts w:ascii="Segoe UI" w:hAnsi="Segoe UI" w:cs="Segoe UI"/>
          <w:color w:val="014171"/>
        </w:rPr>
      </w:pPr>
    </w:p>
    <w:p w14:paraId="6AE61034" w14:textId="2047FE86" w:rsidR="00C81EA2" w:rsidRPr="006420E8" w:rsidRDefault="00716A7E" w:rsidP="006420E8">
      <w:pPr>
        <w:pStyle w:val="Heading2"/>
      </w:pPr>
      <w:bookmarkStart w:id="118" w:name="_Toc102121175"/>
      <w:bookmarkStart w:id="119" w:name="_Toc122626078"/>
      <w:r>
        <w:t xml:space="preserve">Aggregate </w:t>
      </w:r>
      <w:r w:rsidR="00C81EA2" w:rsidRPr="006420E8">
        <w:t xml:space="preserve">Remuneration </w:t>
      </w:r>
      <w:bookmarkEnd w:id="104"/>
      <w:bookmarkEnd w:id="105"/>
      <w:bookmarkEnd w:id="106"/>
      <w:bookmarkEnd w:id="107"/>
      <w:bookmarkEnd w:id="118"/>
      <w:r>
        <w:t>Data</w:t>
      </w:r>
      <w:bookmarkEnd w:id="119"/>
    </w:p>
    <w:p w14:paraId="4382EFE8" w14:textId="5050DF04" w:rsidR="00716A7E" w:rsidRPr="00A02BEA" w:rsidRDefault="00716A7E" w:rsidP="00A02BEA">
      <w:pPr>
        <w:spacing w:after="0"/>
        <w:jc w:val="both"/>
        <w:rPr>
          <w:rFonts w:ascii="Segoe UI" w:hAnsi="Segoe UI" w:cs="Segoe UI"/>
          <w:color w:val="014171"/>
        </w:rPr>
      </w:pPr>
      <w:bookmarkStart w:id="120" w:name="_Toc99436151"/>
      <w:r w:rsidRPr="00716A7E">
        <w:rPr>
          <w:rFonts w:ascii="Segoe UI" w:hAnsi="Segoe UI" w:cs="Segoe UI"/>
          <w:color w:val="014171"/>
        </w:rPr>
        <w:t>In addition to the above overview of DCMD’s remuneration policy according to article 51 (a-b) IFR, the Firm publishes the following aggregate remuneration data, in line with article 51 (c) IFR.</w:t>
      </w:r>
    </w:p>
    <w:p w14:paraId="44B48682" w14:textId="77777777" w:rsidR="00716A7E" w:rsidRPr="00A02BEA" w:rsidRDefault="00716A7E" w:rsidP="00A02BEA">
      <w:pPr>
        <w:spacing w:after="0"/>
        <w:jc w:val="both"/>
        <w:rPr>
          <w:rFonts w:ascii="Segoe UI" w:hAnsi="Segoe UI" w:cs="Segoe UI"/>
          <w:color w:val="014171"/>
        </w:rPr>
      </w:pPr>
    </w:p>
    <w:p w14:paraId="16C7B3F1" w14:textId="7B3C94E7" w:rsidR="00034E96" w:rsidRPr="00A02BEA" w:rsidRDefault="00034E96" w:rsidP="00034E96">
      <w:pPr>
        <w:spacing w:after="0"/>
        <w:jc w:val="center"/>
        <w:rPr>
          <w:rFonts w:ascii="Segoe UI" w:hAnsi="Segoe UI" w:cs="Segoe UI"/>
          <w:b/>
          <w:color w:val="014171"/>
        </w:rPr>
      </w:pPr>
      <w:r w:rsidRPr="00A02BEA">
        <w:rPr>
          <w:rFonts w:ascii="Segoe UI" w:hAnsi="Segoe UI" w:cs="Segoe UI"/>
          <w:b/>
          <w:color w:val="014171"/>
        </w:rPr>
        <w:t xml:space="preserve">Table </w:t>
      </w:r>
      <w:r w:rsidR="001142DC">
        <w:rPr>
          <w:rFonts w:ascii="Segoe UI" w:hAnsi="Segoe UI" w:cs="Segoe UI"/>
          <w:b/>
          <w:color w:val="014171"/>
        </w:rPr>
        <w:t>5</w:t>
      </w:r>
      <w:r w:rsidRPr="00A02BEA">
        <w:rPr>
          <w:rFonts w:ascii="Segoe UI" w:hAnsi="Segoe UI" w:cs="Segoe UI"/>
          <w:b/>
          <w:color w:val="014171"/>
        </w:rPr>
        <w:t xml:space="preserve"> – </w:t>
      </w:r>
      <w:r w:rsidR="002E42C0" w:rsidRPr="00A02BEA">
        <w:rPr>
          <w:rFonts w:ascii="Segoe UI" w:hAnsi="Segoe UI" w:cs="Segoe UI"/>
          <w:b/>
          <w:color w:val="014171"/>
        </w:rPr>
        <w:t>Aggregate R</w:t>
      </w:r>
      <w:r w:rsidRPr="00A02BEA">
        <w:rPr>
          <w:rFonts w:ascii="Segoe UI" w:hAnsi="Segoe UI" w:cs="Segoe UI"/>
          <w:b/>
          <w:color w:val="014171"/>
        </w:rPr>
        <w:t xml:space="preserve">emuneration </w:t>
      </w:r>
      <w:r w:rsidR="00DA628A">
        <w:rPr>
          <w:rFonts w:ascii="Segoe UI" w:hAnsi="Segoe UI" w:cs="Segoe UI"/>
          <w:b/>
          <w:color w:val="014171"/>
        </w:rPr>
        <w:t>Data</w:t>
      </w:r>
      <w:r w:rsidR="00DA628A">
        <w:rPr>
          <w:rStyle w:val="FootnoteReference"/>
          <w:rFonts w:ascii="Segoe UI" w:hAnsi="Segoe UI" w:cs="Segoe UI"/>
          <w:b/>
          <w:color w:val="014171"/>
        </w:rPr>
        <w:footnoteReference w:id="1"/>
      </w:r>
    </w:p>
    <w:p w14:paraId="2641C7AF" w14:textId="1E5FD231" w:rsidR="00C81EA2" w:rsidRDefault="00034E96" w:rsidP="006420E8">
      <w:pPr>
        <w:spacing w:after="0" w:line="240" w:lineRule="auto"/>
        <w:jc w:val="center"/>
        <w:rPr>
          <w:rFonts w:ascii="Segoe UI" w:hAnsi="Segoe UI" w:cs="Segoe UI"/>
          <w:color w:val="014171"/>
        </w:rPr>
      </w:pPr>
      <w:r w:rsidRPr="00A02BEA">
        <w:rPr>
          <w:rFonts w:ascii="Segoe UI" w:hAnsi="Segoe UI" w:cs="Segoe UI"/>
          <w:color w:val="014171"/>
        </w:rPr>
        <w:t>Audited and approved Financial Statements as of 31 March 2022</w:t>
      </w:r>
    </w:p>
    <w:p w14:paraId="5D0F756B" w14:textId="0304AFA1" w:rsidR="00DA628A" w:rsidRDefault="00DA628A" w:rsidP="006420E8">
      <w:pPr>
        <w:spacing w:after="0" w:line="240" w:lineRule="auto"/>
        <w:jc w:val="center"/>
        <w:rPr>
          <w:rFonts w:ascii="Segoe UI" w:hAnsi="Segoe UI" w:cs="Segoe UI"/>
          <w:color w:val="014171"/>
        </w:rPr>
      </w:pPr>
    </w:p>
    <w:tbl>
      <w:tblPr>
        <w:tblW w:w="7513" w:type="dxa"/>
        <w:jc w:val="center"/>
        <w:tblLayout w:type="fixed"/>
        <w:tblLook w:val="0000" w:firstRow="0" w:lastRow="0" w:firstColumn="0" w:lastColumn="0" w:noHBand="0" w:noVBand="0"/>
      </w:tblPr>
      <w:tblGrid>
        <w:gridCol w:w="567"/>
        <w:gridCol w:w="5103"/>
        <w:gridCol w:w="1843"/>
      </w:tblGrid>
      <w:tr w:rsidR="00DA628A" w:rsidRPr="00DA628A" w14:paraId="60B2AED8" w14:textId="77777777" w:rsidTr="00A02BEA">
        <w:trPr>
          <w:trHeight w:val="148"/>
          <w:jc w:val="center"/>
        </w:trPr>
        <w:tc>
          <w:tcPr>
            <w:tcW w:w="567" w:type="dxa"/>
            <w:tcBorders>
              <w:top w:val="single" w:sz="4" w:space="0" w:color="014171"/>
              <w:bottom w:val="single" w:sz="4" w:space="0" w:color="014171"/>
            </w:tcBorders>
            <w:shd w:val="clear" w:color="auto" w:fill="002060"/>
          </w:tcPr>
          <w:p w14:paraId="641A6D55" w14:textId="77777777" w:rsidR="00DA628A" w:rsidRPr="0074724B" w:rsidRDefault="00DA628A" w:rsidP="00AC51F9">
            <w:pPr>
              <w:autoSpaceDE w:val="0"/>
              <w:autoSpaceDN w:val="0"/>
              <w:adjustRightInd w:val="0"/>
              <w:spacing w:after="0"/>
              <w:jc w:val="both"/>
              <w:rPr>
                <w:rFonts w:ascii="Segoe UI" w:hAnsi="Segoe UI" w:cs="Segoe UI"/>
                <w:b/>
                <w:bCs/>
                <w:color w:val="FFFFFF" w:themeColor="background1"/>
                <w:sz w:val="18"/>
                <w:szCs w:val="18"/>
                <w:lang w:eastAsia="en-GB"/>
              </w:rPr>
            </w:pPr>
          </w:p>
        </w:tc>
        <w:tc>
          <w:tcPr>
            <w:tcW w:w="5103" w:type="dxa"/>
            <w:tcBorders>
              <w:top w:val="single" w:sz="4" w:space="0" w:color="014171"/>
              <w:bottom w:val="single" w:sz="4" w:space="0" w:color="014171"/>
            </w:tcBorders>
            <w:shd w:val="clear" w:color="auto" w:fill="002060"/>
            <w:vAlign w:val="center"/>
          </w:tcPr>
          <w:p w14:paraId="64E15302" w14:textId="77777777" w:rsidR="00DA628A" w:rsidRPr="00DA628A" w:rsidRDefault="00DA628A" w:rsidP="00AC51F9">
            <w:pPr>
              <w:autoSpaceDE w:val="0"/>
              <w:autoSpaceDN w:val="0"/>
              <w:adjustRightInd w:val="0"/>
              <w:spacing w:after="0"/>
              <w:jc w:val="both"/>
              <w:rPr>
                <w:rFonts w:ascii="Segoe UI" w:hAnsi="Segoe UI" w:cs="Segoe UI"/>
                <w:b/>
                <w:bCs/>
                <w:color w:val="FFFFFF" w:themeColor="background1"/>
                <w:sz w:val="18"/>
                <w:szCs w:val="18"/>
                <w:lang w:eastAsia="en-GB"/>
              </w:rPr>
            </w:pPr>
            <w:r w:rsidRPr="0074724B">
              <w:rPr>
                <w:rFonts w:ascii="Segoe UI" w:hAnsi="Segoe UI" w:cs="Segoe UI"/>
                <w:b/>
                <w:bCs/>
                <w:color w:val="FFFFFF" w:themeColor="background1"/>
                <w:sz w:val="18"/>
                <w:szCs w:val="18"/>
                <w:lang w:eastAsia="en-GB"/>
              </w:rPr>
              <w:t>Item</w:t>
            </w:r>
          </w:p>
        </w:tc>
        <w:tc>
          <w:tcPr>
            <w:tcW w:w="1843" w:type="dxa"/>
            <w:tcBorders>
              <w:top w:val="single" w:sz="4" w:space="0" w:color="014171"/>
              <w:bottom w:val="single" w:sz="4" w:space="0" w:color="014171"/>
            </w:tcBorders>
            <w:shd w:val="clear" w:color="auto" w:fill="002060"/>
            <w:vAlign w:val="center"/>
          </w:tcPr>
          <w:p w14:paraId="333A5A9B" w14:textId="23A31929" w:rsidR="00DA628A" w:rsidRPr="0074724B" w:rsidRDefault="00604DDF" w:rsidP="00AC51F9">
            <w:pPr>
              <w:autoSpaceDE w:val="0"/>
              <w:autoSpaceDN w:val="0"/>
              <w:adjustRightInd w:val="0"/>
              <w:spacing w:after="0"/>
              <w:jc w:val="both"/>
              <w:rPr>
                <w:rFonts w:ascii="Segoe UI" w:hAnsi="Segoe UI" w:cs="Segoe UI"/>
                <w:b/>
                <w:bCs/>
                <w:color w:val="FFFFFF" w:themeColor="background1"/>
                <w:sz w:val="18"/>
                <w:szCs w:val="18"/>
                <w:lang w:eastAsia="en-GB"/>
              </w:rPr>
            </w:pPr>
            <w:r>
              <w:rPr>
                <w:rFonts w:ascii="Segoe UI" w:hAnsi="Segoe UI" w:cs="Segoe UI"/>
                <w:b/>
                <w:bCs/>
                <w:color w:val="FFFFFF" w:themeColor="background1"/>
                <w:sz w:val="18"/>
                <w:szCs w:val="18"/>
                <w:lang w:eastAsia="en-GB"/>
              </w:rPr>
              <w:t>Amount in k EUR</w:t>
            </w:r>
          </w:p>
        </w:tc>
      </w:tr>
      <w:tr w:rsidR="00DA628A" w:rsidRPr="00604DDF" w14:paraId="5A5BB9F6" w14:textId="77777777" w:rsidTr="00A02BEA">
        <w:trPr>
          <w:trHeight w:val="142"/>
          <w:jc w:val="center"/>
        </w:trPr>
        <w:tc>
          <w:tcPr>
            <w:tcW w:w="567" w:type="dxa"/>
            <w:tcBorders>
              <w:top w:val="single" w:sz="12" w:space="0" w:color="014171"/>
              <w:bottom w:val="single" w:sz="4" w:space="0" w:color="014171"/>
            </w:tcBorders>
          </w:tcPr>
          <w:p w14:paraId="41EA79B2" w14:textId="77777777"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lang w:eastAsia="en-GB"/>
              </w:rPr>
              <w:t>1</w:t>
            </w:r>
          </w:p>
        </w:tc>
        <w:tc>
          <w:tcPr>
            <w:tcW w:w="5103" w:type="dxa"/>
            <w:tcBorders>
              <w:top w:val="single" w:sz="12" w:space="0" w:color="014171"/>
              <w:bottom w:val="single" w:sz="4" w:space="0" w:color="014171"/>
            </w:tcBorders>
          </w:tcPr>
          <w:p w14:paraId="5B4B8AB6" w14:textId="64302A5C"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rPr>
              <w:t>Remuneration awarded in the financial year</w:t>
            </w:r>
          </w:p>
        </w:tc>
        <w:tc>
          <w:tcPr>
            <w:tcW w:w="1843" w:type="dxa"/>
            <w:tcBorders>
              <w:top w:val="single" w:sz="12" w:space="0" w:color="014171"/>
              <w:bottom w:val="single" w:sz="4" w:space="0" w:color="014171"/>
            </w:tcBorders>
          </w:tcPr>
          <w:p w14:paraId="7C155B47" w14:textId="1E2D37AF" w:rsidR="00DA628A" w:rsidRPr="00A02BEA" w:rsidRDefault="00CA2062" w:rsidP="005610B1">
            <w:pPr>
              <w:autoSpaceDE w:val="0"/>
              <w:autoSpaceDN w:val="0"/>
              <w:adjustRightInd w:val="0"/>
              <w:spacing w:after="0"/>
              <w:jc w:val="right"/>
              <w:rPr>
                <w:rFonts w:ascii="Segoe UI" w:hAnsi="Segoe UI" w:cs="Segoe UI"/>
                <w:b/>
                <w:color w:val="014171"/>
                <w:sz w:val="18"/>
                <w:szCs w:val="18"/>
                <w:lang w:val="de-DE" w:eastAsia="en-GB"/>
              </w:rPr>
            </w:pPr>
            <w:r>
              <w:rPr>
                <w:rFonts w:ascii="Segoe UI" w:hAnsi="Segoe UI" w:cs="Segoe UI"/>
                <w:b/>
                <w:color w:val="014171"/>
                <w:sz w:val="18"/>
                <w:szCs w:val="18"/>
                <w:lang w:val="de-DE" w:eastAsia="en-GB"/>
              </w:rPr>
              <w:t>2,</w:t>
            </w:r>
            <w:r w:rsidR="005610B1">
              <w:rPr>
                <w:rFonts w:ascii="Segoe UI" w:hAnsi="Segoe UI" w:cs="Segoe UI"/>
                <w:b/>
                <w:color w:val="014171"/>
                <w:sz w:val="18"/>
                <w:szCs w:val="18"/>
                <w:lang w:val="de-DE" w:eastAsia="en-GB"/>
              </w:rPr>
              <w:t>6</w:t>
            </w:r>
            <w:r>
              <w:rPr>
                <w:rFonts w:ascii="Segoe UI" w:hAnsi="Segoe UI" w:cs="Segoe UI"/>
                <w:b/>
                <w:color w:val="014171"/>
                <w:sz w:val="18"/>
                <w:szCs w:val="18"/>
                <w:lang w:val="de-DE" w:eastAsia="en-GB"/>
              </w:rPr>
              <w:t>7</w:t>
            </w:r>
            <w:r w:rsidR="005610B1">
              <w:rPr>
                <w:rFonts w:ascii="Segoe UI" w:hAnsi="Segoe UI" w:cs="Segoe UI"/>
                <w:b/>
                <w:color w:val="014171"/>
                <w:sz w:val="18"/>
                <w:szCs w:val="18"/>
                <w:lang w:val="de-DE" w:eastAsia="en-GB"/>
              </w:rPr>
              <w:t>2</w:t>
            </w:r>
          </w:p>
        </w:tc>
      </w:tr>
      <w:tr w:rsidR="00DA628A" w:rsidRPr="00DA628A" w14:paraId="7A044732" w14:textId="77777777" w:rsidTr="00A02BEA">
        <w:trPr>
          <w:trHeight w:val="142"/>
          <w:jc w:val="center"/>
        </w:trPr>
        <w:tc>
          <w:tcPr>
            <w:tcW w:w="567" w:type="dxa"/>
            <w:tcBorders>
              <w:top w:val="single" w:sz="4" w:space="0" w:color="014171"/>
              <w:bottom w:val="single" w:sz="4" w:space="0" w:color="014171"/>
            </w:tcBorders>
          </w:tcPr>
          <w:p w14:paraId="0BFA0649" w14:textId="77777777" w:rsidR="00DA628A" w:rsidRPr="0074724B" w:rsidRDefault="00DA628A" w:rsidP="00DA628A">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2</w:t>
            </w:r>
          </w:p>
        </w:tc>
        <w:tc>
          <w:tcPr>
            <w:tcW w:w="5103" w:type="dxa"/>
            <w:tcBorders>
              <w:top w:val="single" w:sz="4" w:space="0" w:color="014171"/>
              <w:bottom w:val="single" w:sz="4" w:space="0" w:color="014171"/>
            </w:tcBorders>
          </w:tcPr>
          <w:p w14:paraId="11CFD1EC" w14:textId="7994CCCE"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fixed (cash and remuneration in kind)</w:t>
            </w:r>
          </w:p>
        </w:tc>
        <w:tc>
          <w:tcPr>
            <w:tcW w:w="1843" w:type="dxa"/>
            <w:tcBorders>
              <w:top w:val="single" w:sz="4" w:space="0" w:color="014171"/>
              <w:bottom w:val="single" w:sz="4" w:space="0" w:color="014171"/>
            </w:tcBorders>
          </w:tcPr>
          <w:p w14:paraId="6CB5156F" w14:textId="530DBC3F" w:rsidR="00DA628A" w:rsidRPr="0074724B" w:rsidRDefault="00CA2062" w:rsidP="00A02BEA">
            <w:pPr>
              <w:autoSpaceDE w:val="0"/>
              <w:autoSpaceDN w:val="0"/>
              <w:adjustRightInd w:val="0"/>
              <w:spacing w:after="0"/>
              <w:jc w:val="right"/>
              <w:rPr>
                <w:rFonts w:ascii="Segoe UI" w:hAnsi="Segoe UI" w:cs="Segoe UI"/>
                <w:color w:val="014171"/>
                <w:sz w:val="18"/>
                <w:szCs w:val="18"/>
                <w:lang w:eastAsia="en-GB"/>
              </w:rPr>
            </w:pPr>
            <w:r>
              <w:rPr>
                <w:rFonts w:ascii="Segoe UI" w:hAnsi="Segoe UI" w:cs="Segoe UI"/>
                <w:color w:val="014171"/>
                <w:sz w:val="18"/>
                <w:szCs w:val="18"/>
                <w:lang w:val="de-DE" w:eastAsia="en-GB"/>
              </w:rPr>
              <w:t>1,884</w:t>
            </w:r>
          </w:p>
        </w:tc>
      </w:tr>
      <w:tr w:rsidR="00DA628A" w:rsidRPr="00DA628A" w14:paraId="046A63E3" w14:textId="77777777" w:rsidTr="00A02BEA">
        <w:trPr>
          <w:trHeight w:val="142"/>
          <w:jc w:val="center"/>
        </w:trPr>
        <w:tc>
          <w:tcPr>
            <w:tcW w:w="567" w:type="dxa"/>
            <w:tcBorders>
              <w:top w:val="single" w:sz="4" w:space="0" w:color="014171"/>
              <w:bottom w:val="single" w:sz="4" w:space="0" w:color="014171"/>
            </w:tcBorders>
          </w:tcPr>
          <w:p w14:paraId="112C3D62" w14:textId="77777777" w:rsidR="00DA628A" w:rsidRPr="00DA628A" w:rsidRDefault="00DA628A" w:rsidP="00DA628A">
            <w:pPr>
              <w:autoSpaceDE w:val="0"/>
              <w:autoSpaceDN w:val="0"/>
              <w:adjustRightInd w:val="0"/>
              <w:spacing w:after="0"/>
              <w:jc w:val="both"/>
              <w:rPr>
                <w:rFonts w:ascii="Segoe UI" w:hAnsi="Segoe UI" w:cs="Segoe UI"/>
                <w:color w:val="014171"/>
                <w:sz w:val="18"/>
                <w:szCs w:val="18"/>
                <w:lang w:eastAsia="en-GB"/>
              </w:rPr>
            </w:pPr>
            <w:r w:rsidRPr="00DA628A">
              <w:rPr>
                <w:rFonts w:ascii="Segoe UI" w:hAnsi="Segoe UI" w:cs="Segoe UI"/>
                <w:color w:val="014171"/>
                <w:sz w:val="18"/>
                <w:szCs w:val="18"/>
                <w:lang w:eastAsia="en-GB"/>
              </w:rPr>
              <w:t>3</w:t>
            </w:r>
          </w:p>
        </w:tc>
        <w:tc>
          <w:tcPr>
            <w:tcW w:w="5103" w:type="dxa"/>
            <w:tcBorders>
              <w:top w:val="single" w:sz="4" w:space="0" w:color="014171"/>
              <w:bottom w:val="single" w:sz="4" w:space="0" w:color="014171"/>
            </w:tcBorders>
          </w:tcPr>
          <w:p w14:paraId="693B8196" w14:textId="02EA108D"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variable</w:t>
            </w:r>
          </w:p>
        </w:tc>
        <w:tc>
          <w:tcPr>
            <w:tcW w:w="1843" w:type="dxa"/>
            <w:tcBorders>
              <w:top w:val="single" w:sz="4" w:space="0" w:color="014171"/>
              <w:bottom w:val="single" w:sz="4" w:space="0" w:color="014171"/>
            </w:tcBorders>
          </w:tcPr>
          <w:p w14:paraId="2AE73F0B" w14:textId="50FB8DBC" w:rsidR="00DA628A" w:rsidRPr="0074724B" w:rsidRDefault="00CA2062" w:rsidP="00A02BEA">
            <w:pPr>
              <w:autoSpaceDE w:val="0"/>
              <w:autoSpaceDN w:val="0"/>
              <w:adjustRightInd w:val="0"/>
              <w:spacing w:after="0"/>
              <w:jc w:val="right"/>
              <w:rPr>
                <w:rFonts w:ascii="Segoe UI" w:hAnsi="Segoe UI" w:cs="Segoe UI"/>
                <w:color w:val="014171"/>
                <w:sz w:val="18"/>
                <w:szCs w:val="18"/>
                <w:lang w:eastAsia="en-GB"/>
              </w:rPr>
            </w:pPr>
            <w:r>
              <w:rPr>
                <w:rFonts w:ascii="Segoe UI" w:hAnsi="Segoe UI" w:cs="Segoe UI"/>
                <w:color w:val="014171"/>
                <w:sz w:val="18"/>
                <w:szCs w:val="18"/>
                <w:lang w:val="de-DE" w:eastAsia="en-GB"/>
              </w:rPr>
              <w:t>788</w:t>
            </w:r>
          </w:p>
        </w:tc>
      </w:tr>
      <w:tr w:rsidR="00DA628A" w:rsidRPr="00DA628A" w14:paraId="3B7EEC0A" w14:textId="77777777" w:rsidTr="00A02BEA">
        <w:trPr>
          <w:trHeight w:val="142"/>
          <w:jc w:val="center"/>
        </w:trPr>
        <w:tc>
          <w:tcPr>
            <w:tcW w:w="567" w:type="dxa"/>
            <w:tcBorders>
              <w:top w:val="single" w:sz="4" w:space="0" w:color="014171"/>
              <w:bottom w:val="single" w:sz="4" w:space="0" w:color="014171"/>
            </w:tcBorders>
          </w:tcPr>
          <w:p w14:paraId="0086BB9C" w14:textId="77777777" w:rsidR="00DA628A" w:rsidRPr="00DA628A" w:rsidRDefault="00DA628A" w:rsidP="00DA628A">
            <w:pPr>
              <w:autoSpaceDE w:val="0"/>
              <w:autoSpaceDN w:val="0"/>
              <w:adjustRightInd w:val="0"/>
              <w:spacing w:after="0"/>
              <w:jc w:val="both"/>
              <w:rPr>
                <w:rFonts w:ascii="Segoe UI" w:hAnsi="Segoe UI" w:cs="Segoe UI"/>
                <w:color w:val="014171"/>
                <w:sz w:val="18"/>
                <w:szCs w:val="18"/>
                <w:lang w:eastAsia="en-GB"/>
              </w:rPr>
            </w:pPr>
            <w:r w:rsidRPr="00DA628A">
              <w:rPr>
                <w:rFonts w:ascii="Segoe UI" w:hAnsi="Segoe UI" w:cs="Segoe UI"/>
                <w:color w:val="014171"/>
                <w:sz w:val="18"/>
                <w:szCs w:val="18"/>
                <w:lang w:eastAsia="en-GB"/>
              </w:rPr>
              <w:t>4</w:t>
            </w:r>
          </w:p>
        </w:tc>
        <w:tc>
          <w:tcPr>
            <w:tcW w:w="5103" w:type="dxa"/>
            <w:tcBorders>
              <w:top w:val="single" w:sz="4" w:space="0" w:color="014171"/>
              <w:bottom w:val="single" w:sz="4" w:space="0" w:color="014171"/>
            </w:tcBorders>
          </w:tcPr>
          <w:p w14:paraId="4BD7EF5E" w14:textId="044C4F86"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Number of beneficiaries</w:t>
            </w:r>
          </w:p>
        </w:tc>
        <w:tc>
          <w:tcPr>
            <w:tcW w:w="1843" w:type="dxa"/>
            <w:tcBorders>
              <w:top w:val="single" w:sz="4" w:space="0" w:color="014171"/>
              <w:bottom w:val="single" w:sz="4" w:space="0" w:color="014171"/>
            </w:tcBorders>
          </w:tcPr>
          <w:p w14:paraId="3606BC9F" w14:textId="5D793EC3" w:rsidR="00DA628A" w:rsidRPr="0074724B" w:rsidRDefault="00CA2062" w:rsidP="00A02BEA">
            <w:pPr>
              <w:autoSpaceDE w:val="0"/>
              <w:autoSpaceDN w:val="0"/>
              <w:adjustRightInd w:val="0"/>
              <w:spacing w:after="0"/>
              <w:jc w:val="right"/>
              <w:rPr>
                <w:rFonts w:ascii="Segoe UI" w:hAnsi="Segoe UI" w:cs="Segoe UI"/>
                <w:color w:val="014171"/>
                <w:sz w:val="18"/>
                <w:szCs w:val="18"/>
                <w:lang w:eastAsia="en-GB"/>
              </w:rPr>
            </w:pPr>
            <w:r>
              <w:rPr>
                <w:rFonts w:ascii="Segoe UI" w:hAnsi="Segoe UI" w:cs="Segoe UI"/>
                <w:color w:val="014171"/>
                <w:sz w:val="18"/>
                <w:szCs w:val="18"/>
                <w:lang w:val="de-DE" w:eastAsia="en-GB"/>
              </w:rPr>
              <w:t>13</w:t>
            </w:r>
          </w:p>
        </w:tc>
      </w:tr>
      <w:tr w:rsidR="00DA628A" w:rsidRPr="00604DDF" w14:paraId="09F2C5A4" w14:textId="77777777" w:rsidTr="00A02BEA">
        <w:trPr>
          <w:trHeight w:val="142"/>
          <w:jc w:val="center"/>
        </w:trPr>
        <w:tc>
          <w:tcPr>
            <w:tcW w:w="567" w:type="dxa"/>
            <w:tcBorders>
              <w:top w:val="single" w:sz="4" w:space="0" w:color="014171"/>
              <w:bottom w:val="single" w:sz="4" w:space="0" w:color="014171"/>
            </w:tcBorders>
          </w:tcPr>
          <w:p w14:paraId="0F321207" w14:textId="77777777"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lang w:eastAsia="en-GB"/>
              </w:rPr>
              <w:t>5</w:t>
            </w:r>
          </w:p>
        </w:tc>
        <w:tc>
          <w:tcPr>
            <w:tcW w:w="5103" w:type="dxa"/>
            <w:tcBorders>
              <w:top w:val="single" w:sz="4" w:space="0" w:color="014171"/>
              <w:bottom w:val="single" w:sz="4" w:space="0" w:color="014171"/>
            </w:tcBorders>
          </w:tcPr>
          <w:p w14:paraId="0EEA5A95" w14:textId="7AAF01C9" w:rsidR="00DA628A" w:rsidRPr="00A02BEA" w:rsidRDefault="00DA628A" w:rsidP="00DA628A">
            <w:pPr>
              <w:autoSpaceDE w:val="0"/>
              <w:autoSpaceDN w:val="0"/>
              <w:adjustRightInd w:val="0"/>
              <w:spacing w:after="0"/>
              <w:jc w:val="both"/>
              <w:rPr>
                <w:rFonts w:ascii="Segoe UI" w:hAnsi="Segoe UI" w:cs="Segoe UI"/>
                <w:b/>
                <w:color w:val="014171"/>
                <w:sz w:val="18"/>
                <w:szCs w:val="18"/>
              </w:rPr>
            </w:pPr>
            <w:r w:rsidRPr="00A02BEA">
              <w:rPr>
                <w:rFonts w:ascii="Segoe UI" w:hAnsi="Segoe UI" w:cs="Segoe UI"/>
                <w:b/>
                <w:color w:val="014171"/>
                <w:sz w:val="18"/>
                <w:szCs w:val="18"/>
              </w:rPr>
              <w:t>Amount and forms of awarded variable remuneration</w:t>
            </w:r>
          </w:p>
        </w:tc>
        <w:tc>
          <w:tcPr>
            <w:tcW w:w="1843" w:type="dxa"/>
            <w:tcBorders>
              <w:top w:val="single" w:sz="4" w:space="0" w:color="014171"/>
              <w:bottom w:val="single" w:sz="4" w:space="0" w:color="014171"/>
            </w:tcBorders>
          </w:tcPr>
          <w:p w14:paraId="4FA1B6E8" w14:textId="02CD1D98" w:rsidR="00DA628A" w:rsidRPr="00A02BEA" w:rsidRDefault="00604DDF" w:rsidP="00A02BEA">
            <w:pPr>
              <w:autoSpaceDE w:val="0"/>
              <w:autoSpaceDN w:val="0"/>
              <w:adjustRightInd w:val="0"/>
              <w:spacing w:after="0"/>
              <w:jc w:val="right"/>
              <w:rPr>
                <w:rFonts w:ascii="Segoe UI" w:hAnsi="Segoe UI" w:cs="Segoe UI"/>
                <w:b/>
                <w:color w:val="014171"/>
                <w:sz w:val="18"/>
                <w:szCs w:val="18"/>
                <w:lang w:eastAsia="en-GB"/>
              </w:rPr>
            </w:pPr>
            <w:r w:rsidRPr="00A02BEA">
              <w:rPr>
                <w:rFonts w:ascii="Segoe UI" w:hAnsi="Segoe UI" w:cs="Segoe UI"/>
                <w:b/>
                <w:color w:val="014171"/>
                <w:sz w:val="18"/>
                <w:szCs w:val="18"/>
                <w:lang w:val="de-DE" w:eastAsia="en-GB"/>
              </w:rPr>
              <w:t>--</w:t>
            </w:r>
          </w:p>
        </w:tc>
      </w:tr>
      <w:tr w:rsidR="00DA628A" w:rsidRPr="00DA628A" w14:paraId="2E5B34DF" w14:textId="77777777" w:rsidTr="00A02BEA">
        <w:trPr>
          <w:trHeight w:val="142"/>
          <w:jc w:val="center"/>
        </w:trPr>
        <w:tc>
          <w:tcPr>
            <w:tcW w:w="567" w:type="dxa"/>
            <w:tcBorders>
              <w:top w:val="single" w:sz="4" w:space="0" w:color="014171"/>
              <w:bottom w:val="single" w:sz="4" w:space="0" w:color="014171"/>
            </w:tcBorders>
          </w:tcPr>
          <w:p w14:paraId="4194D282" w14:textId="77777777" w:rsidR="00DA628A" w:rsidRPr="0074724B" w:rsidRDefault="00DA628A" w:rsidP="00DA628A">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6</w:t>
            </w:r>
          </w:p>
        </w:tc>
        <w:tc>
          <w:tcPr>
            <w:tcW w:w="5103" w:type="dxa"/>
            <w:tcBorders>
              <w:top w:val="single" w:sz="4" w:space="0" w:color="014171"/>
              <w:bottom w:val="single" w:sz="4" w:space="0" w:color="014171"/>
            </w:tcBorders>
          </w:tcPr>
          <w:p w14:paraId="055CAC55" w14:textId="5E47D2A0"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paid upfront</w:t>
            </w:r>
          </w:p>
        </w:tc>
        <w:tc>
          <w:tcPr>
            <w:tcW w:w="1843" w:type="dxa"/>
            <w:tcBorders>
              <w:top w:val="single" w:sz="4" w:space="0" w:color="014171"/>
              <w:bottom w:val="single" w:sz="4" w:space="0" w:color="014171"/>
            </w:tcBorders>
          </w:tcPr>
          <w:p w14:paraId="4F4BE9F5" w14:textId="763F50A0" w:rsidR="00DA628A" w:rsidRPr="0074724B" w:rsidRDefault="00604DDF" w:rsidP="00A02BEA">
            <w:pPr>
              <w:autoSpaceDE w:val="0"/>
              <w:autoSpaceDN w:val="0"/>
              <w:adjustRightInd w:val="0"/>
              <w:spacing w:after="0"/>
              <w:jc w:val="right"/>
              <w:rPr>
                <w:rFonts w:ascii="Segoe UI" w:hAnsi="Segoe UI" w:cs="Segoe UI"/>
                <w:color w:val="014171"/>
                <w:sz w:val="18"/>
                <w:szCs w:val="18"/>
                <w:lang w:eastAsia="en-GB"/>
              </w:rPr>
            </w:pPr>
            <w:r>
              <w:rPr>
                <w:rFonts w:ascii="Segoe UI" w:hAnsi="Segoe UI" w:cs="Segoe UI"/>
                <w:color w:val="014171"/>
                <w:sz w:val="18"/>
                <w:szCs w:val="18"/>
                <w:lang w:val="de-DE" w:eastAsia="en-GB"/>
              </w:rPr>
              <w:t>--</w:t>
            </w:r>
          </w:p>
        </w:tc>
      </w:tr>
      <w:tr w:rsidR="00DA628A" w:rsidRPr="00604DDF" w14:paraId="3C4A3C3F" w14:textId="77777777" w:rsidTr="00A02BEA">
        <w:trPr>
          <w:trHeight w:val="142"/>
          <w:jc w:val="center"/>
        </w:trPr>
        <w:tc>
          <w:tcPr>
            <w:tcW w:w="567" w:type="dxa"/>
            <w:tcBorders>
              <w:top w:val="single" w:sz="4" w:space="0" w:color="014171"/>
              <w:bottom w:val="single" w:sz="4" w:space="0" w:color="014171"/>
            </w:tcBorders>
          </w:tcPr>
          <w:p w14:paraId="7C0812D2"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7</w:t>
            </w:r>
          </w:p>
        </w:tc>
        <w:tc>
          <w:tcPr>
            <w:tcW w:w="5103" w:type="dxa"/>
            <w:tcBorders>
              <w:top w:val="single" w:sz="4" w:space="0" w:color="014171"/>
              <w:bottom w:val="single" w:sz="4" w:space="0" w:color="014171"/>
            </w:tcBorders>
          </w:tcPr>
          <w:p w14:paraId="5CC6EAE3" w14:textId="2B018B01"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Cash</w:t>
            </w:r>
          </w:p>
        </w:tc>
        <w:tc>
          <w:tcPr>
            <w:tcW w:w="1843" w:type="dxa"/>
            <w:tcBorders>
              <w:top w:val="single" w:sz="4" w:space="0" w:color="014171"/>
              <w:bottom w:val="single" w:sz="4" w:space="0" w:color="014171"/>
            </w:tcBorders>
          </w:tcPr>
          <w:p w14:paraId="562DF62F" w14:textId="3AA48B34"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604DDF" w14:paraId="2E3635E6" w14:textId="77777777" w:rsidTr="00A02BEA">
        <w:trPr>
          <w:trHeight w:val="142"/>
          <w:jc w:val="center"/>
        </w:trPr>
        <w:tc>
          <w:tcPr>
            <w:tcW w:w="567" w:type="dxa"/>
            <w:tcBorders>
              <w:top w:val="single" w:sz="4" w:space="0" w:color="014171"/>
              <w:bottom w:val="single" w:sz="4" w:space="0" w:color="014171"/>
            </w:tcBorders>
          </w:tcPr>
          <w:p w14:paraId="06F60832"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8</w:t>
            </w:r>
          </w:p>
        </w:tc>
        <w:tc>
          <w:tcPr>
            <w:tcW w:w="5103" w:type="dxa"/>
            <w:tcBorders>
              <w:top w:val="single" w:sz="4" w:space="0" w:color="014171"/>
              <w:bottom w:val="single" w:sz="4" w:space="0" w:color="014171"/>
            </w:tcBorders>
          </w:tcPr>
          <w:p w14:paraId="27A50855" w14:textId="78EAC7D6"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Shares</w:t>
            </w:r>
          </w:p>
        </w:tc>
        <w:tc>
          <w:tcPr>
            <w:tcW w:w="1843" w:type="dxa"/>
            <w:tcBorders>
              <w:top w:val="single" w:sz="4" w:space="0" w:color="014171"/>
              <w:bottom w:val="single" w:sz="4" w:space="0" w:color="014171"/>
            </w:tcBorders>
          </w:tcPr>
          <w:p w14:paraId="013D7821" w14:textId="44485B36"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604DDF" w14:paraId="417C53BC" w14:textId="77777777" w:rsidTr="00A02BEA">
        <w:trPr>
          <w:trHeight w:val="142"/>
          <w:jc w:val="center"/>
        </w:trPr>
        <w:tc>
          <w:tcPr>
            <w:tcW w:w="567" w:type="dxa"/>
            <w:tcBorders>
              <w:top w:val="single" w:sz="4" w:space="0" w:color="014171"/>
              <w:bottom w:val="single" w:sz="4" w:space="0" w:color="014171"/>
            </w:tcBorders>
          </w:tcPr>
          <w:p w14:paraId="70BE7CF6"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9</w:t>
            </w:r>
          </w:p>
        </w:tc>
        <w:tc>
          <w:tcPr>
            <w:tcW w:w="5103" w:type="dxa"/>
            <w:tcBorders>
              <w:top w:val="single" w:sz="4" w:space="0" w:color="014171"/>
              <w:bottom w:val="single" w:sz="4" w:space="0" w:color="014171"/>
            </w:tcBorders>
          </w:tcPr>
          <w:p w14:paraId="56CCEEDA" w14:textId="68940A74"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Share-linked instruments</w:t>
            </w:r>
          </w:p>
        </w:tc>
        <w:tc>
          <w:tcPr>
            <w:tcW w:w="1843" w:type="dxa"/>
            <w:tcBorders>
              <w:top w:val="single" w:sz="4" w:space="0" w:color="014171"/>
              <w:bottom w:val="single" w:sz="4" w:space="0" w:color="014171"/>
            </w:tcBorders>
          </w:tcPr>
          <w:p w14:paraId="0EF3FEA2" w14:textId="2CA8AED0"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604DDF" w14:paraId="5DE083D8" w14:textId="77777777" w:rsidTr="00A02BEA">
        <w:trPr>
          <w:trHeight w:val="142"/>
          <w:jc w:val="center"/>
        </w:trPr>
        <w:tc>
          <w:tcPr>
            <w:tcW w:w="567" w:type="dxa"/>
            <w:tcBorders>
              <w:top w:val="single" w:sz="4" w:space="0" w:color="014171"/>
              <w:bottom w:val="single" w:sz="4" w:space="0" w:color="014171"/>
            </w:tcBorders>
          </w:tcPr>
          <w:p w14:paraId="59A526B1"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10</w:t>
            </w:r>
          </w:p>
        </w:tc>
        <w:tc>
          <w:tcPr>
            <w:tcW w:w="5103" w:type="dxa"/>
            <w:tcBorders>
              <w:top w:val="single" w:sz="4" w:space="0" w:color="014171"/>
              <w:bottom w:val="single" w:sz="4" w:space="0" w:color="014171"/>
            </w:tcBorders>
          </w:tcPr>
          <w:p w14:paraId="2FCA3483" w14:textId="5248386E"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Others</w:t>
            </w:r>
          </w:p>
        </w:tc>
        <w:tc>
          <w:tcPr>
            <w:tcW w:w="1843" w:type="dxa"/>
            <w:tcBorders>
              <w:top w:val="single" w:sz="4" w:space="0" w:color="014171"/>
              <w:bottom w:val="single" w:sz="4" w:space="0" w:color="014171"/>
            </w:tcBorders>
          </w:tcPr>
          <w:p w14:paraId="7B4D41C1" w14:textId="6359C176"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DA628A" w14:paraId="293F374C" w14:textId="77777777" w:rsidTr="00A02BEA">
        <w:trPr>
          <w:trHeight w:val="142"/>
          <w:jc w:val="center"/>
        </w:trPr>
        <w:tc>
          <w:tcPr>
            <w:tcW w:w="567" w:type="dxa"/>
            <w:tcBorders>
              <w:top w:val="single" w:sz="4" w:space="0" w:color="014171"/>
              <w:bottom w:val="single" w:sz="4" w:space="0" w:color="014171"/>
            </w:tcBorders>
          </w:tcPr>
          <w:p w14:paraId="092EE3B1" w14:textId="77777777" w:rsidR="00DA628A" w:rsidRPr="0074724B" w:rsidRDefault="00DA628A" w:rsidP="00DA628A">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11</w:t>
            </w:r>
          </w:p>
        </w:tc>
        <w:tc>
          <w:tcPr>
            <w:tcW w:w="5103" w:type="dxa"/>
            <w:tcBorders>
              <w:top w:val="single" w:sz="4" w:space="0" w:color="014171"/>
              <w:bottom w:val="single" w:sz="4" w:space="0" w:color="014171"/>
            </w:tcBorders>
          </w:tcPr>
          <w:p w14:paraId="66E1B831" w14:textId="02D3CAC7"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deferred</w:t>
            </w:r>
          </w:p>
        </w:tc>
        <w:tc>
          <w:tcPr>
            <w:tcW w:w="1843" w:type="dxa"/>
            <w:tcBorders>
              <w:top w:val="single" w:sz="4" w:space="0" w:color="014171"/>
              <w:bottom w:val="single" w:sz="4" w:space="0" w:color="014171"/>
            </w:tcBorders>
          </w:tcPr>
          <w:p w14:paraId="7C642728" w14:textId="4745DEB4" w:rsidR="00DA628A" w:rsidRPr="0074724B" w:rsidRDefault="00604DDF" w:rsidP="00A02BEA">
            <w:pPr>
              <w:autoSpaceDE w:val="0"/>
              <w:autoSpaceDN w:val="0"/>
              <w:adjustRightInd w:val="0"/>
              <w:spacing w:after="0"/>
              <w:jc w:val="right"/>
              <w:rPr>
                <w:rFonts w:ascii="Segoe UI" w:hAnsi="Segoe UI" w:cs="Segoe UI"/>
                <w:color w:val="014171"/>
                <w:sz w:val="18"/>
                <w:szCs w:val="18"/>
                <w:lang w:eastAsia="en-GB"/>
              </w:rPr>
            </w:pPr>
            <w:r>
              <w:rPr>
                <w:rFonts w:ascii="Segoe UI" w:hAnsi="Segoe UI" w:cs="Segoe UI"/>
                <w:color w:val="014171"/>
                <w:sz w:val="18"/>
                <w:szCs w:val="18"/>
                <w:lang w:val="de-DE" w:eastAsia="en-GB"/>
              </w:rPr>
              <w:t>--</w:t>
            </w:r>
          </w:p>
        </w:tc>
      </w:tr>
      <w:tr w:rsidR="00DA628A" w:rsidRPr="00DA628A" w14:paraId="1BEE0AB7" w14:textId="77777777" w:rsidTr="00A02BEA">
        <w:trPr>
          <w:trHeight w:val="142"/>
          <w:jc w:val="center"/>
        </w:trPr>
        <w:tc>
          <w:tcPr>
            <w:tcW w:w="567" w:type="dxa"/>
            <w:tcBorders>
              <w:top w:val="single" w:sz="4" w:space="0" w:color="014171"/>
              <w:bottom w:val="single" w:sz="4" w:space="0" w:color="014171"/>
            </w:tcBorders>
          </w:tcPr>
          <w:p w14:paraId="79392B8F"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12</w:t>
            </w:r>
          </w:p>
        </w:tc>
        <w:tc>
          <w:tcPr>
            <w:tcW w:w="5103" w:type="dxa"/>
            <w:tcBorders>
              <w:top w:val="single" w:sz="4" w:space="0" w:color="014171"/>
              <w:bottom w:val="single" w:sz="4" w:space="0" w:color="014171"/>
            </w:tcBorders>
          </w:tcPr>
          <w:p w14:paraId="2148FBB2" w14:textId="15A64CA5"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Cash</w:t>
            </w:r>
          </w:p>
        </w:tc>
        <w:tc>
          <w:tcPr>
            <w:tcW w:w="1843" w:type="dxa"/>
            <w:tcBorders>
              <w:top w:val="single" w:sz="4" w:space="0" w:color="014171"/>
              <w:bottom w:val="single" w:sz="4" w:space="0" w:color="014171"/>
            </w:tcBorders>
          </w:tcPr>
          <w:p w14:paraId="07ECA120" w14:textId="259682DC"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DA628A" w14:paraId="3AD1A2E1" w14:textId="77777777" w:rsidTr="00A02BEA">
        <w:trPr>
          <w:trHeight w:val="142"/>
          <w:jc w:val="center"/>
        </w:trPr>
        <w:tc>
          <w:tcPr>
            <w:tcW w:w="567" w:type="dxa"/>
            <w:tcBorders>
              <w:top w:val="single" w:sz="4" w:space="0" w:color="014171"/>
              <w:bottom w:val="single" w:sz="4" w:space="0" w:color="014171"/>
            </w:tcBorders>
          </w:tcPr>
          <w:p w14:paraId="161DC9E7"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13</w:t>
            </w:r>
          </w:p>
        </w:tc>
        <w:tc>
          <w:tcPr>
            <w:tcW w:w="5103" w:type="dxa"/>
            <w:tcBorders>
              <w:top w:val="single" w:sz="4" w:space="0" w:color="014171"/>
              <w:bottom w:val="single" w:sz="4" w:space="0" w:color="014171"/>
            </w:tcBorders>
          </w:tcPr>
          <w:p w14:paraId="0FD757F8" w14:textId="034B749C"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Shares</w:t>
            </w:r>
          </w:p>
        </w:tc>
        <w:tc>
          <w:tcPr>
            <w:tcW w:w="1843" w:type="dxa"/>
            <w:tcBorders>
              <w:top w:val="single" w:sz="4" w:space="0" w:color="014171"/>
              <w:bottom w:val="single" w:sz="4" w:space="0" w:color="014171"/>
            </w:tcBorders>
          </w:tcPr>
          <w:p w14:paraId="53568FA6" w14:textId="5D1BCA26"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DA628A" w14:paraId="25394B5B" w14:textId="77777777" w:rsidTr="00A02BEA">
        <w:trPr>
          <w:trHeight w:val="142"/>
          <w:jc w:val="center"/>
        </w:trPr>
        <w:tc>
          <w:tcPr>
            <w:tcW w:w="567" w:type="dxa"/>
            <w:tcBorders>
              <w:top w:val="single" w:sz="4" w:space="0" w:color="014171"/>
              <w:bottom w:val="single" w:sz="4" w:space="0" w:color="014171"/>
            </w:tcBorders>
          </w:tcPr>
          <w:p w14:paraId="176267D5"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14</w:t>
            </w:r>
          </w:p>
        </w:tc>
        <w:tc>
          <w:tcPr>
            <w:tcW w:w="5103" w:type="dxa"/>
            <w:tcBorders>
              <w:top w:val="single" w:sz="4" w:space="0" w:color="014171"/>
              <w:bottom w:val="single" w:sz="4" w:space="0" w:color="014171"/>
            </w:tcBorders>
          </w:tcPr>
          <w:p w14:paraId="353624E8" w14:textId="2AE50603"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Share-linked instruments</w:t>
            </w:r>
          </w:p>
        </w:tc>
        <w:tc>
          <w:tcPr>
            <w:tcW w:w="1843" w:type="dxa"/>
            <w:tcBorders>
              <w:top w:val="single" w:sz="4" w:space="0" w:color="014171"/>
              <w:bottom w:val="single" w:sz="4" w:space="0" w:color="014171"/>
            </w:tcBorders>
          </w:tcPr>
          <w:p w14:paraId="7932998A" w14:textId="40B14935"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DA628A" w14:paraId="7FBE86CB" w14:textId="77777777" w:rsidTr="00A02BEA">
        <w:trPr>
          <w:trHeight w:val="142"/>
          <w:jc w:val="center"/>
        </w:trPr>
        <w:tc>
          <w:tcPr>
            <w:tcW w:w="567" w:type="dxa"/>
            <w:tcBorders>
              <w:top w:val="single" w:sz="4" w:space="0" w:color="014171"/>
              <w:bottom w:val="single" w:sz="4" w:space="0" w:color="014171"/>
            </w:tcBorders>
          </w:tcPr>
          <w:p w14:paraId="220C9E3A" w14:textId="77777777" w:rsidR="00DA628A" w:rsidRPr="00A02BEA" w:rsidRDefault="00DA628A" w:rsidP="00DA628A">
            <w:pPr>
              <w:autoSpaceDE w:val="0"/>
              <w:autoSpaceDN w:val="0"/>
              <w:adjustRightInd w:val="0"/>
              <w:spacing w:after="0"/>
              <w:jc w:val="both"/>
              <w:rPr>
                <w:rFonts w:ascii="Segoe UI" w:hAnsi="Segoe UI" w:cs="Segoe UI"/>
                <w:i/>
                <w:color w:val="014171"/>
                <w:sz w:val="18"/>
                <w:szCs w:val="18"/>
                <w:lang w:eastAsia="en-GB"/>
              </w:rPr>
            </w:pPr>
            <w:r w:rsidRPr="00A02BEA">
              <w:rPr>
                <w:rFonts w:ascii="Segoe UI" w:hAnsi="Segoe UI" w:cs="Segoe UI"/>
                <w:i/>
                <w:color w:val="014171"/>
                <w:sz w:val="18"/>
                <w:szCs w:val="18"/>
                <w:lang w:eastAsia="en-GB"/>
              </w:rPr>
              <w:t>15</w:t>
            </w:r>
          </w:p>
        </w:tc>
        <w:tc>
          <w:tcPr>
            <w:tcW w:w="5103" w:type="dxa"/>
            <w:tcBorders>
              <w:top w:val="single" w:sz="4" w:space="0" w:color="014171"/>
              <w:bottom w:val="single" w:sz="4" w:space="0" w:color="014171"/>
            </w:tcBorders>
          </w:tcPr>
          <w:p w14:paraId="591EEB70" w14:textId="242544CB" w:rsidR="00DA628A" w:rsidRPr="00A02BEA" w:rsidRDefault="00DA628A" w:rsidP="00A02BEA">
            <w:pPr>
              <w:autoSpaceDE w:val="0"/>
              <w:autoSpaceDN w:val="0"/>
              <w:adjustRightInd w:val="0"/>
              <w:spacing w:after="0"/>
              <w:ind w:left="227"/>
              <w:jc w:val="both"/>
              <w:rPr>
                <w:rFonts w:ascii="Segoe UI" w:hAnsi="Segoe UI" w:cs="Segoe UI"/>
                <w:i/>
                <w:color w:val="014171"/>
                <w:sz w:val="18"/>
                <w:szCs w:val="18"/>
              </w:rPr>
            </w:pPr>
            <w:r w:rsidRPr="00A02BEA">
              <w:rPr>
                <w:rFonts w:ascii="Segoe UI" w:hAnsi="Segoe UI" w:cs="Segoe UI"/>
                <w:i/>
                <w:color w:val="014171"/>
                <w:sz w:val="18"/>
                <w:szCs w:val="18"/>
              </w:rPr>
              <w:t>Others</w:t>
            </w:r>
          </w:p>
        </w:tc>
        <w:tc>
          <w:tcPr>
            <w:tcW w:w="1843" w:type="dxa"/>
            <w:tcBorders>
              <w:top w:val="single" w:sz="4" w:space="0" w:color="014171"/>
              <w:bottom w:val="single" w:sz="4" w:space="0" w:color="014171"/>
            </w:tcBorders>
          </w:tcPr>
          <w:p w14:paraId="123B15C3" w14:textId="7116728E" w:rsidR="00DA628A" w:rsidRPr="00A02BEA" w:rsidRDefault="00604DDF" w:rsidP="00A02BEA">
            <w:pPr>
              <w:autoSpaceDE w:val="0"/>
              <w:autoSpaceDN w:val="0"/>
              <w:adjustRightInd w:val="0"/>
              <w:spacing w:after="0"/>
              <w:jc w:val="right"/>
              <w:rPr>
                <w:rFonts w:ascii="Segoe UI" w:hAnsi="Segoe UI" w:cs="Segoe UI"/>
                <w:i/>
                <w:color w:val="014171"/>
                <w:sz w:val="18"/>
                <w:szCs w:val="18"/>
                <w:lang w:eastAsia="en-GB"/>
              </w:rPr>
            </w:pPr>
            <w:r w:rsidRPr="00A02BEA">
              <w:rPr>
                <w:rFonts w:ascii="Segoe UI" w:hAnsi="Segoe UI" w:cs="Segoe UI"/>
                <w:i/>
                <w:color w:val="014171"/>
                <w:sz w:val="18"/>
                <w:szCs w:val="18"/>
                <w:lang w:val="de-DE" w:eastAsia="en-GB"/>
              </w:rPr>
              <w:t>--</w:t>
            </w:r>
          </w:p>
        </w:tc>
      </w:tr>
      <w:tr w:rsidR="00DA628A" w:rsidRPr="00604DDF" w14:paraId="2DFE7D9E" w14:textId="77777777" w:rsidTr="00A02BEA">
        <w:trPr>
          <w:trHeight w:val="142"/>
          <w:jc w:val="center"/>
        </w:trPr>
        <w:tc>
          <w:tcPr>
            <w:tcW w:w="567" w:type="dxa"/>
            <w:tcBorders>
              <w:top w:val="single" w:sz="4" w:space="0" w:color="014171"/>
              <w:bottom w:val="single" w:sz="4" w:space="0" w:color="014171"/>
            </w:tcBorders>
          </w:tcPr>
          <w:p w14:paraId="4B461959" w14:textId="77777777"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lang w:eastAsia="en-GB"/>
              </w:rPr>
              <w:t>16</w:t>
            </w:r>
          </w:p>
        </w:tc>
        <w:tc>
          <w:tcPr>
            <w:tcW w:w="5103" w:type="dxa"/>
            <w:tcBorders>
              <w:top w:val="single" w:sz="4" w:space="0" w:color="014171"/>
              <w:bottom w:val="single" w:sz="4" w:space="0" w:color="014171"/>
            </w:tcBorders>
          </w:tcPr>
          <w:p w14:paraId="5B47520F" w14:textId="03B9F1D3" w:rsidR="00DA628A" w:rsidRPr="00A02BEA" w:rsidRDefault="00DA628A" w:rsidP="00DA628A">
            <w:pPr>
              <w:autoSpaceDE w:val="0"/>
              <w:autoSpaceDN w:val="0"/>
              <w:adjustRightInd w:val="0"/>
              <w:spacing w:after="0"/>
              <w:jc w:val="both"/>
              <w:rPr>
                <w:rFonts w:ascii="Segoe UI" w:hAnsi="Segoe UI" w:cs="Segoe UI"/>
                <w:b/>
                <w:color w:val="014171"/>
                <w:sz w:val="18"/>
                <w:szCs w:val="18"/>
              </w:rPr>
            </w:pPr>
            <w:r w:rsidRPr="00A02BEA">
              <w:rPr>
                <w:rFonts w:ascii="Segoe UI" w:hAnsi="Segoe UI" w:cs="Segoe UI"/>
                <w:b/>
                <w:color w:val="014171"/>
                <w:sz w:val="18"/>
                <w:szCs w:val="18"/>
              </w:rPr>
              <w:t>Amount of deferred remuneration awarded for previous periods</w:t>
            </w:r>
          </w:p>
        </w:tc>
        <w:tc>
          <w:tcPr>
            <w:tcW w:w="1843" w:type="dxa"/>
            <w:tcBorders>
              <w:top w:val="single" w:sz="4" w:space="0" w:color="014171"/>
              <w:bottom w:val="single" w:sz="4" w:space="0" w:color="014171"/>
            </w:tcBorders>
          </w:tcPr>
          <w:p w14:paraId="5A23E469" w14:textId="1721BDFB" w:rsidR="00DA628A" w:rsidRPr="00A02BEA" w:rsidRDefault="00604DDF" w:rsidP="00A02BEA">
            <w:pPr>
              <w:autoSpaceDE w:val="0"/>
              <w:autoSpaceDN w:val="0"/>
              <w:adjustRightInd w:val="0"/>
              <w:spacing w:after="0"/>
              <w:jc w:val="right"/>
              <w:rPr>
                <w:rFonts w:ascii="Segoe UI" w:hAnsi="Segoe UI" w:cs="Segoe UI"/>
                <w:b/>
                <w:color w:val="014171"/>
                <w:sz w:val="18"/>
                <w:szCs w:val="18"/>
                <w:lang w:eastAsia="en-GB"/>
              </w:rPr>
            </w:pPr>
            <w:r w:rsidRPr="00A02BEA">
              <w:rPr>
                <w:rFonts w:ascii="Segoe UI" w:hAnsi="Segoe UI" w:cs="Segoe UI"/>
                <w:b/>
                <w:color w:val="014171"/>
                <w:sz w:val="18"/>
                <w:szCs w:val="18"/>
                <w:lang w:val="de-DE" w:eastAsia="en-GB"/>
              </w:rPr>
              <w:t>--</w:t>
            </w:r>
          </w:p>
        </w:tc>
      </w:tr>
      <w:tr w:rsidR="00604DDF" w:rsidRPr="00DA628A" w14:paraId="72C55666" w14:textId="77777777" w:rsidTr="00A02BEA">
        <w:trPr>
          <w:trHeight w:val="142"/>
          <w:jc w:val="center"/>
        </w:trPr>
        <w:tc>
          <w:tcPr>
            <w:tcW w:w="567" w:type="dxa"/>
            <w:tcBorders>
              <w:top w:val="single" w:sz="4" w:space="0" w:color="014171"/>
              <w:bottom w:val="single" w:sz="4" w:space="0" w:color="014171"/>
            </w:tcBorders>
          </w:tcPr>
          <w:p w14:paraId="3F09D752" w14:textId="53D387D7" w:rsidR="00DA628A" w:rsidRPr="0074724B" w:rsidRDefault="00DA628A" w:rsidP="00DA628A">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17</w:t>
            </w:r>
          </w:p>
        </w:tc>
        <w:tc>
          <w:tcPr>
            <w:tcW w:w="5103" w:type="dxa"/>
            <w:tcBorders>
              <w:top w:val="single" w:sz="4" w:space="0" w:color="014171"/>
              <w:bottom w:val="single" w:sz="4" w:space="0" w:color="014171"/>
            </w:tcBorders>
          </w:tcPr>
          <w:p w14:paraId="77963243" w14:textId="0F7ED038"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to vest in the financial year</w:t>
            </w:r>
          </w:p>
        </w:tc>
        <w:tc>
          <w:tcPr>
            <w:tcW w:w="1843" w:type="dxa"/>
            <w:tcBorders>
              <w:top w:val="single" w:sz="4" w:space="0" w:color="014171"/>
              <w:bottom w:val="single" w:sz="4" w:space="0" w:color="014171"/>
            </w:tcBorders>
          </w:tcPr>
          <w:p w14:paraId="58132D7F" w14:textId="10FD8476" w:rsidR="00DA628A" w:rsidRPr="0074724B" w:rsidRDefault="00604DDF" w:rsidP="00A02BEA">
            <w:pPr>
              <w:autoSpaceDE w:val="0"/>
              <w:autoSpaceDN w:val="0"/>
              <w:adjustRightInd w:val="0"/>
              <w:spacing w:after="0"/>
              <w:jc w:val="right"/>
              <w:rPr>
                <w:rFonts w:ascii="Segoe UI" w:hAnsi="Segoe UI" w:cs="Segoe UI"/>
                <w:color w:val="014171"/>
                <w:sz w:val="18"/>
                <w:szCs w:val="18"/>
              </w:rPr>
            </w:pPr>
            <w:r>
              <w:rPr>
                <w:rFonts w:ascii="Segoe UI" w:hAnsi="Segoe UI" w:cs="Segoe UI"/>
                <w:color w:val="014171"/>
                <w:sz w:val="18"/>
                <w:szCs w:val="18"/>
                <w:lang w:val="de-DE" w:eastAsia="en-GB"/>
              </w:rPr>
              <w:t>--</w:t>
            </w:r>
          </w:p>
        </w:tc>
      </w:tr>
      <w:tr w:rsidR="00604DDF" w:rsidRPr="00DA628A" w14:paraId="2ED9B0F9" w14:textId="77777777" w:rsidTr="00A02BEA">
        <w:trPr>
          <w:trHeight w:val="142"/>
          <w:jc w:val="center"/>
        </w:trPr>
        <w:tc>
          <w:tcPr>
            <w:tcW w:w="567" w:type="dxa"/>
            <w:tcBorders>
              <w:top w:val="single" w:sz="4" w:space="0" w:color="014171"/>
              <w:bottom w:val="single" w:sz="4" w:space="0" w:color="014171"/>
            </w:tcBorders>
          </w:tcPr>
          <w:p w14:paraId="593DD5C5" w14:textId="1BEE4815" w:rsidR="00DA628A" w:rsidRPr="00DA628A" w:rsidRDefault="00DA628A" w:rsidP="00DA628A">
            <w:pPr>
              <w:autoSpaceDE w:val="0"/>
              <w:autoSpaceDN w:val="0"/>
              <w:adjustRightInd w:val="0"/>
              <w:spacing w:after="0"/>
              <w:jc w:val="both"/>
              <w:rPr>
                <w:rFonts w:ascii="Segoe UI" w:hAnsi="Segoe UI" w:cs="Segoe UI"/>
                <w:color w:val="014171"/>
                <w:sz w:val="18"/>
                <w:szCs w:val="18"/>
                <w:lang w:eastAsia="en-GB"/>
              </w:rPr>
            </w:pPr>
            <w:r w:rsidRPr="00DA628A">
              <w:rPr>
                <w:rFonts w:ascii="Segoe UI" w:hAnsi="Segoe UI" w:cs="Segoe UI"/>
                <w:color w:val="014171"/>
                <w:sz w:val="18"/>
                <w:szCs w:val="18"/>
                <w:lang w:eastAsia="en-GB"/>
              </w:rPr>
              <w:lastRenderedPageBreak/>
              <w:t>18</w:t>
            </w:r>
          </w:p>
        </w:tc>
        <w:tc>
          <w:tcPr>
            <w:tcW w:w="5103" w:type="dxa"/>
            <w:tcBorders>
              <w:top w:val="single" w:sz="4" w:space="0" w:color="014171"/>
              <w:bottom w:val="single" w:sz="4" w:space="0" w:color="014171"/>
            </w:tcBorders>
          </w:tcPr>
          <w:p w14:paraId="343EC9B3" w14:textId="0F06C066"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to vest in subsequent years</w:t>
            </w:r>
          </w:p>
        </w:tc>
        <w:tc>
          <w:tcPr>
            <w:tcW w:w="1843" w:type="dxa"/>
            <w:tcBorders>
              <w:top w:val="single" w:sz="4" w:space="0" w:color="014171"/>
              <w:bottom w:val="single" w:sz="4" w:space="0" w:color="014171"/>
            </w:tcBorders>
          </w:tcPr>
          <w:p w14:paraId="67CC976A" w14:textId="4E4F5FC3" w:rsidR="00DA628A" w:rsidRPr="0074724B" w:rsidRDefault="00604DDF" w:rsidP="00A02BEA">
            <w:pPr>
              <w:autoSpaceDE w:val="0"/>
              <w:autoSpaceDN w:val="0"/>
              <w:adjustRightInd w:val="0"/>
              <w:spacing w:after="0"/>
              <w:jc w:val="right"/>
              <w:rPr>
                <w:rFonts w:ascii="Segoe UI" w:hAnsi="Segoe UI" w:cs="Segoe UI"/>
                <w:color w:val="014171"/>
                <w:sz w:val="18"/>
                <w:szCs w:val="18"/>
              </w:rPr>
            </w:pPr>
            <w:r>
              <w:rPr>
                <w:rFonts w:ascii="Segoe UI" w:hAnsi="Segoe UI" w:cs="Segoe UI"/>
                <w:color w:val="014171"/>
                <w:sz w:val="18"/>
                <w:szCs w:val="18"/>
                <w:lang w:val="de-DE" w:eastAsia="en-GB"/>
              </w:rPr>
              <w:t>--</w:t>
            </w:r>
          </w:p>
        </w:tc>
      </w:tr>
      <w:tr w:rsidR="00604DDF" w:rsidRPr="00604DDF" w14:paraId="116347F1" w14:textId="77777777" w:rsidTr="00A02BEA">
        <w:trPr>
          <w:trHeight w:val="142"/>
          <w:jc w:val="center"/>
        </w:trPr>
        <w:tc>
          <w:tcPr>
            <w:tcW w:w="567" w:type="dxa"/>
            <w:tcBorders>
              <w:top w:val="single" w:sz="4" w:space="0" w:color="014171"/>
              <w:bottom w:val="single" w:sz="4" w:space="0" w:color="014171"/>
            </w:tcBorders>
          </w:tcPr>
          <w:p w14:paraId="5D832C29" w14:textId="64E0D23D"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lang w:eastAsia="en-GB"/>
              </w:rPr>
              <w:t>19</w:t>
            </w:r>
          </w:p>
        </w:tc>
        <w:tc>
          <w:tcPr>
            <w:tcW w:w="5103" w:type="dxa"/>
            <w:tcBorders>
              <w:top w:val="single" w:sz="4" w:space="0" w:color="014171"/>
              <w:bottom w:val="single" w:sz="4" w:space="0" w:color="014171"/>
            </w:tcBorders>
          </w:tcPr>
          <w:p w14:paraId="0C41FB1D" w14:textId="110FCA8C" w:rsidR="00DA628A" w:rsidRPr="00A02BEA" w:rsidRDefault="00DA628A" w:rsidP="00DA628A">
            <w:pPr>
              <w:autoSpaceDE w:val="0"/>
              <w:autoSpaceDN w:val="0"/>
              <w:adjustRightInd w:val="0"/>
              <w:spacing w:after="0"/>
              <w:jc w:val="both"/>
              <w:rPr>
                <w:rFonts w:ascii="Segoe UI" w:hAnsi="Segoe UI" w:cs="Segoe UI"/>
                <w:b/>
                <w:color w:val="014171"/>
                <w:sz w:val="18"/>
                <w:szCs w:val="18"/>
              </w:rPr>
            </w:pPr>
            <w:r w:rsidRPr="00A02BEA">
              <w:rPr>
                <w:rFonts w:ascii="Segoe UI" w:hAnsi="Segoe UI" w:cs="Segoe UI"/>
                <w:b/>
                <w:color w:val="014171"/>
                <w:sz w:val="18"/>
                <w:szCs w:val="18"/>
              </w:rPr>
              <w:t xml:space="preserve">Amount of deferred remuneration due to vest and be paid out in the financial year and paid </w:t>
            </w:r>
          </w:p>
        </w:tc>
        <w:tc>
          <w:tcPr>
            <w:tcW w:w="1843" w:type="dxa"/>
            <w:tcBorders>
              <w:top w:val="single" w:sz="4" w:space="0" w:color="014171"/>
              <w:bottom w:val="single" w:sz="4" w:space="0" w:color="014171"/>
            </w:tcBorders>
          </w:tcPr>
          <w:p w14:paraId="5A4B2F52" w14:textId="14C2ED67" w:rsidR="00DA628A" w:rsidRPr="00A02BEA" w:rsidRDefault="00604DDF" w:rsidP="00A02BEA">
            <w:pPr>
              <w:autoSpaceDE w:val="0"/>
              <w:autoSpaceDN w:val="0"/>
              <w:adjustRightInd w:val="0"/>
              <w:spacing w:after="0"/>
              <w:jc w:val="right"/>
              <w:rPr>
                <w:rFonts w:ascii="Segoe UI" w:hAnsi="Segoe UI" w:cs="Segoe UI"/>
                <w:b/>
                <w:color w:val="014171"/>
                <w:sz w:val="18"/>
                <w:szCs w:val="18"/>
              </w:rPr>
            </w:pPr>
            <w:r w:rsidRPr="00A02BEA">
              <w:rPr>
                <w:rFonts w:ascii="Segoe UI" w:hAnsi="Segoe UI" w:cs="Segoe UI"/>
                <w:b/>
                <w:color w:val="014171"/>
                <w:sz w:val="18"/>
                <w:szCs w:val="18"/>
                <w:lang w:val="de-DE" w:eastAsia="en-GB"/>
              </w:rPr>
              <w:t>--</w:t>
            </w:r>
          </w:p>
        </w:tc>
      </w:tr>
      <w:tr w:rsidR="00604DDF" w:rsidRPr="00DA628A" w14:paraId="5E80D9ED" w14:textId="77777777" w:rsidTr="00A02BEA">
        <w:trPr>
          <w:trHeight w:val="142"/>
          <w:jc w:val="center"/>
        </w:trPr>
        <w:tc>
          <w:tcPr>
            <w:tcW w:w="567" w:type="dxa"/>
            <w:tcBorders>
              <w:top w:val="single" w:sz="4" w:space="0" w:color="014171"/>
              <w:bottom w:val="single" w:sz="4" w:space="0" w:color="014171"/>
            </w:tcBorders>
          </w:tcPr>
          <w:p w14:paraId="6DF82014" w14:textId="4DC0FC1F" w:rsidR="00DA628A" w:rsidRPr="0074724B" w:rsidRDefault="00DA628A" w:rsidP="00DA628A">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20</w:t>
            </w:r>
          </w:p>
        </w:tc>
        <w:tc>
          <w:tcPr>
            <w:tcW w:w="5103" w:type="dxa"/>
            <w:tcBorders>
              <w:top w:val="single" w:sz="4" w:space="0" w:color="014171"/>
              <w:bottom w:val="single" w:sz="4" w:space="0" w:color="014171"/>
            </w:tcBorders>
          </w:tcPr>
          <w:p w14:paraId="62F3829E" w14:textId="25DA06E5"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reduced through performance adjustments</w:t>
            </w:r>
          </w:p>
        </w:tc>
        <w:tc>
          <w:tcPr>
            <w:tcW w:w="1843" w:type="dxa"/>
            <w:tcBorders>
              <w:top w:val="single" w:sz="4" w:space="0" w:color="014171"/>
              <w:bottom w:val="single" w:sz="4" w:space="0" w:color="014171"/>
            </w:tcBorders>
          </w:tcPr>
          <w:p w14:paraId="32E6E235" w14:textId="10E63F87" w:rsidR="00DA628A" w:rsidRPr="0074724B" w:rsidRDefault="00604DDF" w:rsidP="00A02BEA">
            <w:pPr>
              <w:autoSpaceDE w:val="0"/>
              <w:autoSpaceDN w:val="0"/>
              <w:adjustRightInd w:val="0"/>
              <w:spacing w:after="0"/>
              <w:jc w:val="right"/>
              <w:rPr>
                <w:rFonts w:ascii="Segoe UI" w:hAnsi="Segoe UI" w:cs="Segoe UI"/>
                <w:color w:val="014171"/>
                <w:sz w:val="18"/>
                <w:szCs w:val="18"/>
              </w:rPr>
            </w:pPr>
            <w:r>
              <w:rPr>
                <w:rFonts w:ascii="Segoe UI" w:hAnsi="Segoe UI" w:cs="Segoe UI"/>
                <w:color w:val="014171"/>
                <w:sz w:val="18"/>
                <w:szCs w:val="18"/>
                <w:lang w:val="de-DE" w:eastAsia="en-GB"/>
              </w:rPr>
              <w:t>--</w:t>
            </w:r>
          </w:p>
        </w:tc>
      </w:tr>
      <w:tr w:rsidR="00604DDF" w:rsidRPr="00604DDF" w14:paraId="7AB14111" w14:textId="77777777" w:rsidTr="00A02BEA">
        <w:trPr>
          <w:trHeight w:val="142"/>
          <w:jc w:val="center"/>
        </w:trPr>
        <w:tc>
          <w:tcPr>
            <w:tcW w:w="567" w:type="dxa"/>
            <w:tcBorders>
              <w:top w:val="single" w:sz="4" w:space="0" w:color="014171"/>
              <w:bottom w:val="single" w:sz="4" w:space="0" w:color="014171"/>
            </w:tcBorders>
          </w:tcPr>
          <w:p w14:paraId="142078E7" w14:textId="6ECA9861"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lang w:eastAsia="en-GB"/>
              </w:rPr>
              <w:t>21</w:t>
            </w:r>
          </w:p>
        </w:tc>
        <w:tc>
          <w:tcPr>
            <w:tcW w:w="5103" w:type="dxa"/>
            <w:tcBorders>
              <w:top w:val="single" w:sz="4" w:space="0" w:color="014171"/>
              <w:bottom w:val="single" w:sz="4" w:space="0" w:color="014171"/>
            </w:tcBorders>
          </w:tcPr>
          <w:p w14:paraId="3CCAEE44" w14:textId="38475536" w:rsidR="00DA628A" w:rsidRPr="00A02BEA" w:rsidRDefault="00DA628A" w:rsidP="00DA628A">
            <w:pPr>
              <w:autoSpaceDE w:val="0"/>
              <w:autoSpaceDN w:val="0"/>
              <w:adjustRightInd w:val="0"/>
              <w:spacing w:after="0"/>
              <w:jc w:val="both"/>
              <w:rPr>
                <w:rFonts w:ascii="Segoe UI" w:hAnsi="Segoe UI" w:cs="Segoe UI"/>
                <w:b/>
                <w:color w:val="014171"/>
                <w:sz w:val="18"/>
                <w:szCs w:val="18"/>
              </w:rPr>
            </w:pPr>
            <w:r w:rsidRPr="00A02BEA">
              <w:rPr>
                <w:rFonts w:ascii="Segoe UI" w:hAnsi="Segoe UI" w:cs="Segoe UI"/>
                <w:b/>
                <w:color w:val="014171"/>
                <w:sz w:val="18"/>
                <w:szCs w:val="18"/>
              </w:rPr>
              <w:t>Guaranteed variable remuneration awarded during the financial year</w:t>
            </w:r>
          </w:p>
        </w:tc>
        <w:tc>
          <w:tcPr>
            <w:tcW w:w="1843" w:type="dxa"/>
            <w:tcBorders>
              <w:top w:val="single" w:sz="4" w:space="0" w:color="014171"/>
              <w:bottom w:val="single" w:sz="4" w:space="0" w:color="014171"/>
            </w:tcBorders>
          </w:tcPr>
          <w:p w14:paraId="502370F5" w14:textId="78959A30" w:rsidR="00DA628A" w:rsidRPr="00A02BEA" w:rsidRDefault="00604DDF" w:rsidP="00A02BEA">
            <w:pPr>
              <w:autoSpaceDE w:val="0"/>
              <w:autoSpaceDN w:val="0"/>
              <w:adjustRightInd w:val="0"/>
              <w:spacing w:after="0"/>
              <w:jc w:val="right"/>
              <w:rPr>
                <w:rFonts w:ascii="Segoe UI" w:hAnsi="Segoe UI" w:cs="Segoe UI"/>
                <w:b/>
                <w:color w:val="014171"/>
                <w:sz w:val="18"/>
                <w:szCs w:val="18"/>
              </w:rPr>
            </w:pPr>
            <w:r w:rsidRPr="00A02BEA">
              <w:rPr>
                <w:rFonts w:ascii="Segoe UI" w:hAnsi="Segoe UI" w:cs="Segoe UI"/>
                <w:b/>
                <w:color w:val="014171"/>
                <w:sz w:val="18"/>
                <w:szCs w:val="18"/>
                <w:lang w:val="de-DE" w:eastAsia="en-GB"/>
              </w:rPr>
              <w:t>--</w:t>
            </w:r>
          </w:p>
        </w:tc>
      </w:tr>
      <w:tr w:rsidR="00604DDF" w:rsidRPr="00DA628A" w14:paraId="457DE915" w14:textId="77777777" w:rsidTr="00A02BEA">
        <w:trPr>
          <w:trHeight w:val="142"/>
          <w:jc w:val="center"/>
        </w:trPr>
        <w:tc>
          <w:tcPr>
            <w:tcW w:w="567" w:type="dxa"/>
            <w:tcBorders>
              <w:top w:val="single" w:sz="4" w:space="0" w:color="014171"/>
              <w:bottom w:val="single" w:sz="4" w:space="0" w:color="014171"/>
            </w:tcBorders>
          </w:tcPr>
          <w:p w14:paraId="6AA99A21" w14:textId="78C47C39" w:rsidR="00DA628A" w:rsidRPr="0074724B" w:rsidRDefault="00DA628A" w:rsidP="00DA628A">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22</w:t>
            </w:r>
          </w:p>
        </w:tc>
        <w:tc>
          <w:tcPr>
            <w:tcW w:w="5103" w:type="dxa"/>
            <w:tcBorders>
              <w:top w:val="single" w:sz="4" w:space="0" w:color="014171"/>
              <w:bottom w:val="single" w:sz="4" w:space="0" w:color="014171"/>
            </w:tcBorders>
          </w:tcPr>
          <w:p w14:paraId="078ACB05" w14:textId="239CC02D"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Number of beneficiaries</w:t>
            </w:r>
          </w:p>
        </w:tc>
        <w:tc>
          <w:tcPr>
            <w:tcW w:w="1843" w:type="dxa"/>
            <w:tcBorders>
              <w:top w:val="single" w:sz="4" w:space="0" w:color="014171"/>
              <w:bottom w:val="single" w:sz="4" w:space="0" w:color="014171"/>
            </w:tcBorders>
          </w:tcPr>
          <w:p w14:paraId="729B28EC" w14:textId="3B777A34" w:rsidR="00DA628A" w:rsidRPr="0074724B" w:rsidRDefault="00604DDF" w:rsidP="00A02BEA">
            <w:pPr>
              <w:autoSpaceDE w:val="0"/>
              <w:autoSpaceDN w:val="0"/>
              <w:adjustRightInd w:val="0"/>
              <w:spacing w:after="0"/>
              <w:jc w:val="right"/>
              <w:rPr>
                <w:rFonts w:ascii="Segoe UI" w:hAnsi="Segoe UI" w:cs="Segoe UI"/>
                <w:color w:val="014171"/>
                <w:sz w:val="18"/>
                <w:szCs w:val="18"/>
              </w:rPr>
            </w:pPr>
            <w:r>
              <w:rPr>
                <w:rFonts w:ascii="Segoe UI" w:hAnsi="Segoe UI" w:cs="Segoe UI"/>
                <w:color w:val="014171"/>
                <w:sz w:val="18"/>
                <w:szCs w:val="18"/>
                <w:lang w:val="de-DE" w:eastAsia="en-GB"/>
              </w:rPr>
              <w:t>--</w:t>
            </w:r>
          </w:p>
        </w:tc>
      </w:tr>
      <w:tr w:rsidR="00604DDF" w:rsidRPr="00604DDF" w14:paraId="5C4CF119" w14:textId="77777777" w:rsidTr="00A02BEA">
        <w:trPr>
          <w:trHeight w:val="142"/>
          <w:jc w:val="center"/>
        </w:trPr>
        <w:tc>
          <w:tcPr>
            <w:tcW w:w="567" w:type="dxa"/>
            <w:tcBorders>
              <w:top w:val="single" w:sz="4" w:space="0" w:color="014171"/>
              <w:bottom w:val="single" w:sz="4" w:space="0" w:color="014171"/>
            </w:tcBorders>
          </w:tcPr>
          <w:p w14:paraId="025EC2BD" w14:textId="3F723F71"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lang w:eastAsia="en-GB"/>
              </w:rPr>
              <w:t>23</w:t>
            </w:r>
          </w:p>
        </w:tc>
        <w:tc>
          <w:tcPr>
            <w:tcW w:w="5103" w:type="dxa"/>
            <w:tcBorders>
              <w:top w:val="single" w:sz="4" w:space="0" w:color="014171"/>
              <w:bottom w:val="single" w:sz="4" w:space="0" w:color="014171"/>
            </w:tcBorders>
          </w:tcPr>
          <w:p w14:paraId="086183BC" w14:textId="4F8543BB" w:rsidR="00DA628A" w:rsidRPr="00A02BEA" w:rsidRDefault="00DA628A" w:rsidP="00DA628A">
            <w:pPr>
              <w:autoSpaceDE w:val="0"/>
              <w:autoSpaceDN w:val="0"/>
              <w:adjustRightInd w:val="0"/>
              <w:spacing w:after="0"/>
              <w:jc w:val="both"/>
              <w:rPr>
                <w:rFonts w:ascii="Segoe UI" w:hAnsi="Segoe UI" w:cs="Segoe UI"/>
                <w:b/>
                <w:color w:val="014171"/>
                <w:sz w:val="18"/>
                <w:szCs w:val="18"/>
              </w:rPr>
            </w:pPr>
            <w:r w:rsidRPr="00A02BEA">
              <w:rPr>
                <w:rFonts w:ascii="Segoe UI" w:hAnsi="Segoe UI" w:cs="Segoe UI"/>
                <w:b/>
                <w:color w:val="014171"/>
                <w:sz w:val="18"/>
                <w:szCs w:val="18"/>
              </w:rPr>
              <w:t>Severance payments awarded in previous years but paid during the financial year</w:t>
            </w:r>
          </w:p>
        </w:tc>
        <w:tc>
          <w:tcPr>
            <w:tcW w:w="1843" w:type="dxa"/>
            <w:tcBorders>
              <w:top w:val="single" w:sz="4" w:space="0" w:color="014171"/>
              <w:bottom w:val="single" w:sz="4" w:space="0" w:color="014171"/>
            </w:tcBorders>
          </w:tcPr>
          <w:p w14:paraId="20078A2F" w14:textId="081DB04F" w:rsidR="00DA628A" w:rsidRPr="00A02BEA" w:rsidRDefault="00604DDF" w:rsidP="00A02BEA">
            <w:pPr>
              <w:autoSpaceDE w:val="0"/>
              <w:autoSpaceDN w:val="0"/>
              <w:adjustRightInd w:val="0"/>
              <w:spacing w:after="0"/>
              <w:jc w:val="right"/>
              <w:rPr>
                <w:rFonts w:ascii="Segoe UI" w:hAnsi="Segoe UI" w:cs="Segoe UI"/>
                <w:b/>
                <w:color w:val="014171"/>
                <w:sz w:val="18"/>
                <w:szCs w:val="18"/>
              </w:rPr>
            </w:pPr>
            <w:r w:rsidRPr="00A02BEA">
              <w:rPr>
                <w:rFonts w:ascii="Segoe UI" w:hAnsi="Segoe UI" w:cs="Segoe UI"/>
                <w:b/>
                <w:color w:val="014171"/>
                <w:sz w:val="18"/>
                <w:szCs w:val="18"/>
                <w:lang w:val="de-DE" w:eastAsia="en-GB"/>
              </w:rPr>
              <w:t>--</w:t>
            </w:r>
          </w:p>
        </w:tc>
      </w:tr>
      <w:tr w:rsidR="00604DDF" w:rsidRPr="00604DDF" w14:paraId="0049F534" w14:textId="77777777" w:rsidTr="00A02BEA">
        <w:trPr>
          <w:trHeight w:val="142"/>
          <w:jc w:val="center"/>
        </w:trPr>
        <w:tc>
          <w:tcPr>
            <w:tcW w:w="567" w:type="dxa"/>
            <w:tcBorders>
              <w:top w:val="single" w:sz="4" w:space="0" w:color="014171"/>
              <w:bottom w:val="single" w:sz="4" w:space="0" w:color="014171"/>
            </w:tcBorders>
          </w:tcPr>
          <w:p w14:paraId="59EA1B4E" w14:textId="10BC46C1" w:rsidR="00DA628A" w:rsidRPr="00A02BEA" w:rsidRDefault="00DA628A" w:rsidP="00DA628A">
            <w:pPr>
              <w:autoSpaceDE w:val="0"/>
              <w:autoSpaceDN w:val="0"/>
              <w:adjustRightInd w:val="0"/>
              <w:spacing w:after="0"/>
              <w:jc w:val="both"/>
              <w:rPr>
                <w:rFonts w:ascii="Segoe UI" w:hAnsi="Segoe UI" w:cs="Segoe UI"/>
                <w:b/>
                <w:color w:val="014171"/>
                <w:sz w:val="18"/>
                <w:szCs w:val="18"/>
                <w:lang w:eastAsia="en-GB"/>
              </w:rPr>
            </w:pPr>
            <w:r w:rsidRPr="00A02BEA">
              <w:rPr>
                <w:rFonts w:ascii="Segoe UI" w:hAnsi="Segoe UI" w:cs="Segoe UI"/>
                <w:b/>
                <w:color w:val="014171"/>
                <w:sz w:val="18"/>
                <w:szCs w:val="18"/>
                <w:lang w:eastAsia="en-GB"/>
              </w:rPr>
              <w:t>24</w:t>
            </w:r>
          </w:p>
        </w:tc>
        <w:tc>
          <w:tcPr>
            <w:tcW w:w="5103" w:type="dxa"/>
            <w:tcBorders>
              <w:top w:val="single" w:sz="4" w:space="0" w:color="014171"/>
              <w:bottom w:val="single" w:sz="4" w:space="0" w:color="014171"/>
            </w:tcBorders>
          </w:tcPr>
          <w:p w14:paraId="05266BB0" w14:textId="46843E6A" w:rsidR="00DA628A" w:rsidRPr="00A02BEA" w:rsidRDefault="00DA628A" w:rsidP="00DA628A">
            <w:pPr>
              <w:autoSpaceDE w:val="0"/>
              <w:autoSpaceDN w:val="0"/>
              <w:adjustRightInd w:val="0"/>
              <w:spacing w:after="0"/>
              <w:jc w:val="both"/>
              <w:rPr>
                <w:rFonts w:ascii="Segoe UI" w:hAnsi="Segoe UI" w:cs="Segoe UI"/>
                <w:b/>
                <w:color w:val="014171"/>
                <w:sz w:val="18"/>
                <w:szCs w:val="18"/>
              </w:rPr>
            </w:pPr>
            <w:r w:rsidRPr="00A02BEA">
              <w:rPr>
                <w:rFonts w:ascii="Segoe UI" w:hAnsi="Segoe UI" w:cs="Segoe UI"/>
                <w:b/>
                <w:color w:val="014171"/>
                <w:sz w:val="18"/>
                <w:szCs w:val="18"/>
              </w:rPr>
              <w:t>Severance payments awarded during the financial year</w:t>
            </w:r>
          </w:p>
        </w:tc>
        <w:tc>
          <w:tcPr>
            <w:tcW w:w="1843" w:type="dxa"/>
            <w:tcBorders>
              <w:top w:val="single" w:sz="4" w:space="0" w:color="014171"/>
              <w:bottom w:val="single" w:sz="4" w:space="0" w:color="014171"/>
            </w:tcBorders>
          </w:tcPr>
          <w:p w14:paraId="2DFDE514" w14:textId="6073E4C9" w:rsidR="00DA628A" w:rsidRPr="00A02BEA" w:rsidRDefault="00604DDF" w:rsidP="00A02BEA">
            <w:pPr>
              <w:autoSpaceDE w:val="0"/>
              <w:autoSpaceDN w:val="0"/>
              <w:adjustRightInd w:val="0"/>
              <w:spacing w:after="0"/>
              <w:jc w:val="right"/>
              <w:rPr>
                <w:rFonts w:ascii="Segoe UI" w:hAnsi="Segoe UI" w:cs="Segoe UI"/>
                <w:b/>
                <w:color w:val="014171"/>
                <w:sz w:val="18"/>
                <w:szCs w:val="18"/>
              </w:rPr>
            </w:pPr>
            <w:r w:rsidRPr="00A02BEA">
              <w:rPr>
                <w:rFonts w:ascii="Segoe UI" w:hAnsi="Segoe UI" w:cs="Segoe UI"/>
                <w:b/>
                <w:color w:val="014171"/>
                <w:sz w:val="18"/>
                <w:szCs w:val="18"/>
                <w:lang w:val="de-DE" w:eastAsia="en-GB"/>
              </w:rPr>
              <w:t>--</w:t>
            </w:r>
          </w:p>
        </w:tc>
      </w:tr>
      <w:tr w:rsidR="00604DDF" w:rsidRPr="00DA628A" w14:paraId="42403B12" w14:textId="77777777" w:rsidTr="00A02BEA">
        <w:trPr>
          <w:trHeight w:val="142"/>
          <w:jc w:val="center"/>
        </w:trPr>
        <w:tc>
          <w:tcPr>
            <w:tcW w:w="567" w:type="dxa"/>
            <w:tcBorders>
              <w:top w:val="single" w:sz="4" w:space="0" w:color="014171"/>
              <w:bottom w:val="single" w:sz="4" w:space="0" w:color="014171"/>
            </w:tcBorders>
          </w:tcPr>
          <w:p w14:paraId="728C2EF8" w14:textId="5809AF44" w:rsidR="00DA628A" w:rsidRPr="0074724B" w:rsidRDefault="00DA628A" w:rsidP="00DA628A">
            <w:pPr>
              <w:autoSpaceDE w:val="0"/>
              <w:autoSpaceDN w:val="0"/>
              <w:adjustRightInd w:val="0"/>
              <w:spacing w:after="0"/>
              <w:jc w:val="both"/>
              <w:rPr>
                <w:rFonts w:ascii="Segoe UI" w:hAnsi="Segoe UI" w:cs="Segoe UI"/>
                <w:color w:val="014171"/>
                <w:sz w:val="18"/>
                <w:szCs w:val="18"/>
                <w:lang w:eastAsia="en-GB"/>
              </w:rPr>
            </w:pPr>
            <w:r w:rsidRPr="0074724B">
              <w:rPr>
                <w:rFonts w:ascii="Segoe UI" w:hAnsi="Segoe UI" w:cs="Segoe UI"/>
                <w:color w:val="014171"/>
                <w:sz w:val="18"/>
                <w:szCs w:val="18"/>
                <w:lang w:eastAsia="en-GB"/>
              </w:rPr>
              <w:t>25</w:t>
            </w:r>
          </w:p>
        </w:tc>
        <w:tc>
          <w:tcPr>
            <w:tcW w:w="5103" w:type="dxa"/>
            <w:tcBorders>
              <w:top w:val="single" w:sz="4" w:space="0" w:color="014171"/>
              <w:bottom w:val="single" w:sz="4" w:space="0" w:color="014171"/>
            </w:tcBorders>
          </w:tcPr>
          <w:p w14:paraId="06F2C45A" w14:textId="5A5B4E69"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paid upfront</w:t>
            </w:r>
          </w:p>
        </w:tc>
        <w:tc>
          <w:tcPr>
            <w:tcW w:w="1843" w:type="dxa"/>
            <w:tcBorders>
              <w:top w:val="single" w:sz="4" w:space="0" w:color="014171"/>
              <w:bottom w:val="single" w:sz="4" w:space="0" w:color="014171"/>
            </w:tcBorders>
          </w:tcPr>
          <w:p w14:paraId="2A6365AC" w14:textId="3E8DB643" w:rsidR="00DA628A" w:rsidRPr="0074724B" w:rsidRDefault="00604DDF" w:rsidP="00A02BEA">
            <w:pPr>
              <w:autoSpaceDE w:val="0"/>
              <w:autoSpaceDN w:val="0"/>
              <w:adjustRightInd w:val="0"/>
              <w:spacing w:after="0"/>
              <w:jc w:val="right"/>
              <w:rPr>
                <w:rFonts w:ascii="Segoe UI" w:hAnsi="Segoe UI" w:cs="Segoe UI"/>
                <w:color w:val="014171"/>
                <w:sz w:val="18"/>
                <w:szCs w:val="18"/>
              </w:rPr>
            </w:pPr>
            <w:r>
              <w:rPr>
                <w:rFonts w:ascii="Segoe UI" w:hAnsi="Segoe UI" w:cs="Segoe UI"/>
                <w:color w:val="014171"/>
                <w:sz w:val="18"/>
                <w:szCs w:val="18"/>
                <w:lang w:val="de-DE" w:eastAsia="en-GB"/>
              </w:rPr>
              <w:t>--</w:t>
            </w:r>
          </w:p>
        </w:tc>
      </w:tr>
      <w:tr w:rsidR="00604DDF" w:rsidRPr="00DA628A" w14:paraId="5BC30F9B" w14:textId="77777777" w:rsidTr="00A02BEA">
        <w:trPr>
          <w:trHeight w:val="142"/>
          <w:jc w:val="center"/>
        </w:trPr>
        <w:tc>
          <w:tcPr>
            <w:tcW w:w="567" w:type="dxa"/>
            <w:tcBorders>
              <w:top w:val="single" w:sz="4" w:space="0" w:color="014171"/>
              <w:bottom w:val="single" w:sz="4" w:space="0" w:color="014171"/>
            </w:tcBorders>
          </w:tcPr>
          <w:p w14:paraId="73972D9E" w14:textId="6436E0F1" w:rsidR="00DA628A" w:rsidRPr="00DA628A" w:rsidRDefault="00DA628A" w:rsidP="00DA628A">
            <w:pPr>
              <w:autoSpaceDE w:val="0"/>
              <w:autoSpaceDN w:val="0"/>
              <w:adjustRightInd w:val="0"/>
              <w:spacing w:after="0"/>
              <w:jc w:val="both"/>
              <w:rPr>
                <w:rFonts w:ascii="Segoe UI" w:hAnsi="Segoe UI" w:cs="Segoe UI"/>
                <w:color w:val="014171"/>
                <w:sz w:val="18"/>
                <w:szCs w:val="18"/>
                <w:lang w:eastAsia="en-GB"/>
              </w:rPr>
            </w:pPr>
            <w:r w:rsidRPr="00DA628A">
              <w:rPr>
                <w:rFonts w:ascii="Segoe UI" w:hAnsi="Segoe UI" w:cs="Segoe UI"/>
                <w:color w:val="014171"/>
                <w:sz w:val="18"/>
                <w:szCs w:val="18"/>
                <w:lang w:eastAsia="en-GB"/>
              </w:rPr>
              <w:t>26</w:t>
            </w:r>
          </w:p>
        </w:tc>
        <w:tc>
          <w:tcPr>
            <w:tcW w:w="5103" w:type="dxa"/>
            <w:tcBorders>
              <w:top w:val="single" w:sz="4" w:space="0" w:color="014171"/>
              <w:bottom w:val="single" w:sz="4" w:space="0" w:color="014171"/>
            </w:tcBorders>
          </w:tcPr>
          <w:p w14:paraId="09BDF0CD" w14:textId="7BDBED2E"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of which, deferred</w:t>
            </w:r>
          </w:p>
        </w:tc>
        <w:tc>
          <w:tcPr>
            <w:tcW w:w="1843" w:type="dxa"/>
            <w:tcBorders>
              <w:top w:val="single" w:sz="4" w:space="0" w:color="014171"/>
              <w:bottom w:val="single" w:sz="4" w:space="0" w:color="014171"/>
            </w:tcBorders>
          </w:tcPr>
          <w:p w14:paraId="56CB9940" w14:textId="0261DDDA" w:rsidR="00DA628A" w:rsidRPr="0074724B" w:rsidRDefault="00604DDF" w:rsidP="00A02BEA">
            <w:pPr>
              <w:autoSpaceDE w:val="0"/>
              <w:autoSpaceDN w:val="0"/>
              <w:adjustRightInd w:val="0"/>
              <w:spacing w:after="0"/>
              <w:jc w:val="right"/>
              <w:rPr>
                <w:rFonts w:ascii="Segoe UI" w:hAnsi="Segoe UI" w:cs="Segoe UI"/>
                <w:color w:val="014171"/>
                <w:sz w:val="18"/>
                <w:szCs w:val="18"/>
              </w:rPr>
            </w:pPr>
            <w:r>
              <w:rPr>
                <w:rFonts w:ascii="Segoe UI" w:hAnsi="Segoe UI" w:cs="Segoe UI"/>
                <w:color w:val="014171"/>
                <w:sz w:val="18"/>
                <w:szCs w:val="18"/>
                <w:lang w:val="de-DE" w:eastAsia="en-GB"/>
              </w:rPr>
              <w:t>--</w:t>
            </w:r>
          </w:p>
        </w:tc>
      </w:tr>
      <w:tr w:rsidR="00604DDF" w:rsidRPr="00DA628A" w14:paraId="21275DB9" w14:textId="77777777" w:rsidTr="00A02BEA">
        <w:trPr>
          <w:trHeight w:val="142"/>
          <w:jc w:val="center"/>
        </w:trPr>
        <w:tc>
          <w:tcPr>
            <w:tcW w:w="567" w:type="dxa"/>
            <w:tcBorders>
              <w:top w:val="single" w:sz="4" w:space="0" w:color="014171"/>
              <w:bottom w:val="single" w:sz="4" w:space="0" w:color="014171"/>
            </w:tcBorders>
          </w:tcPr>
          <w:p w14:paraId="371C3DDC" w14:textId="061BF344" w:rsidR="00DA628A" w:rsidRPr="00DA628A" w:rsidRDefault="00DA628A" w:rsidP="00DA628A">
            <w:pPr>
              <w:autoSpaceDE w:val="0"/>
              <w:autoSpaceDN w:val="0"/>
              <w:adjustRightInd w:val="0"/>
              <w:spacing w:after="0"/>
              <w:jc w:val="both"/>
              <w:rPr>
                <w:rFonts w:ascii="Segoe UI" w:hAnsi="Segoe UI" w:cs="Segoe UI"/>
                <w:color w:val="014171"/>
                <w:sz w:val="18"/>
                <w:szCs w:val="18"/>
                <w:lang w:eastAsia="en-GB"/>
              </w:rPr>
            </w:pPr>
            <w:r w:rsidRPr="00DA628A">
              <w:rPr>
                <w:rFonts w:ascii="Segoe UI" w:hAnsi="Segoe UI" w:cs="Segoe UI"/>
                <w:color w:val="014171"/>
                <w:sz w:val="18"/>
                <w:szCs w:val="18"/>
                <w:lang w:eastAsia="en-GB"/>
              </w:rPr>
              <w:t>27</w:t>
            </w:r>
          </w:p>
        </w:tc>
        <w:tc>
          <w:tcPr>
            <w:tcW w:w="5103" w:type="dxa"/>
            <w:tcBorders>
              <w:top w:val="single" w:sz="4" w:space="0" w:color="014171"/>
              <w:bottom w:val="single" w:sz="4" w:space="0" w:color="014171"/>
            </w:tcBorders>
          </w:tcPr>
          <w:p w14:paraId="517DEB2D" w14:textId="3F26F226"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Number of beneficiaries</w:t>
            </w:r>
          </w:p>
        </w:tc>
        <w:tc>
          <w:tcPr>
            <w:tcW w:w="1843" w:type="dxa"/>
            <w:tcBorders>
              <w:top w:val="single" w:sz="4" w:space="0" w:color="014171"/>
              <w:bottom w:val="single" w:sz="4" w:space="0" w:color="014171"/>
            </w:tcBorders>
          </w:tcPr>
          <w:p w14:paraId="66B3F769" w14:textId="55C3982D" w:rsidR="00DA628A" w:rsidRPr="0074724B" w:rsidRDefault="00604DDF" w:rsidP="00A02BEA">
            <w:pPr>
              <w:autoSpaceDE w:val="0"/>
              <w:autoSpaceDN w:val="0"/>
              <w:adjustRightInd w:val="0"/>
              <w:spacing w:after="0"/>
              <w:jc w:val="right"/>
              <w:rPr>
                <w:rFonts w:ascii="Segoe UI" w:hAnsi="Segoe UI" w:cs="Segoe UI"/>
                <w:color w:val="014171"/>
                <w:sz w:val="18"/>
                <w:szCs w:val="18"/>
              </w:rPr>
            </w:pPr>
            <w:r>
              <w:rPr>
                <w:rFonts w:ascii="Segoe UI" w:hAnsi="Segoe UI" w:cs="Segoe UI"/>
                <w:color w:val="014171"/>
                <w:sz w:val="18"/>
                <w:szCs w:val="18"/>
                <w:lang w:val="de-DE" w:eastAsia="en-GB"/>
              </w:rPr>
              <w:t>--</w:t>
            </w:r>
          </w:p>
        </w:tc>
      </w:tr>
      <w:tr w:rsidR="00DA628A" w:rsidRPr="00DA628A" w14:paraId="16D34651" w14:textId="77777777" w:rsidTr="00A02BEA">
        <w:trPr>
          <w:trHeight w:val="142"/>
          <w:jc w:val="center"/>
        </w:trPr>
        <w:tc>
          <w:tcPr>
            <w:tcW w:w="567" w:type="dxa"/>
            <w:tcBorders>
              <w:top w:val="single" w:sz="4" w:space="0" w:color="014171"/>
              <w:bottom w:val="single" w:sz="12" w:space="0" w:color="014171"/>
            </w:tcBorders>
          </w:tcPr>
          <w:p w14:paraId="3BF24F30" w14:textId="3020F24E" w:rsidR="00DA628A" w:rsidRPr="00DA628A" w:rsidRDefault="00DA628A" w:rsidP="00DA628A">
            <w:pPr>
              <w:autoSpaceDE w:val="0"/>
              <w:autoSpaceDN w:val="0"/>
              <w:adjustRightInd w:val="0"/>
              <w:spacing w:after="0"/>
              <w:jc w:val="both"/>
              <w:rPr>
                <w:rFonts w:ascii="Segoe UI" w:hAnsi="Segoe UI" w:cs="Segoe UI"/>
                <w:color w:val="014171"/>
                <w:sz w:val="18"/>
                <w:szCs w:val="18"/>
                <w:lang w:eastAsia="en-GB"/>
              </w:rPr>
            </w:pPr>
            <w:r w:rsidRPr="00DA628A">
              <w:rPr>
                <w:rFonts w:ascii="Segoe UI" w:hAnsi="Segoe UI" w:cs="Segoe UI"/>
                <w:color w:val="014171"/>
                <w:sz w:val="18"/>
                <w:szCs w:val="18"/>
                <w:lang w:eastAsia="en-GB"/>
              </w:rPr>
              <w:t>28</w:t>
            </w:r>
          </w:p>
        </w:tc>
        <w:tc>
          <w:tcPr>
            <w:tcW w:w="5103" w:type="dxa"/>
            <w:tcBorders>
              <w:top w:val="single" w:sz="4" w:space="0" w:color="014171"/>
              <w:bottom w:val="single" w:sz="12" w:space="0" w:color="014171"/>
            </w:tcBorders>
          </w:tcPr>
          <w:p w14:paraId="59D4C8C4" w14:textId="77874C35" w:rsidR="00DA628A" w:rsidRPr="0074724B" w:rsidRDefault="00DA628A" w:rsidP="00A02BEA">
            <w:pPr>
              <w:autoSpaceDE w:val="0"/>
              <w:autoSpaceDN w:val="0"/>
              <w:adjustRightInd w:val="0"/>
              <w:spacing w:after="0"/>
              <w:ind w:left="113"/>
              <w:jc w:val="both"/>
              <w:rPr>
                <w:rFonts w:ascii="Segoe UI" w:hAnsi="Segoe UI" w:cs="Segoe UI"/>
                <w:color w:val="014171"/>
                <w:sz w:val="18"/>
                <w:szCs w:val="18"/>
              </w:rPr>
            </w:pPr>
            <w:r w:rsidRPr="00A02BEA">
              <w:rPr>
                <w:rFonts w:ascii="Segoe UI" w:hAnsi="Segoe UI" w:cs="Segoe UI"/>
                <w:color w:val="014171"/>
                <w:sz w:val="18"/>
                <w:szCs w:val="18"/>
              </w:rPr>
              <w:t>Highest amount awarded to a single person</w:t>
            </w:r>
          </w:p>
        </w:tc>
        <w:tc>
          <w:tcPr>
            <w:tcW w:w="1843" w:type="dxa"/>
            <w:tcBorders>
              <w:top w:val="single" w:sz="4" w:space="0" w:color="014171"/>
              <w:bottom w:val="single" w:sz="12" w:space="0" w:color="014171"/>
            </w:tcBorders>
          </w:tcPr>
          <w:p w14:paraId="5326E95C" w14:textId="2EFD0B1A" w:rsidR="00DA628A" w:rsidRPr="0074724B" w:rsidRDefault="00604DDF" w:rsidP="00A02BEA">
            <w:pPr>
              <w:autoSpaceDE w:val="0"/>
              <w:autoSpaceDN w:val="0"/>
              <w:adjustRightInd w:val="0"/>
              <w:spacing w:after="0"/>
              <w:jc w:val="right"/>
              <w:rPr>
                <w:rFonts w:ascii="Segoe UI" w:hAnsi="Segoe UI" w:cs="Segoe UI"/>
                <w:color w:val="014171"/>
                <w:sz w:val="18"/>
                <w:szCs w:val="18"/>
                <w:lang w:eastAsia="en-GB"/>
              </w:rPr>
            </w:pPr>
            <w:r>
              <w:rPr>
                <w:rFonts w:ascii="Segoe UI" w:hAnsi="Segoe UI" w:cs="Segoe UI"/>
                <w:color w:val="014171"/>
                <w:sz w:val="18"/>
                <w:szCs w:val="18"/>
                <w:lang w:val="de-DE" w:eastAsia="en-GB"/>
              </w:rPr>
              <w:t>--</w:t>
            </w:r>
          </w:p>
        </w:tc>
      </w:tr>
    </w:tbl>
    <w:p w14:paraId="65D25DBF" w14:textId="77777777" w:rsidR="00DA628A" w:rsidRPr="00A02BEA" w:rsidRDefault="00DA628A" w:rsidP="006420E8">
      <w:pPr>
        <w:spacing w:after="0" w:line="240" w:lineRule="auto"/>
        <w:jc w:val="center"/>
        <w:rPr>
          <w:rFonts w:ascii="Segoe UI" w:hAnsi="Segoe UI" w:cs="Segoe UI"/>
          <w:color w:val="014171"/>
        </w:rPr>
      </w:pPr>
    </w:p>
    <w:p w14:paraId="3C6EBA52" w14:textId="77777777" w:rsidR="007E476A" w:rsidRPr="00A02BEA" w:rsidRDefault="007E476A" w:rsidP="00A02BEA">
      <w:pPr>
        <w:pStyle w:val="Heading2"/>
      </w:pPr>
      <w:bookmarkStart w:id="121" w:name="_Toc120891050"/>
      <w:bookmarkStart w:id="122" w:name="_Toc122626079"/>
      <w:bookmarkEnd w:id="121"/>
      <w:r w:rsidRPr="00A02BEA">
        <w:t>Statement on Exemptions</w:t>
      </w:r>
      <w:bookmarkEnd w:id="122"/>
    </w:p>
    <w:p w14:paraId="538AA6C6" w14:textId="0C83CE7F" w:rsidR="007E476A" w:rsidRDefault="007E476A" w:rsidP="007E476A">
      <w:pPr>
        <w:spacing w:after="0"/>
        <w:jc w:val="both"/>
        <w:rPr>
          <w:rFonts w:ascii="Segoe UI" w:hAnsi="Segoe UI" w:cs="Segoe UI"/>
          <w:color w:val="014171"/>
        </w:rPr>
      </w:pPr>
      <w:r>
        <w:rPr>
          <w:rFonts w:ascii="Segoe UI" w:hAnsi="Segoe UI" w:cs="Segoe UI"/>
          <w:color w:val="014171"/>
        </w:rPr>
        <w:t xml:space="preserve">In line with article 51 (d) IFR, the Firm comments </w:t>
      </w:r>
      <w:r w:rsidRPr="007E476A">
        <w:rPr>
          <w:rFonts w:ascii="Segoe UI" w:hAnsi="Segoe UI" w:cs="Segoe UI"/>
          <w:color w:val="014171"/>
        </w:rPr>
        <w:t xml:space="preserve">on whether </w:t>
      </w:r>
      <w:r>
        <w:rPr>
          <w:rFonts w:ascii="Segoe UI" w:hAnsi="Segoe UI" w:cs="Segoe UI"/>
          <w:color w:val="014171"/>
        </w:rPr>
        <w:t>it</w:t>
      </w:r>
      <w:r w:rsidRPr="007E476A">
        <w:rPr>
          <w:rFonts w:ascii="Segoe UI" w:hAnsi="Segoe UI" w:cs="Segoe UI"/>
          <w:color w:val="014171"/>
        </w:rPr>
        <w:t xml:space="preserve"> benefits from a der</w:t>
      </w:r>
      <w:r>
        <w:rPr>
          <w:rFonts w:ascii="Segoe UI" w:hAnsi="Segoe UI" w:cs="Segoe UI"/>
          <w:color w:val="014171"/>
        </w:rPr>
        <w:t>ogation laid down in a</w:t>
      </w:r>
      <w:r w:rsidRPr="007E476A">
        <w:rPr>
          <w:rFonts w:ascii="Segoe UI" w:hAnsi="Segoe UI" w:cs="Segoe UI"/>
          <w:color w:val="014171"/>
        </w:rPr>
        <w:t>rticle 32</w:t>
      </w:r>
      <w:r>
        <w:rPr>
          <w:rFonts w:ascii="Segoe UI" w:hAnsi="Segoe UI" w:cs="Segoe UI"/>
          <w:color w:val="014171"/>
        </w:rPr>
        <w:t xml:space="preserve"> </w:t>
      </w:r>
      <w:r w:rsidRPr="007E476A">
        <w:rPr>
          <w:rFonts w:ascii="Segoe UI" w:hAnsi="Segoe UI" w:cs="Segoe UI"/>
          <w:color w:val="014171"/>
        </w:rPr>
        <w:t>(4)</w:t>
      </w:r>
      <w:r>
        <w:rPr>
          <w:rFonts w:ascii="Segoe UI" w:hAnsi="Segoe UI" w:cs="Segoe UI"/>
          <w:color w:val="014171"/>
        </w:rPr>
        <w:t xml:space="preserve"> IFD</w:t>
      </w:r>
      <w:r w:rsidR="00142A3D">
        <w:rPr>
          <w:rFonts w:ascii="Segoe UI" w:hAnsi="Segoe UI" w:cs="Segoe UI"/>
          <w:color w:val="014171"/>
        </w:rPr>
        <w:t>.</w:t>
      </w:r>
    </w:p>
    <w:p w14:paraId="420E8750" w14:textId="4BAD6B11" w:rsidR="00142A3D" w:rsidRDefault="007E476A" w:rsidP="0074724B">
      <w:pPr>
        <w:spacing w:after="0"/>
        <w:jc w:val="both"/>
        <w:rPr>
          <w:rFonts w:ascii="Segoe UI" w:hAnsi="Segoe UI" w:cs="Segoe UI"/>
          <w:color w:val="014171"/>
        </w:rPr>
      </w:pPr>
      <w:r w:rsidRPr="007E476A">
        <w:rPr>
          <w:rFonts w:ascii="Segoe UI" w:hAnsi="Segoe UI" w:cs="Segoe UI"/>
          <w:color w:val="014171"/>
        </w:rPr>
        <w:t xml:space="preserve">DCMD </w:t>
      </w:r>
      <w:r>
        <w:rPr>
          <w:rFonts w:ascii="Segoe UI" w:hAnsi="Segoe UI" w:cs="Segoe UI"/>
          <w:color w:val="014171"/>
        </w:rPr>
        <w:t xml:space="preserve">exceeds the balance sheet threshold of </w:t>
      </w:r>
      <w:r w:rsidRPr="007E476A">
        <w:rPr>
          <w:rFonts w:ascii="Segoe UI" w:hAnsi="Segoe UI" w:cs="Segoe UI"/>
          <w:color w:val="014171"/>
        </w:rPr>
        <w:t>EUR 100 million over the four‐year period immediately preceding the given financial year</w:t>
      </w:r>
      <w:r>
        <w:rPr>
          <w:rFonts w:ascii="Segoe UI" w:hAnsi="Segoe UI" w:cs="Segoe UI"/>
          <w:color w:val="014171"/>
        </w:rPr>
        <w:t xml:space="preserve"> as outlined in </w:t>
      </w:r>
      <w:r w:rsidRPr="007E476A">
        <w:rPr>
          <w:rFonts w:ascii="Segoe UI" w:hAnsi="Segoe UI" w:cs="Segoe UI"/>
          <w:color w:val="014171"/>
        </w:rPr>
        <w:t>article 32 (4</w:t>
      </w:r>
      <w:r w:rsidR="0074724B">
        <w:rPr>
          <w:rFonts w:ascii="Segoe UI" w:hAnsi="Segoe UI" w:cs="Segoe UI"/>
          <w:color w:val="014171"/>
        </w:rPr>
        <w:t xml:space="preserve"> </w:t>
      </w:r>
      <w:r>
        <w:rPr>
          <w:rFonts w:ascii="Segoe UI" w:hAnsi="Segoe UI" w:cs="Segoe UI"/>
          <w:color w:val="014171"/>
        </w:rPr>
        <w:t>a)</w:t>
      </w:r>
      <w:r w:rsidRPr="007E476A">
        <w:rPr>
          <w:rFonts w:ascii="Segoe UI" w:hAnsi="Segoe UI" w:cs="Segoe UI"/>
          <w:color w:val="014171"/>
        </w:rPr>
        <w:t xml:space="preserve"> IFD</w:t>
      </w:r>
      <w:r w:rsidR="00142A3D">
        <w:rPr>
          <w:rFonts w:ascii="Segoe UI" w:hAnsi="Segoe UI" w:cs="Segoe UI"/>
          <w:color w:val="014171"/>
        </w:rPr>
        <w:t>.</w:t>
      </w:r>
    </w:p>
    <w:p w14:paraId="77988BA4" w14:textId="77777777" w:rsidR="00D621BA" w:rsidRDefault="00D621BA" w:rsidP="0074724B">
      <w:pPr>
        <w:spacing w:after="0"/>
        <w:jc w:val="both"/>
        <w:rPr>
          <w:rFonts w:ascii="Segoe UI" w:hAnsi="Segoe UI" w:cs="Segoe UI"/>
          <w:color w:val="014171"/>
        </w:rPr>
      </w:pPr>
    </w:p>
    <w:p w14:paraId="56F15353" w14:textId="686EA40E" w:rsidR="00D621BA" w:rsidRDefault="00D621BA" w:rsidP="0074724B">
      <w:pPr>
        <w:spacing w:after="0"/>
        <w:jc w:val="both"/>
        <w:rPr>
          <w:rFonts w:ascii="Segoe UI" w:hAnsi="Segoe UI" w:cs="Segoe UI"/>
          <w:color w:val="014171"/>
        </w:rPr>
      </w:pPr>
      <w:r>
        <w:rPr>
          <w:rFonts w:ascii="Segoe UI" w:hAnsi="Segoe UI" w:cs="Segoe UI"/>
          <w:color w:val="014171"/>
        </w:rPr>
        <w:t>As described DCMD has based its remuneration policy still on the old IVV 3.0 rules and not on the new drafted WVV rules. No exemptions are used based on IVV 3.0. This approach has been reviewed and accepted by our year end auditor.</w:t>
      </w:r>
    </w:p>
    <w:p w14:paraId="137C41DB" w14:textId="5573BA6D" w:rsidR="005E700B" w:rsidRDefault="005E700B" w:rsidP="0074724B">
      <w:pPr>
        <w:spacing w:after="0"/>
        <w:jc w:val="both"/>
        <w:rPr>
          <w:rFonts w:ascii="Segoe UI" w:hAnsi="Segoe UI" w:cs="Segoe UI"/>
          <w:color w:val="014171"/>
        </w:rPr>
      </w:pPr>
      <w:r w:rsidRPr="00A02BEA">
        <w:rPr>
          <w:rFonts w:ascii="Segoe UI" w:hAnsi="Segoe UI" w:cs="Segoe UI"/>
          <w:color w:val="014171"/>
          <w:highlight w:val="yellow"/>
        </w:rPr>
        <w:br w:type="page"/>
      </w:r>
    </w:p>
    <w:p w14:paraId="567BDD44" w14:textId="17EDA915" w:rsidR="005E700B" w:rsidRPr="00A02BEA" w:rsidRDefault="005E700B" w:rsidP="00A02BEA">
      <w:pPr>
        <w:pStyle w:val="Heading1"/>
      </w:pPr>
      <w:bookmarkStart w:id="123" w:name="_Toc122626080"/>
      <w:r w:rsidRPr="00A02BEA">
        <w:lastRenderedPageBreak/>
        <w:t>Investment Policy (Article 52 IFR)</w:t>
      </w:r>
      <w:bookmarkEnd w:id="123"/>
    </w:p>
    <w:bookmarkEnd w:id="120"/>
    <w:p w14:paraId="279E81F4" w14:textId="446457E2" w:rsidR="005E700B" w:rsidRDefault="0074724B">
      <w:pPr>
        <w:spacing w:after="0"/>
        <w:jc w:val="both"/>
        <w:rPr>
          <w:rFonts w:ascii="Segoe UI" w:hAnsi="Segoe UI" w:cs="Segoe UI"/>
          <w:color w:val="014171"/>
        </w:rPr>
      </w:pPr>
      <w:r w:rsidRPr="0074724B">
        <w:rPr>
          <w:rFonts w:ascii="Segoe UI" w:hAnsi="Segoe UI" w:cs="Segoe UI"/>
          <w:color w:val="014171"/>
        </w:rPr>
        <w:t xml:space="preserve">DCMD exceeds the balance sheet threshold of EUR 100 million over the four‐year period immediately preceding the given financial year as </w:t>
      </w:r>
      <w:r>
        <w:rPr>
          <w:rFonts w:ascii="Segoe UI" w:hAnsi="Segoe UI" w:cs="Segoe UI"/>
          <w:color w:val="014171"/>
        </w:rPr>
        <w:t>outlined in article 32 (4 a) IFD and</w:t>
      </w:r>
      <w:r w:rsidR="00A841B7">
        <w:rPr>
          <w:rFonts w:ascii="Segoe UI" w:hAnsi="Segoe UI" w:cs="Segoe UI"/>
          <w:color w:val="014171"/>
        </w:rPr>
        <w:t xml:space="preserve"> referred to in </w:t>
      </w:r>
      <w:r>
        <w:rPr>
          <w:rFonts w:ascii="Segoe UI" w:hAnsi="Segoe UI" w:cs="Segoe UI"/>
          <w:color w:val="014171"/>
        </w:rPr>
        <w:t>article 52 (1) IFR, which</w:t>
      </w:r>
      <w:r w:rsidR="005E700B" w:rsidRPr="005E700B">
        <w:rPr>
          <w:rFonts w:ascii="Segoe UI" w:hAnsi="Segoe UI" w:cs="Segoe UI"/>
          <w:color w:val="014171"/>
        </w:rPr>
        <w:t xml:space="preserve"> </w:t>
      </w:r>
      <w:r w:rsidR="00A841B7">
        <w:rPr>
          <w:rFonts w:ascii="Segoe UI" w:hAnsi="Segoe UI" w:cs="Segoe UI"/>
          <w:color w:val="014171"/>
        </w:rPr>
        <w:t xml:space="preserve">means </w:t>
      </w:r>
      <w:r>
        <w:rPr>
          <w:rFonts w:ascii="Segoe UI" w:hAnsi="Segoe UI" w:cs="Segoe UI"/>
          <w:color w:val="014171"/>
        </w:rPr>
        <w:t>DCMD</w:t>
      </w:r>
      <w:r w:rsidR="00A841B7">
        <w:rPr>
          <w:rFonts w:ascii="Segoe UI" w:hAnsi="Segoe UI" w:cs="Segoe UI"/>
          <w:color w:val="014171"/>
        </w:rPr>
        <w:t xml:space="preserve"> </w:t>
      </w:r>
      <w:r>
        <w:rPr>
          <w:rFonts w:ascii="Segoe UI" w:hAnsi="Segoe UI" w:cs="Segoe UI"/>
          <w:color w:val="014171"/>
        </w:rPr>
        <w:t>is obliged</w:t>
      </w:r>
      <w:r w:rsidR="00A841B7">
        <w:rPr>
          <w:rFonts w:ascii="Segoe UI" w:hAnsi="Segoe UI" w:cs="Segoe UI"/>
          <w:color w:val="014171"/>
        </w:rPr>
        <w:t xml:space="preserve"> to make a disclosure</w:t>
      </w:r>
      <w:r w:rsidR="005E700B" w:rsidRPr="005E700B">
        <w:rPr>
          <w:rFonts w:ascii="Segoe UI" w:hAnsi="Segoe UI" w:cs="Segoe UI"/>
          <w:color w:val="014171"/>
        </w:rPr>
        <w:t xml:space="preserve"> in regard to </w:t>
      </w:r>
      <w:r w:rsidR="00A841B7">
        <w:rPr>
          <w:rFonts w:ascii="Segoe UI" w:hAnsi="Segoe UI" w:cs="Segoe UI"/>
          <w:color w:val="014171"/>
        </w:rPr>
        <w:t>its Investment Policy as outlined in article 52 IFR.</w:t>
      </w:r>
    </w:p>
    <w:p w14:paraId="668E3BF9" w14:textId="77777777" w:rsidR="00A841B7" w:rsidRDefault="00A841B7">
      <w:pPr>
        <w:spacing w:after="0"/>
        <w:jc w:val="both"/>
        <w:rPr>
          <w:rFonts w:ascii="Segoe UI" w:hAnsi="Segoe UI" w:cs="Segoe UI"/>
          <w:color w:val="014171"/>
        </w:rPr>
      </w:pPr>
    </w:p>
    <w:p w14:paraId="65CB0A9D" w14:textId="15BEB8B7" w:rsidR="00A841B7" w:rsidRDefault="00A841B7">
      <w:pPr>
        <w:spacing w:after="0"/>
        <w:jc w:val="both"/>
        <w:rPr>
          <w:rFonts w:ascii="Segoe UI" w:hAnsi="Segoe UI" w:cs="Segoe UI"/>
          <w:color w:val="014171"/>
        </w:rPr>
      </w:pPr>
      <w:r>
        <w:rPr>
          <w:rFonts w:ascii="Segoe UI" w:hAnsi="Segoe UI" w:cs="Segoe UI"/>
          <w:color w:val="014171"/>
        </w:rPr>
        <w:t xml:space="preserve">According to </w:t>
      </w:r>
      <w:r w:rsidR="0074724B">
        <w:rPr>
          <w:rFonts w:ascii="Segoe UI" w:hAnsi="Segoe UI" w:cs="Segoe UI"/>
          <w:color w:val="014171"/>
        </w:rPr>
        <w:t>article 52 (1</w:t>
      </w:r>
      <w:r w:rsidRPr="005E700B">
        <w:rPr>
          <w:rFonts w:ascii="Segoe UI" w:hAnsi="Segoe UI" w:cs="Segoe UI"/>
          <w:color w:val="014171"/>
        </w:rPr>
        <w:t xml:space="preserve"> </w:t>
      </w:r>
      <w:r>
        <w:rPr>
          <w:rFonts w:ascii="Segoe UI" w:hAnsi="Segoe UI" w:cs="Segoe UI"/>
          <w:color w:val="014171"/>
        </w:rPr>
        <w:t>a-d</w:t>
      </w:r>
      <w:r w:rsidR="0074724B">
        <w:rPr>
          <w:rFonts w:ascii="Segoe UI" w:hAnsi="Segoe UI" w:cs="Segoe UI"/>
          <w:color w:val="014171"/>
        </w:rPr>
        <w:t>)</w:t>
      </w:r>
      <w:r>
        <w:rPr>
          <w:rFonts w:ascii="Segoe UI" w:hAnsi="Segoe UI" w:cs="Segoe UI"/>
          <w:color w:val="014171"/>
        </w:rPr>
        <w:t xml:space="preserve"> </w:t>
      </w:r>
      <w:r w:rsidRPr="005E700B">
        <w:rPr>
          <w:rFonts w:ascii="Segoe UI" w:hAnsi="Segoe UI" w:cs="Segoe UI"/>
          <w:color w:val="014171"/>
        </w:rPr>
        <w:t>IFR</w:t>
      </w:r>
      <w:r>
        <w:rPr>
          <w:rFonts w:ascii="Segoe UI" w:hAnsi="Segoe UI" w:cs="Segoe UI"/>
          <w:color w:val="014171"/>
        </w:rPr>
        <w:t>, the following shall be disclosed by the Firm:</w:t>
      </w:r>
    </w:p>
    <w:p w14:paraId="6D68B811" w14:textId="77777777" w:rsidR="006B03D7" w:rsidRDefault="006B03D7">
      <w:pPr>
        <w:spacing w:after="0"/>
        <w:jc w:val="both"/>
        <w:rPr>
          <w:rFonts w:ascii="Segoe UI" w:hAnsi="Segoe UI" w:cs="Segoe UI"/>
          <w:color w:val="014171"/>
        </w:rPr>
      </w:pPr>
    </w:p>
    <w:p w14:paraId="747DDF6F" w14:textId="5969AA10" w:rsidR="00A841B7" w:rsidRPr="00A02BEA" w:rsidRDefault="00A841B7" w:rsidP="00A02BEA">
      <w:pPr>
        <w:pStyle w:val="ListParagraph"/>
        <w:numPr>
          <w:ilvl w:val="0"/>
          <w:numId w:val="97"/>
        </w:numPr>
        <w:spacing w:after="0"/>
        <w:jc w:val="both"/>
        <w:rPr>
          <w:rFonts w:ascii="Segoe UI" w:hAnsi="Segoe UI" w:cs="Segoe UI"/>
          <w:color w:val="014171"/>
        </w:rPr>
      </w:pPr>
      <w:r w:rsidRPr="00A02BEA">
        <w:rPr>
          <w:rFonts w:ascii="Segoe UI" w:hAnsi="Segoe UI" w:cs="Segoe UI"/>
          <w:color w:val="014171"/>
        </w:rPr>
        <w:t>The proportion of voting rights attached to the shares held directly or indirectly by the investment firm, broken down by Member State and sector;</w:t>
      </w:r>
    </w:p>
    <w:p w14:paraId="1BF19A4A" w14:textId="4A3A37DA" w:rsidR="00A841B7" w:rsidRPr="00A02BEA" w:rsidRDefault="00A841B7" w:rsidP="00A02BEA">
      <w:pPr>
        <w:pStyle w:val="ListParagraph"/>
        <w:numPr>
          <w:ilvl w:val="0"/>
          <w:numId w:val="97"/>
        </w:numPr>
        <w:spacing w:after="0"/>
        <w:jc w:val="both"/>
        <w:rPr>
          <w:rFonts w:ascii="Segoe UI" w:hAnsi="Segoe UI" w:cs="Segoe UI"/>
          <w:color w:val="014171"/>
        </w:rPr>
      </w:pPr>
      <w:r w:rsidRPr="00A02BEA">
        <w:rPr>
          <w:rFonts w:ascii="Segoe UI" w:hAnsi="Segoe UI" w:cs="Segoe UI"/>
          <w:color w:val="014171"/>
        </w:rPr>
        <w:t>A complete description of voting behaviour in the general meetings of companies the shares of which are held in accordance with article 52 (2) IFR, an explanation of the votes, and the ratio of proposals put forward by the administrative or management body of the company which the investment firm has approved; and</w:t>
      </w:r>
    </w:p>
    <w:p w14:paraId="1EB8D131" w14:textId="2592A232" w:rsidR="00A841B7" w:rsidRPr="00A02BEA" w:rsidRDefault="00A841B7" w:rsidP="00A02BEA">
      <w:pPr>
        <w:pStyle w:val="ListParagraph"/>
        <w:numPr>
          <w:ilvl w:val="0"/>
          <w:numId w:val="97"/>
        </w:numPr>
        <w:spacing w:after="0"/>
        <w:jc w:val="both"/>
        <w:rPr>
          <w:rFonts w:ascii="Segoe UI" w:hAnsi="Segoe UI" w:cs="Segoe UI"/>
          <w:color w:val="014171"/>
        </w:rPr>
      </w:pPr>
      <w:r w:rsidRPr="00A02BEA">
        <w:rPr>
          <w:rFonts w:ascii="Segoe UI" w:hAnsi="Segoe UI" w:cs="Segoe UI"/>
          <w:color w:val="014171"/>
        </w:rPr>
        <w:t>An explanation of the use of proxy advisor firms;</w:t>
      </w:r>
    </w:p>
    <w:p w14:paraId="4445391E" w14:textId="27862930" w:rsidR="00A841B7" w:rsidRPr="00A02BEA" w:rsidRDefault="00A841B7" w:rsidP="00A02BEA">
      <w:pPr>
        <w:pStyle w:val="ListParagraph"/>
        <w:numPr>
          <w:ilvl w:val="0"/>
          <w:numId w:val="97"/>
        </w:numPr>
        <w:spacing w:after="0"/>
        <w:jc w:val="both"/>
        <w:rPr>
          <w:rFonts w:ascii="Segoe UI" w:hAnsi="Segoe UI" w:cs="Segoe UI"/>
          <w:color w:val="014171"/>
        </w:rPr>
      </w:pPr>
      <w:r w:rsidRPr="00A02BEA">
        <w:rPr>
          <w:rFonts w:ascii="Segoe UI" w:hAnsi="Segoe UI" w:cs="Segoe UI"/>
          <w:color w:val="014171"/>
        </w:rPr>
        <w:t>The voting guidelines regarding the companies the shares of which are held in accordance with article 52 (2) IFR.</w:t>
      </w:r>
    </w:p>
    <w:p w14:paraId="60E6DA2C" w14:textId="2389C664" w:rsidR="00A841B7" w:rsidRDefault="00A841B7" w:rsidP="0074724B">
      <w:pPr>
        <w:spacing w:after="0"/>
        <w:jc w:val="both"/>
        <w:rPr>
          <w:rFonts w:ascii="Segoe UI" w:hAnsi="Segoe UI" w:cs="Segoe UI"/>
          <w:color w:val="014171"/>
        </w:rPr>
      </w:pPr>
    </w:p>
    <w:p w14:paraId="778CAFDC" w14:textId="6B94EDF8" w:rsidR="00A841B7" w:rsidRDefault="00A841B7">
      <w:pPr>
        <w:spacing w:after="0"/>
        <w:jc w:val="both"/>
        <w:rPr>
          <w:rFonts w:ascii="Segoe UI" w:hAnsi="Segoe UI" w:cs="Segoe UI"/>
          <w:color w:val="014171"/>
        </w:rPr>
      </w:pPr>
      <w:r w:rsidRPr="00A841B7">
        <w:rPr>
          <w:rFonts w:ascii="Segoe UI" w:hAnsi="Segoe UI" w:cs="Segoe UI"/>
          <w:color w:val="014171"/>
        </w:rPr>
        <w:t>According to article 52 (2</w:t>
      </w:r>
      <w:r>
        <w:rPr>
          <w:rFonts w:ascii="Segoe UI" w:hAnsi="Segoe UI" w:cs="Segoe UI"/>
          <w:color w:val="014171"/>
        </w:rPr>
        <w:t>)</w:t>
      </w:r>
      <w:r w:rsidRPr="00A841B7">
        <w:rPr>
          <w:rFonts w:ascii="Segoe UI" w:hAnsi="Segoe UI" w:cs="Segoe UI"/>
          <w:color w:val="014171"/>
        </w:rPr>
        <w:t xml:space="preserve"> IFR, DCMD has to comply with the ab</w:t>
      </w:r>
      <w:r>
        <w:rPr>
          <w:rFonts w:ascii="Segoe UI" w:hAnsi="Segoe UI" w:cs="Segoe UI"/>
          <w:color w:val="014171"/>
        </w:rPr>
        <w:t>ove disclosure requirements as per</w:t>
      </w:r>
      <w:r w:rsidRPr="00A841B7">
        <w:rPr>
          <w:rFonts w:ascii="Segoe UI" w:hAnsi="Segoe UI" w:cs="Segoe UI"/>
          <w:color w:val="014171"/>
        </w:rPr>
        <w:t xml:space="preserve"> article 52 (1) </w:t>
      </w:r>
      <w:r>
        <w:rPr>
          <w:rFonts w:ascii="Segoe UI" w:hAnsi="Segoe UI" w:cs="Segoe UI"/>
          <w:color w:val="014171"/>
        </w:rPr>
        <w:t xml:space="preserve">IFR </w:t>
      </w:r>
      <w:r w:rsidRPr="00A841B7">
        <w:rPr>
          <w:rFonts w:ascii="Segoe UI" w:hAnsi="Segoe UI" w:cs="Segoe UI"/>
          <w:color w:val="014171"/>
        </w:rPr>
        <w:t>only in respect of each company whose shares are admitted to trading on a regulated market and only in respect of those shares to which voting rights are attached, where the proportion of voting rights that the investment firm directly or indirectly h</w:t>
      </w:r>
      <w:r w:rsidR="001F5707">
        <w:rPr>
          <w:rFonts w:ascii="Segoe UI" w:hAnsi="Segoe UI" w:cs="Segoe UI"/>
          <w:color w:val="014171"/>
        </w:rPr>
        <w:t>olds exceeds the threshold of 5</w:t>
      </w:r>
      <w:r w:rsidRPr="00A841B7">
        <w:rPr>
          <w:rFonts w:ascii="Segoe UI" w:hAnsi="Segoe UI" w:cs="Segoe UI"/>
          <w:color w:val="014171"/>
        </w:rPr>
        <w:t>% of all voting rights attached to the shares issued by the company. Voting rights shall be calculated on the basis of all shares to which voting rights are attached, even if the exercise of those voting rights is suspended.</w:t>
      </w:r>
    </w:p>
    <w:p w14:paraId="6391B176" w14:textId="23574C85" w:rsidR="00A841B7" w:rsidRDefault="00A841B7">
      <w:pPr>
        <w:spacing w:after="0"/>
        <w:jc w:val="both"/>
        <w:rPr>
          <w:rFonts w:ascii="Segoe UI" w:hAnsi="Segoe UI" w:cs="Segoe UI"/>
          <w:color w:val="014171"/>
        </w:rPr>
      </w:pPr>
    </w:p>
    <w:p w14:paraId="436B03C2" w14:textId="7229DA0C" w:rsidR="00FE76DF" w:rsidRDefault="00A841B7" w:rsidP="00A841B7">
      <w:pPr>
        <w:spacing w:after="0"/>
        <w:jc w:val="both"/>
        <w:rPr>
          <w:rFonts w:ascii="Segoe UI" w:hAnsi="Segoe UI" w:cs="Segoe UI"/>
          <w:color w:val="014171"/>
        </w:rPr>
        <w:sectPr w:rsidR="00FE76DF" w:rsidSect="007820D3">
          <w:pgSz w:w="11906" w:h="16838"/>
          <w:pgMar w:top="1560" w:right="1440" w:bottom="1134" w:left="1440" w:header="708" w:footer="599" w:gutter="0"/>
          <w:cols w:space="720"/>
          <w:titlePg/>
          <w:docGrid w:linePitch="360"/>
        </w:sectPr>
      </w:pPr>
      <w:r>
        <w:rPr>
          <w:rFonts w:ascii="Segoe UI" w:hAnsi="Segoe UI" w:cs="Segoe UI"/>
          <w:color w:val="014171"/>
        </w:rPr>
        <w:t>DCMD holds the entirety of its c</w:t>
      </w:r>
      <w:r w:rsidR="007B2203">
        <w:rPr>
          <w:rFonts w:ascii="Segoe UI" w:hAnsi="Segoe UI" w:cs="Segoe UI"/>
          <w:color w:val="014171"/>
        </w:rPr>
        <w:t>apital in cash, diversified</w:t>
      </w:r>
      <w:r>
        <w:rPr>
          <w:rFonts w:ascii="Segoe UI" w:hAnsi="Segoe UI" w:cs="Segoe UI"/>
          <w:color w:val="014171"/>
        </w:rPr>
        <w:t xml:space="preserve"> </w:t>
      </w:r>
      <w:r w:rsidR="007B2203">
        <w:rPr>
          <w:rFonts w:ascii="Segoe UI" w:hAnsi="Segoe UI" w:cs="Segoe UI"/>
          <w:color w:val="014171"/>
        </w:rPr>
        <w:t>across a number of</w:t>
      </w:r>
      <w:r>
        <w:rPr>
          <w:rFonts w:ascii="Segoe UI" w:hAnsi="Segoe UI" w:cs="Segoe UI"/>
          <w:color w:val="014171"/>
        </w:rPr>
        <w:t xml:space="preserve"> nostro accounts with reputable and </w:t>
      </w:r>
      <w:r w:rsidR="006B03D7">
        <w:rPr>
          <w:rFonts w:ascii="Segoe UI" w:hAnsi="Segoe UI" w:cs="Segoe UI"/>
          <w:color w:val="014171"/>
        </w:rPr>
        <w:t>highly-rated financial institutions.</w:t>
      </w:r>
      <w:r w:rsidR="00E87EAD">
        <w:rPr>
          <w:rFonts w:ascii="Segoe UI" w:hAnsi="Segoe UI" w:cs="Segoe UI"/>
          <w:color w:val="014171"/>
        </w:rPr>
        <w:t xml:space="preserve"> The trading positions </w:t>
      </w:r>
      <w:r w:rsidR="008250AE">
        <w:rPr>
          <w:rFonts w:ascii="Segoe UI" w:hAnsi="Segoe UI" w:cs="Segoe UI"/>
          <w:color w:val="014171"/>
        </w:rPr>
        <w:t>are fully hedged on a 100% back-</w:t>
      </w:r>
      <w:r w:rsidR="00E87EAD">
        <w:rPr>
          <w:rFonts w:ascii="Segoe UI" w:hAnsi="Segoe UI" w:cs="Segoe UI"/>
          <w:color w:val="014171"/>
        </w:rPr>
        <w:t xml:space="preserve">to-back approach which results in a flat position every time a trade is done. Therefore </w:t>
      </w:r>
      <w:r w:rsidR="006B03D7">
        <w:rPr>
          <w:rFonts w:ascii="Segoe UI" w:hAnsi="Segoe UI" w:cs="Segoe UI"/>
          <w:color w:val="014171"/>
        </w:rPr>
        <w:t xml:space="preserve">DCMD holds no shares </w:t>
      </w:r>
      <w:r w:rsidR="00E87EAD">
        <w:rPr>
          <w:rFonts w:ascii="Segoe UI" w:hAnsi="Segoe UI" w:cs="Segoe UI"/>
          <w:color w:val="014171"/>
        </w:rPr>
        <w:t xml:space="preserve">(direct or indirect) </w:t>
      </w:r>
      <w:r w:rsidR="006B03D7">
        <w:rPr>
          <w:rFonts w:ascii="Segoe UI" w:hAnsi="Segoe UI" w:cs="Segoe UI"/>
          <w:color w:val="014171"/>
        </w:rPr>
        <w:t>in any legal entity.</w:t>
      </w:r>
    </w:p>
    <w:p w14:paraId="6F32F654" w14:textId="2503BE0F" w:rsidR="006B03D7" w:rsidRPr="00A02BEA" w:rsidRDefault="00FE76DF" w:rsidP="00A02BEA">
      <w:pPr>
        <w:pStyle w:val="Heading1"/>
      </w:pPr>
      <w:bookmarkStart w:id="124" w:name="_Toc122626081"/>
      <w:r w:rsidRPr="00A02BEA">
        <w:lastRenderedPageBreak/>
        <w:t>Environmental, Social and Governance Risks (Article 53 IFR)</w:t>
      </w:r>
      <w:bookmarkEnd w:id="124"/>
    </w:p>
    <w:p w14:paraId="59203173" w14:textId="52E0EC3C" w:rsidR="00FE76DF" w:rsidRPr="00FE76DF" w:rsidRDefault="00FE76DF" w:rsidP="00FE76DF">
      <w:pPr>
        <w:spacing w:after="0"/>
        <w:jc w:val="both"/>
        <w:rPr>
          <w:rFonts w:ascii="Segoe UI" w:hAnsi="Segoe UI" w:cs="Segoe UI"/>
          <w:color w:val="014171"/>
        </w:rPr>
      </w:pPr>
      <w:r w:rsidRPr="00FE76DF">
        <w:rPr>
          <w:rFonts w:ascii="Segoe UI" w:hAnsi="Segoe UI" w:cs="Segoe UI"/>
          <w:color w:val="014171"/>
        </w:rPr>
        <w:t xml:space="preserve">According to article 53 IFR, </w:t>
      </w:r>
      <w:r>
        <w:rPr>
          <w:rFonts w:ascii="Segoe UI" w:hAnsi="Segoe UI" w:cs="Segoe UI"/>
          <w:color w:val="014171"/>
        </w:rPr>
        <w:t>Environmental, Social and G</w:t>
      </w:r>
      <w:r w:rsidRPr="00FE76DF">
        <w:rPr>
          <w:rFonts w:ascii="Segoe UI" w:hAnsi="Segoe UI" w:cs="Segoe UI"/>
          <w:color w:val="014171"/>
        </w:rPr>
        <w:t xml:space="preserve">overnance </w:t>
      </w:r>
      <w:r>
        <w:rPr>
          <w:rFonts w:ascii="Segoe UI" w:hAnsi="Segoe UI" w:cs="Segoe UI"/>
          <w:color w:val="014171"/>
        </w:rPr>
        <w:t xml:space="preserve">(“ESG”) </w:t>
      </w:r>
      <w:r w:rsidRPr="00FE76DF">
        <w:rPr>
          <w:rFonts w:ascii="Segoe UI" w:hAnsi="Segoe UI" w:cs="Segoe UI"/>
          <w:color w:val="014171"/>
        </w:rPr>
        <w:t>risks are to be disclosed for the first time in the year following 26 December 2022 and biannually thereafter.</w:t>
      </w:r>
    </w:p>
    <w:p w14:paraId="60FC540C" w14:textId="77777777" w:rsidR="00FE76DF" w:rsidRDefault="00FE76DF" w:rsidP="0074724B">
      <w:pPr>
        <w:spacing w:after="0"/>
        <w:jc w:val="both"/>
        <w:rPr>
          <w:rFonts w:ascii="Segoe UI" w:hAnsi="Segoe UI" w:cs="Segoe UI"/>
          <w:color w:val="014171"/>
        </w:rPr>
      </w:pPr>
    </w:p>
    <w:p w14:paraId="7BE35EBD" w14:textId="03C5EB1D" w:rsidR="00FE76DF" w:rsidRDefault="00FE76DF">
      <w:pPr>
        <w:spacing w:after="0"/>
        <w:jc w:val="both"/>
        <w:rPr>
          <w:rFonts w:ascii="Segoe UI" w:hAnsi="Segoe UI" w:cs="Segoe UI"/>
          <w:color w:val="014171"/>
        </w:rPr>
      </w:pPr>
      <w:r w:rsidRPr="00FE76DF">
        <w:rPr>
          <w:rFonts w:ascii="Segoe UI" w:hAnsi="Segoe UI" w:cs="Segoe UI"/>
          <w:color w:val="014171"/>
        </w:rPr>
        <w:t>Thus, for the Disclosure as of 31 March 2022, DCMD is not required to make a disclosure in regard to ESG risks.</w:t>
      </w:r>
    </w:p>
    <w:p w14:paraId="5AD969D0" w14:textId="097D37E8" w:rsidR="00E87EAD" w:rsidRPr="00A02BEA" w:rsidRDefault="00506405">
      <w:pPr>
        <w:spacing w:after="0"/>
        <w:jc w:val="both"/>
        <w:rPr>
          <w:rFonts w:ascii="Segoe UI" w:hAnsi="Segoe UI" w:cs="Segoe UI"/>
          <w:color w:val="014171"/>
        </w:rPr>
      </w:pPr>
      <w:r>
        <w:rPr>
          <w:rFonts w:ascii="Segoe UI" w:hAnsi="Segoe UI" w:cs="Segoe UI"/>
          <w:color w:val="014171"/>
        </w:rPr>
        <w:t xml:space="preserve">Currently </w:t>
      </w:r>
      <w:r w:rsidR="00E87EAD">
        <w:rPr>
          <w:rFonts w:ascii="Segoe UI" w:hAnsi="Segoe UI" w:cs="Segoe UI"/>
          <w:color w:val="014171"/>
        </w:rPr>
        <w:t xml:space="preserve">DCMD is </w:t>
      </w:r>
      <w:r>
        <w:rPr>
          <w:rFonts w:ascii="Segoe UI" w:hAnsi="Segoe UI" w:cs="Segoe UI"/>
          <w:color w:val="014171"/>
        </w:rPr>
        <w:t xml:space="preserve">looking at several ESG topics to be incorporated in its business strategy and Risk Management. </w:t>
      </w:r>
    </w:p>
    <w:sectPr w:rsidR="00E87EAD" w:rsidRPr="00A02BEA" w:rsidSect="007820D3">
      <w:pgSz w:w="11906" w:h="16838"/>
      <w:pgMar w:top="1560" w:right="1440" w:bottom="1134" w:left="1440" w:header="708" w:footer="5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CB39" w14:textId="77777777" w:rsidR="000E4B6F" w:rsidRDefault="000E4B6F" w:rsidP="00974482">
      <w:pPr>
        <w:spacing w:after="0" w:line="240" w:lineRule="auto"/>
      </w:pPr>
      <w:r>
        <w:separator/>
      </w:r>
    </w:p>
    <w:p w14:paraId="6D965815" w14:textId="77777777" w:rsidR="000E4B6F" w:rsidRDefault="000E4B6F"/>
  </w:endnote>
  <w:endnote w:type="continuationSeparator" w:id="0">
    <w:p w14:paraId="0972603F" w14:textId="77777777" w:rsidR="000E4B6F" w:rsidRDefault="000E4B6F" w:rsidP="00974482">
      <w:pPr>
        <w:spacing w:after="0" w:line="240" w:lineRule="auto"/>
      </w:pPr>
      <w:r>
        <w:continuationSeparator/>
      </w:r>
    </w:p>
    <w:p w14:paraId="2C7260D5" w14:textId="77777777" w:rsidR="000E4B6F" w:rsidRDefault="000E4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77921"/>
      <w:docPartObj>
        <w:docPartGallery w:val="Page Numbers (Bottom of Page)"/>
        <w:docPartUnique/>
      </w:docPartObj>
    </w:sdtPr>
    <w:sdtEndPr>
      <w:rPr>
        <w:rFonts w:ascii="Segoe UI" w:hAnsi="Segoe UI" w:cs="Segoe UI"/>
        <w:b/>
        <w:noProof/>
        <w:color w:val="DBB132"/>
      </w:rPr>
    </w:sdtEndPr>
    <w:sdtContent>
      <w:p w14:paraId="313000D1" w14:textId="5CF5307E" w:rsidR="000E4B6F" w:rsidRPr="00375F12" w:rsidRDefault="000E4B6F">
        <w:pPr>
          <w:pStyle w:val="Footer"/>
          <w:jc w:val="right"/>
          <w:rPr>
            <w:rFonts w:ascii="Segoe UI" w:hAnsi="Segoe UI" w:cs="Segoe UI"/>
            <w:b/>
            <w:color w:val="DBB132"/>
          </w:rPr>
        </w:pPr>
        <w:r w:rsidRPr="00375F12">
          <w:rPr>
            <w:rFonts w:ascii="Segoe UI" w:hAnsi="Segoe UI" w:cs="Segoe UI"/>
            <w:b/>
            <w:noProof/>
            <w:color w:val="DBB132"/>
            <w:sz w:val="18"/>
            <w:szCs w:val="18"/>
            <w:lang w:eastAsia="ja-JP"/>
          </w:rPr>
          <w:drawing>
            <wp:anchor distT="0" distB="0" distL="114300" distR="114300" simplePos="0" relativeHeight="251663360" behindDoc="1" locked="0" layoutInCell="1" allowOverlap="1" wp14:anchorId="5F641E92" wp14:editId="6A12FF04">
              <wp:simplePos x="0" y="0"/>
              <wp:positionH relativeFrom="margin">
                <wp:align>center</wp:align>
              </wp:positionH>
              <wp:positionV relativeFrom="paragraph">
                <wp:posOffset>9838</wp:posOffset>
              </wp:positionV>
              <wp:extent cx="2743200" cy="383894"/>
              <wp:effectExtent l="0" t="0" r="0" b="0"/>
              <wp:wrapNone/>
              <wp:docPr id="25" name="Graphic 4">
                <a:extLst xmlns:a="http://schemas.openxmlformats.org/drawingml/2006/main">
                  <a:ext uri="{FF2B5EF4-FFF2-40B4-BE49-F238E27FC236}">
                    <a16:creationId xmlns:a16="http://schemas.microsoft.com/office/drawing/2014/main" id="{69B4993A-44CC-8841-A70A-E41323D21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69B4993A-44CC-8841-A70A-E41323D21029}"/>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3"/>
                          </a:ext>
                        </a:extLst>
                      </a:blip>
                      <a:srcRect l="2361" t="63052" b="12572"/>
                      <a:stretch/>
                    </pic:blipFill>
                    <pic:spPr bwMode="auto">
                      <a:xfrm>
                        <a:off x="0" y="0"/>
                        <a:ext cx="2743200" cy="383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5F12">
          <w:rPr>
            <w:rFonts w:ascii="Segoe UI" w:hAnsi="Segoe UI" w:cs="Segoe UI"/>
            <w:b/>
            <w:color w:val="DBB132"/>
          </w:rPr>
          <w:fldChar w:fldCharType="begin"/>
        </w:r>
        <w:r w:rsidRPr="00375F12">
          <w:rPr>
            <w:rFonts w:ascii="Segoe UI" w:hAnsi="Segoe UI" w:cs="Segoe UI"/>
            <w:b/>
            <w:color w:val="DBB132"/>
          </w:rPr>
          <w:instrText xml:space="preserve"> PAGE   \* MERGEFORMAT </w:instrText>
        </w:r>
        <w:r w:rsidRPr="00375F12">
          <w:rPr>
            <w:rFonts w:ascii="Segoe UI" w:hAnsi="Segoe UI" w:cs="Segoe UI"/>
            <w:b/>
            <w:color w:val="DBB132"/>
          </w:rPr>
          <w:fldChar w:fldCharType="separate"/>
        </w:r>
        <w:r w:rsidR="00BB56AD">
          <w:rPr>
            <w:rFonts w:ascii="Segoe UI" w:hAnsi="Segoe UI" w:cs="Segoe UI"/>
            <w:b/>
            <w:noProof/>
            <w:color w:val="DBB132"/>
          </w:rPr>
          <w:t>2</w:t>
        </w:r>
        <w:r w:rsidRPr="00375F12">
          <w:rPr>
            <w:rFonts w:ascii="Segoe UI" w:hAnsi="Segoe UI" w:cs="Segoe UI"/>
            <w:b/>
            <w:noProof/>
            <w:color w:val="DBB132"/>
          </w:rPr>
          <w:fldChar w:fldCharType="end"/>
        </w:r>
      </w:p>
    </w:sdtContent>
  </w:sdt>
  <w:p w14:paraId="007BF65F" w14:textId="0F51F167" w:rsidR="000E4B6F" w:rsidRPr="00375F12" w:rsidRDefault="000E4B6F" w:rsidP="00375F12">
    <w:pPr>
      <w:pStyle w:val="Footer"/>
      <w:tabs>
        <w:tab w:val="left" w:pos="5889"/>
      </w:tabs>
      <w:rPr>
        <w:rFonts w:ascii="Segoe UI" w:hAnsi="Segoe UI" w:cs="Segoe UI"/>
        <w:b/>
        <w:color w:val="DBB132"/>
      </w:rPr>
    </w:pPr>
    <w:r>
      <w:rPr>
        <w:rFonts w:ascii="Segoe UI" w:hAnsi="Segoe UI" w:cs="Segoe UI"/>
        <w:b/>
        <w:color w:val="DBB13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34133"/>
      <w:docPartObj>
        <w:docPartGallery w:val="Page Numbers (Bottom of Page)"/>
        <w:docPartUnique/>
      </w:docPartObj>
    </w:sdtPr>
    <w:sdtEndPr>
      <w:rPr>
        <w:rFonts w:ascii="Segoe UI" w:hAnsi="Segoe UI" w:cs="Segoe UI"/>
        <w:b/>
        <w:noProof/>
        <w:color w:val="DBB132"/>
      </w:rPr>
    </w:sdtEndPr>
    <w:sdtContent>
      <w:p w14:paraId="4001A4D5" w14:textId="7DF9C5A5" w:rsidR="000E4B6F" w:rsidRPr="00375F12" w:rsidRDefault="000E4B6F" w:rsidP="00375F12">
        <w:pPr>
          <w:pStyle w:val="Footer"/>
          <w:jc w:val="right"/>
          <w:rPr>
            <w:rFonts w:ascii="Segoe UI" w:hAnsi="Segoe UI" w:cs="Segoe UI"/>
            <w:b/>
            <w:color w:val="DBB132"/>
          </w:rPr>
        </w:pPr>
        <w:r w:rsidRPr="00375F12">
          <w:rPr>
            <w:rFonts w:ascii="Segoe UI" w:hAnsi="Segoe UI" w:cs="Segoe UI"/>
            <w:b/>
            <w:noProof/>
            <w:color w:val="DBB132"/>
            <w:sz w:val="18"/>
            <w:szCs w:val="18"/>
            <w:lang w:eastAsia="ja-JP"/>
          </w:rPr>
          <w:drawing>
            <wp:anchor distT="0" distB="0" distL="114300" distR="114300" simplePos="0" relativeHeight="251665408" behindDoc="1" locked="0" layoutInCell="1" allowOverlap="1" wp14:anchorId="282493A9" wp14:editId="5D480AD2">
              <wp:simplePos x="0" y="0"/>
              <wp:positionH relativeFrom="margin">
                <wp:align>center</wp:align>
              </wp:positionH>
              <wp:positionV relativeFrom="paragraph">
                <wp:posOffset>-24168</wp:posOffset>
              </wp:positionV>
              <wp:extent cx="2743200" cy="383894"/>
              <wp:effectExtent l="0" t="0" r="0" b="0"/>
              <wp:wrapNone/>
              <wp:docPr id="27" name="Graphic 4">
                <a:extLst xmlns:a="http://schemas.openxmlformats.org/drawingml/2006/main">
                  <a:ext uri="{FF2B5EF4-FFF2-40B4-BE49-F238E27FC236}">
                    <a16:creationId xmlns:a16="http://schemas.microsoft.com/office/drawing/2014/main" id="{69B4993A-44CC-8841-A70A-E41323D21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69B4993A-44CC-8841-A70A-E41323D21029}"/>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3"/>
                          </a:ext>
                        </a:extLst>
                      </a:blip>
                      <a:srcRect l="2361" t="63052" b="12572"/>
                      <a:stretch/>
                    </pic:blipFill>
                    <pic:spPr bwMode="auto">
                      <a:xfrm>
                        <a:off x="0" y="0"/>
                        <a:ext cx="2743200" cy="383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5F12">
          <w:rPr>
            <w:rFonts w:ascii="Segoe UI" w:hAnsi="Segoe UI" w:cs="Segoe UI"/>
            <w:b/>
            <w:color w:val="DBB132"/>
          </w:rPr>
          <w:fldChar w:fldCharType="begin"/>
        </w:r>
        <w:r w:rsidRPr="00375F12">
          <w:rPr>
            <w:rFonts w:ascii="Segoe UI" w:hAnsi="Segoe UI" w:cs="Segoe UI"/>
            <w:b/>
            <w:color w:val="DBB132"/>
          </w:rPr>
          <w:instrText xml:space="preserve"> PAGE   \* MERGEFORMAT </w:instrText>
        </w:r>
        <w:r w:rsidRPr="00375F12">
          <w:rPr>
            <w:rFonts w:ascii="Segoe UI" w:hAnsi="Segoe UI" w:cs="Segoe UI"/>
            <w:b/>
            <w:color w:val="DBB132"/>
          </w:rPr>
          <w:fldChar w:fldCharType="separate"/>
        </w:r>
        <w:r w:rsidR="00BB56AD">
          <w:rPr>
            <w:rFonts w:ascii="Segoe UI" w:hAnsi="Segoe UI" w:cs="Segoe UI"/>
            <w:b/>
            <w:noProof/>
            <w:color w:val="DBB132"/>
          </w:rPr>
          <w:t>1</w:t>
        </w:r>
        <w:r w:rsidRPr="00375F12">
          <w:rPr>
            <w:rFonts w:ascii="Segoe UI" w:hAnsi="Segoe UI" w:cs="Segoe UI"/>
            <w:b/>
            <w:noProof/>
            <w:color w:val="DBB132"/>
          </w:rPr>
          <w:fldChar w:fldCharType="end"/>
        </w:r>
      </w:p>
    </w:sdtContent>
  </w:sdt>
  <w:p w14:paraId="5EEE1D3D" w14:textId="65D9015F" w:rsidR="000E4B6F" w:rsidRPr="00CF57C6" w:rsidRDefault="000E4B6F" w:rsidP="00375F12">
    <w:pPr>
      <w:pStyle w:val="Footer"/>
      <w:jc w:val="center"/>
      <w:rPr>
        <w:rFonts w:asciiTheme="minorHAnsi" w:hAnsiTheme="minorHAnsi" w:cstheme="minorHAnsi"/>
        <w:b/>
        <w:sz w:val="18"/>
        <w:szCs w:val="18"/>
      </w:rPr>
    </w:pPr>
    <w:r w:rsidRPr="00375F12">
      <w:rPr>
        <w:rFonts w:ascii="Segoe UI" w:hAnsi="Segoe UI" w:cs="Segoe UI"/>
        <w:b/>
        <w:noProof/>
        <w:color w:val="DBB132"/>
        <w:sz w:val="18"/>
        <w:szCs w:val="18"/>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D635C" w14:textId="77777777" w:rsidR="000E4B6F" w:rsidRDefault="000E4B6F" w:rsidP="00974482">
      <w:pPr>
        <w:spacing w:after="0" w:line="240" w:lineRule="auto"/>
      </w:pPr>
      <w:r>
        <w:separator/>
      </w:r>
    </w:p>
    <w:p w14:paraId="09D65D0A" w14:textId="77777777" w:rsidR="000E4B6F" w:rsidRDefault="000E4B6F"/>
  </w:footnote>
  <w:footnote w:type="continuationSeparator" w:id="0">
    <w:p w14:paraId="30A27E1F" w14:textId="77777777" w:rsidR="000E4B6F" w:rsidRDefault="000E4B6F" w:rsidP="00974482">
      <w:pPr>
        <w:spacing w:after="0" w:line="240" w:lineRule="auto"/>
      </w:pPr>
      <w:r>
        <w:continuationSeparator/>
      </w:r>
    </w:p>
    <w:p w14:paraId="7000504D" w14:textId="77777777" w:rsidR="000E4B6F" w:rsidRDefault="000E4B6F"/>
  </w:footnote>
  <w:footnote w:id="1">
    <w:p w14:paraId="3D7D7E04" w14:textId="1E4D5A6D" w:rsidR="000E4B6F" w:rsidRPr="00A863F4" w:rsidRDefault="000E4B6F">
      <w:pPr>
        <w:pStyle w:val="FootnoteText"/>
      </w:pPr>
      <w:r>
        <w:rPr>
          <w:rStyle w:val="FootnoteReference"/>
        </w:rPr>
        <w:footnoteRef/>
      </w:r>
      <w:r>
        <w:t xml:space="preserve"> Due to the small size of DCMD and data protection considerations, the Firm has opted to present an aggregate view of the remuneration awarded to </w:t>
      </w:r>
      <w:r w:rsidRPr="00A863F4">
        <w:t>senior management and members of staff whose actions have a material impact on the risk profile of the investment firm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31C2" w14:textId="39B51EC1" w:rsidR="000E4B6F" w:rsidRPr="00F45160" w:rsidRDefault="000E4B6F" w:rsidP="00F7154B">
    <w:pPr>
      <w:pStyle w:val="Header"/>
    </w:pPr>
    <w:r>
      <w:rPr>
        <w:noProof/>
        <w:lang w:eastAsia="ja-JP"/>
      </w:rPr>
      <w:drawing>
        <wp:anchor distT="0" distB="0" distL="114300" distR="114300" simplePos="0" relativeHeight="251661312" behindDoc="0" locked="0" layoutInCell="1" allowOverlap="1" wp14:anchorId="4EC687E8" wp14:editId="5496DCE8">
          <wp:simplePos x="0" y="0"/>
          <wp:positionH relativeFrom="page">
            <wp:posOffset>6291580</wp:posOffset>
          </wp:positionH>
          <wp:positionV relativeFrom="page">
            <wp:posOffset>456020</wp:posOffset>
          </wp:positionV>
          <wp:extent cx="719640" cy="324360"/>
          <wp:effectExtent l="0" t="0" r="4445" b="6350"/>
          <wp:wrapNone/>
          <wp:docPr id="24"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19640" cy="324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BFED" w14:textId="4AC4D4C4" w:rsidR="000E4B6F" w:rsidRPr="00F45160" w:rsidRDefault="000E4B6F" w:rsidP="00354A43">
    <w:pPr>
      <w:pStyle w:val="Header"/>
      <w:tabs>
        <w:tab w:val="clear" w:pos="4513"/>
        <w:tab w:val="clear" w:pos="9026"/>
        <w:tab w:val="left" w:pos="3161"/>
      </w:tabs>
      <w:jc w:val="both"/>
    </w:pPr>
    <w:r>
      <w:rPr>
        <w:noProof/>
        <w:lang w:eastAsia="ja-JP"/>
      </w:rPr>
      <w:drawing>
        <wp:anchor distT="0" distB="0" distL="114300" distR="114300" simplePos="0" relativeHeight="251659264" behindDoc="0" locked="0" layoutInCell="1" allowOverlap="1" wp14:anchorId="14D841FC" wp14:editId="45080E38">
          <wp:simplePos x="0" y="0"/>
          <wp:positionH relativeFrom="page">
            <wp:posOffset>6277247</wp:posOffset>
          </wp:positionH>
          <wp:positionV relativeFrom="page">
            <wp:posOffset>324758</wp:posOffset>
          </wp:positionV>
          <wp:extent cx="719640" cy="324360"/>
          <wp:effectExtent l="0" t="0" r="4445" b="6350"/>
          <wp:wrapNone/>
          <wp:docPr id="26"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19640" cy="324360"/>
                  </a:xfrm>
                  <a:prstGeom prst="rect">
                    <a:avLst/>
                  </a:prstGeom>
                </pic:spPr>
              </pic:pic>
            </a:graphicData>
          </a:graphic>
          <wp14:sizeRelH relativeFrom="margin">
            <wp14:pctWidth>0</wp14:pctWidth>
          </wp14:sizeRelH>
          <wp14:sizeRelV relativeFrom="margin">
            <wp14:pctHeight>0</wp14:pctHeight>
          </wp14:sizeRelV>
        </wp:anchor>
      </w:drawing>
    </w:r>
    <w:sdt>
      <w:sdtPr>
        <w:rPr>
          <w:rFonts w:ascii="Calibri" w:hAnsi="Calibri" w:cs="Calibri"/>
        </w:rPr>
        <w:id w:val="793026128"/>
        <w:docPartObj>
          <w:docPartGallery w:val="Page Numbers (Bottom of Page)"/>
          <w:docPartUnique/>
        </w:docPartObj>
      </w:sdtPr>
      <w:sdtEndPr>
        <w:rPr>
          <w:color w:val="014171"/>
          <w:sz w:val="20"/>
          <w:szCs w:val="20"/>
        </w:rPr>
      </w:sdtEndPr>
      <w:sdtContent>
        <w:r w:rsidRPr="00D50E02">
          <w:rPr>
            <w:rFonts w:ascii="Calibri" w:hAnsi="Calibri" w:cs="Calibri"/>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75C8C7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9E901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3865164"/>
    <w:lvl w:ilvl="0">
      <w:start w:val="1"/>
      <w:numFmt w:val="decimal"/>
      <w:pStyle w:val="ListNumber"/>
      <w:lvlText w:val="%1."/>
      <w:lvlJc w:val="left"/>
      <w:pPr>
        <w:tabs>
          <w:tab w:val="num" w:pos="360"/>
        </w:tabs>
        <w:ind w:left="360" w:hanging="360"/>
      </w:pPr>
    </w:lvl>
  </w:abstractNum>
  <w:abstractNum w:abstractNumId="3" w15:restartNumberingAfterBreak="0">
    <w:nsid w:val="006E3762"/>
    <w:multiLevelType w:val="hybridMultilevel"/>
    <w:tmpl w:val="BAC82B82"/>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6386E"/>
    <w:multiLevelType w:val="hybridMultilevel"/>
    <w:tmpl w:val="352642F2"/>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34A63"/>
    <w:multiLevelType w:val="hybridMultilevel"/>
    <w:tmpl w:val="DC0C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D6E8B"/>
    <w:multiLevelType w:val="hybridMultilevel"/>
    <w:tmpl w:val="958A6A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6C60305"/>
    <w:multiLevelType w:val="hybridMultilevel"/>
    <w:tmpl w:val="E73A4008"/>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910FF"/>
    <w:multiLevelType w:val="hybridMultilevel"/>
    <w:tmpl w:val="63C87E20"/>
    <w:lvl w:ilvl="0" w:tplc="2D1868FC">
      <w:start w:val="1"/>
      <w:numFmt w:val="bullet"/>
      <w:lvlText w:val="•"/>
      <w:lvlJc w:val="left"/>
      <w:pPr>
        <w:tabs>
          <w:tab w:val="num" w:pos="720"/>
        </w:tabs>
        <w:ind w:left="720" w:hanging="360"/>
      </w:pPr>
      <w:rPr>
        <w:rFonts w:ascii="Arial" w:hAnsi="Arial" w:hint="default"/>
      </w:rPr>
    </w:lvl>
    <w:lvl w:ilvl="1" w:tplc="20363742" w:tentative="1">
      <w:start w:val="1"/>
      <w:numFmt w:val="bullet"/>
      <w:lvlText w:val="•"/>
      <w:lvlJc w:val="left"/>
      <w:pPr>
        <w:tabs>
          <w:tab w:val="num" w:pos="1440"/>
        </w:tabs>
        <w:ind w:left="1440" w:hanging="360"/>
      </w:pPr>
      <w:rPr>
        <w:rFonts w:ascii="Arial" w:hAnsi="Arial" w:hint="default"/>
      </w:rPr>
    </w:lvl>
    <w:lvl w:ilvl="2" w:tplc="6C3EEB46" w:tentative="1">
      <w:start w:val="1"/>
      <w:numFmt w:val="bullet"/>
      <w:lvlText w:val="•"/>
      <w:lvlJc w:val="left"/>
      <w:pPr>
        <w:tabs>
          <w:tab w:val="num" w:pos="2160"/>
        </w:tabs>
        <w:ind w:left="2160" w:hanging="360"/>
      </w:pPr>
      <w:rPr>
        <w:rFonts w:ascii="Arial" w:hAnsi="Arial" w:hint="default"/>
      </w:rPr>
    </w:lvl>
    <w:lvl w:ilvl="3" w:tplc="5FEAECF0" w:tentative="1">
      <w:start w:val="1"/>
      <w:numFmt w:val="bullet"/>
      <w:lvlText w:val="•"/>
      <w:lvlJc w:val="left"/>
      <w:pPr>
        <w:tabs>
          <w:tab w:val="num" w:pos="2880"/>
        </w:tabs>
        <w:ind w:left="2880" w:hanging="360"/>
      </w:pPr>
      <w:rPr>
        <w:rFonts w:ascii="Arial" w:hAnsi="Arial" w:hint="default"/>
      </w:rPr>
    </w:lvl>
    <w:lvl w:ilvl="4" w:tplc="33CEBE6A" w:tentative="1">
      <w:start w:val="1"/>
      <w:numFmt w:val="bullet"/>
      <w:lvlText w:val="•"/>
      <w:lvlJc w:val="left"/>
      <w:pPr>
        <w:tabs>
          <w:tab w:val="num" w:pos="3600"/>
        </w:tabs>
        <w:ind w:left="3600" w:hanging="360"/>
      </w:pPr>
      <w:rPr>
        <w:rFonts w:ascii="Arial" w:hAnsi="Arial" w:hint="default"/>
      </w:rPr>
    </w:lvl>
    <w:lvl w:ilvl="5" w:tplc="6526CF44" w:tentative="1">
      <w:start w:val="1"/>
      <w:numFmt w:val="bullet"/>
      <w:lvlText w:val="•"/>
      <w:lvlJc w:val="left"/>
      <w:pPr>
        <w:tabs>
          <w:tab w:val="num" w:pos="4320"/>
        </w:tabs>
        <w:ind w:left="4320" w:hanging="360"/>
      </w:pPr>
      <w:rPr>
        <w:rFonts w:ascii="Arial" w:hAnsi="Arial" w:hint="default"/>
      </w:rPr>
    </w:lvl>
    <w:lvl w:ilvl="6" w:tplc="0D20F792" w:tentative="1">
      <w:start w:val="1"/>
      <w:numFmt w:val="bullet"/>
      <w:lvlText w:val="•"/>
      <w:lvlJc w:val="left"/>
      <w:pPr>
        <w:tabs>
          <w:tab w:val="num" w:pos="5040"/>
        </w:tabs>
        <w:ind w:left="5040" w:hanging="360"/>
      </w:pPr>
      <w:rPr>
        <w:rFonts w:ascii="Arial" w:hAnsi="Arial" w:hint="default"/>
      </w:rPr>
    </w:lvl>
    <w:lvl w:ilvl="7" w:tplc="54BAC984" w:tentative="1">
      <w:start w:val="1"/>
      <w:numFmt w:val="bullet"/>
      <w:lvlText w:val="•"/>
      <w:lvlJc w:val="left"/>
      <w:pPr>
        <w:tabs>
          <w:tab w:val="num" w:pos="5760"/>
        </w:tabs>
        <w:ind w:left="5760" w:hanging="360"/>
      </w:pPr>
      <w:rPr>
        <w:rFonts w:ascii="Arial" w:hAnsi="Arial" w:hint="default"/>
      </w:rPr>
    </w:lvl>
    <w:lvl w:ilvl="8" w:tplc="5B4E4C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47075"/>
    <w:multiLevelType w:val="hybridMultilevel"/>
    <w:tmpl w:val="B574D896"/>
    <w:lvl w:ilvl="0" w:tplc="80E4096E">
      <w:start w:val="1"/>
      <w:numFmt w:val="bullet"/>
      <w:pStyle w:val="Daiwasubbullet"/>
      <w:lvlText w:val="–"/>
      <w:lvlJc w:val="left"/>
      <w:pPr>
        <w:ind w:left="1440" w:hanging="360"/>
      </w:pPr>
      <w:rPr>
        <w:rFonts w:ascii="HelveticaNeueLT Std Lt" w:hAnsi="HelveticaNeueLT Std Lt" w:cs="HelveticaNeueLT Std Lt" w:hint="default"/>
        <w:color w:val="01417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C622E2B"/>
    <w:multiLevelType w:val="hybridMultilevel"/>
    <w:tmpl w:val="BBEAB828"/>
    <w:lvl w:ilvl="0" w:tplc="E6CCD9B4">
      <w:start w:val="1"/>
      <w:numFmt w:val="bullet"/>
      <w:lvlText w:val=""/>
      <w:lvlJc w:val="left"/>
      <w:pPr>
        <w:ind w:left="720" w:hanging="360"/>
      </w:pPr>
      <w:rPr>
        <w:rFonts w:ascii="Symbol" w:hAnsi="Symbol" w:hint="default"/>
        <w:color w:val="D5B3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7431F"/>
    <w:multiLevelType w:val="hybridMultilevel"/>
    <w:tmpl w:val="6ACC8E44"/>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3522D"/>
    <w:multiLevelType w:val="hybridMultilevel"/>
    <w:tmpl w:val="B112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F2AA5"/>
    <w:multiLevelType w:val="hybridMultilevel"/>
    <w:tmpl w:val="8DE4D088"/>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FC6B1F"/>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3D7B91"/>
    <w:multiLevelType w:val="hybridMultilevel"/>
    <w:tmpl w:val="573C2E7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16FE5"/>
    <w:multiLevelType w:val="hybridMultilevel"/>
    <w:tmpl w:val="09D2FFD4"/>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F2D91"/>
    <w:multiLevelType w:val="hybridMultilevel"/>
    <w:tmpl w:val="98FC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CE6AE9"/>
    <w:multiLevelType w:val="hybridMultilevel"/>
    <w:tmpl w:val="690A073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C2DB1"/>
    <w:multiLevelType w:val="multilevel"/>
    <w:tmpl w:val="5EAA3936"/>
    <w:lvl w:ilvl="0">
      <w:start w:val="1"/>
      <w:numFmt w:val="decimal"/>
      <w:pStyle w:val="Heading1"/>
      <w:lvlText w:val="%1"/>
      <w:lvlJc w:val="left"/>
      <w:pPr>
        <w:ind w:left="432" w:hanging="432"/>
      </w:pPr>
      <w:rPr>
        <w:color w:val="D5B322"/>
      </w:rPr>
    </w:lvl>
    <w:lvl w:ilvl="1">
      <w:start w:val="1"/>
      <w:numFmt w:val="decimal"/>
      <w:pStyle w:val="Heading2"/>
      <w:lvlText w:val="%1.%2"/>
      <w:lvlJc w:val="left"/>
      <w:pPr>
        <w:ind w:left="1427" w:hanging="576"/>
      </w:pPr>
      <w:rPr>
        <w:b/>
        <w:color w:val="D5B322"/>
      </w:rPr>
    </w:lvl>
    <w:lvl w:ilvl="2">
      <w:start w:val="1"/>
      <w:numFmt w:val="decimal"/>
      <w:pStyle w:val="Heading3"/>
      <w:lvlText w:val="%1.%2.%3"/>
      <w:lvlJc w:val="left"/>
      <w:pPr>
        <w:ind w:left="720" w:hanging="720"/>
      </w:pPr>
      <w:rPr>
        <w:b/>
        <w:color w:val="D5B322"/>
      </w:rPr>
    </w:lvl>
    <w:lvl w:ilvl="3">
      <w:start w:val="1"/>
      <w:numFmt w:val="decimal"/>
      <w:pStyle w:val="Heading4"/>
      <w:lvlText w:val="%1.%2.%3.%4"/>
      <w:lvlJc w:val="left"/>
      <w:pPr>
        <w:ind w:left="864" w:hanging="864"/>
      </w:pPr>
      <w:rPr>
        <w:b/>
        <w:color w:val="DBB13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A656D8"/>
    <w:multiLevelType w:val="hybridMultilevel"/>
    <w:tmpl w:val="DE2E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67F7E"/>
    <w:multiLevelType w:val="hybridMultilevel"/>
    <w:tmpl w:val="AA68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D5C5E"/>
    <w:multiLevelType w:val="hybridMultilevel"/>
    <w:tmpl w:val="7BB2E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69012C"/>
    <w:multiLevelType w:val="hybridMultilevel"/>
    <w:tmpl w:val="4D2CF7AC"/>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77995"/>
    <w:multiLevelType w:val="hybridMultilevel"/>
    <w:tmpl w:val="C7B2B17C"/>
    <w:lvl w:ilvl="0" w:tplc="3FE25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5D113E"/>
    <w:multiLevelType w:val="hybridMultilevel"/>
    <w:tmpl w:val="4754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B5B00"/>
    <w:multiLevelType w:val="hybridMultilevel"/>
    <w:tmpl w:val="8D5A2CDC"/>
    <w:lvl w:ilvl="0" w:tplc="A1C6B068">
      <w:start w:val="1"/>
      <w:numFmt w:val="decimal"/>
      <w:pStyle w:val="Marginalnumber"/>
      <w:lvlText w:val="%1"/>
      <w:lvlJc w:val="left"/>
      <w:pPr>
        <w:ind w:left="153" w:hanging="360"/>
      </w:pPr>
      <w:rPr>
        <w:rFonts w:hint="default"/>
      </w:rPr>
    </w:lvl>
    <w:lvl w:ilvl="1" w:tplc="F5765726" w:tentative="1">
      <w:start w:val="1"/>
      <w:numFmt w:val="lowerLetter"/>
      <w:lvlText w:val="%2."/>
      <w:lvlJc w:val="left"/>
      <w:pPr>
        <w:ind w:left="873" w:hanging="360"/>
      </w:pPr>
    </w:lvl>
    <w:lvl w:ilvl="2" w:tplc="BB02A9F4" w:tentative="1">
      <w:start w:val="1"/>
      <w:numFmt w:val="lowerRoman"/>
      <w:lvlText w:val="%3."/>
      <w:lvlJc w:val="right"/>
      <w:pPr>
        <w:ind w:left="1593" w:hanging="180"/>
      </w:pPr>
    </w:lvl>
    <w:lvl w:ilvl="3" w:tplc="76C2734A" w:tentative="1">
      <w:start w:val="1"/>
      <w:numFmt w:val="decimal"/>
      <w:lvlText w:val="%4."/>
      <w:lvlJc w:val="left"/>
      <w:pPr>
        <w:ind w:left="2313" w:hanging="360"/>
      </w:pPr>
    </w:lvl>
    <w:lvl w:ilvl="4" w:tplc="44549BA4" w:tentative="1">
      <w:start w:val="1"/>
      <w:numFmt w:val="lowerLetter"/>
      <w:lvlText w:val="%5."/>
      <w:lvlJc w:val="left"/>
      <w:pPr>
        <w:ind w:left="3033" w:hanging="360"/>
      </w:pPr>
    </w:lvl>
    <w:lvl w:ilvl="5" w:tplc="68EA45F8" w:tentative="1">
      <w:start w:val="1"/>
      <w:numFmt w:val="lowerRoman"/>
      <w:lvlText w:val="%6."/>
      <w:lvlJc w:val="right"/>
      <w:pPr>
        <w:ind w:left="3753" w:hanging="180"/>
      </w:pPr>
    </w:lvl>
    <w:lvl w:ilvl="6" w:tplc="A3940772" w:tentative="1">
      <w:start w:val="1"/>
      <w:numFmt w:val="decimal"/>
      <w:lvlText w:val="%7."/>
      <w:lvlJc w:val="left"/>
      <w:pPr>
        <w:ind w:left="4473" w:hanging="360"/>
      </w:pPr>
    </w:lvl>
    <w:lvl w:ilvl="7" w:tplc="E7E495E2" w:tentative="1">
      <w:start w:val="1"/>
      <w:numFmt w:val="lowerLetter"/>
      <w:lvlText w:val="%8."/>
      <w:lvlJc w:val="left"/>
      <w:pPr>
        <w:ind w:left="5193" w:hanging="360"/>
      </w:pPr>
    </w:lvl>
    <w:lvl w:ilvl="8" w:tplc="887C73CC" w:tentative="1">
      <w:start w:val="1"/>
      <w:numFmt w:val="lowerRoman"/>
      <w:lvlText w:val="%9."/>
      <w:lvlJc w:val="right"/>
      <w:pPr>
        <w:ind w:left="5913" w:hanging="180"/>
      </w:pPr>
    </w:lvl>
  </w:abstractNum>
  <w:abstractNum w:abstractNumId="27" w15:restartNumberingAfterBreak="0">
    <w:nsid w:val="38500D75"/>
    <w:multiLevelType w:val="multilevel"/>
    <w:tmpl w:val="26362898"/>
    <w:lvl w:ilvl="0">
      <w:start w:val="1"/>
      <w:numFmt w:val="bullet"/>
      <w:pStyle w:val="TableBullets1"/>
      <w:lvlText w:val=""/>
      <w:lvlJc w:val="left"/>
      <w:pPr>
        <w:tabs>
          <w:tab w:val="num" w:pos="227"/>
        </w:tabs>
        <w:ind w:left="227" w:hanging="227"/>
      </w:pPr>
      <w:rPr>
        <w:rFonts w:ascii="Wingdings" w:hAnsi="Wingdings" w:hint="default"/>
        <w:color w:val="000080"/>
        <w:sz w:val="12"/>
      </w:rPr>
    </w:lvl>
    <w:lvl w:ilvl="1">
      <w:start w:val="1"/>
      <w:numFmt w:val="bullet"/>
      <w:pStyle w:val="TableBullets2"/>
      <w:lvlText w:val=""/>
      <w:lvlJc w:val="left"/>
      <w:pPr>
        <w:tabs>
          <w:tab w:val="num" w:pos="227"/>
        </w:tabs>
        <w:ind w:left="454" w:hanging="227"/>
      </w:pPr>
      <w:rPr>
        <w:rFonts w:ascii="Wingdings 3" w:hAnsi="Wingdings 3" w:hint="default"/>
        <w:color w:val="000080"/>
        <w:sz w:val="12"/>
      </w:rPr>
    </w:lvl>
    <w:lvl w:ilvl="2">
      <w:start w:val="1"/>
      <w:numFmt w:val="bullet"/>
      <w:pStyle w:val="TableBullets3"/>
      <w:lvlText w:val="–"/>
      <w:lvlJc w:val="left"/>
      <w:pPr>
        <w:tabs>
          <w:tab w:val="num" w:pos="227"/>
        </w:tabs>
        <w:ind w:left="680" w:hanging="226"/>
      </w:pPr>
      <w:rPr>
        <w:rFonts w:ascii="Times New Roman" w:hAnsi="Times New Roman" w:hint="default"/>
        <w:color w:val="000080"/>
        <w:sz w:val="12"/>
      </w:rPr>
    </w:lvl>
    <w:lvl w:ilvl="3">
      <w:start w:val="1"/>
      <w:numFmt w:val="lowerLetter"/>
      <w:lvlText w:val="(%4)"/>
      <w:lvlJc w:val="left"/>
      <w:pPr>
        <w:tabs>
          <w:tab w:val="num" w:pos="1271"/>
        </w:tabs>
        <w:ind w:left="1271" w:hanging="426"/>
      </w:pPr>
      <w:rPr>
        <w:rFonts w:hint="default"/>
      </w:rPr>
    </w:lvl>
    <w:lvl w:ilvl="4">
      <w:start w:val="1"/>
      <w:numFmt w:val="lowerRoman"/>
      <w:lvlText w:val="(%5)"/>
      <w:lvlJc w:val="left"/>
      <w:pPr>
        <w:tabs>
          <w:tab w:val="num" w:pos="1838"/>
        </w:tabs>
        <w:ind w:left="1838" w:hanging="567"/>
      </w:pPr>
      <w:rPr>
        <w:rFonts w:hint="default"/>
      </w:rPr>
    </w:lvl>
    <w:lvl w:ilvl="5">
      <w:start w:val="1"/>
      <w:numFmt w:val="upperLetter"/>
      <w:lvlText w:val="(%6)"/>
      <w:lvlJc w:val="left"/>
      <w:pPr>
        <w:tabs>
          <w:tab w:val="num" w:pos="2404"/>
        </w:tabs>
        <w:ind w:left="2404" w:hanging="566"/>
      </w:pPr>
      <w:rPr>
        <w:rFonts w:hint="default"/>
      </w:rPr>
    </w:lvl>
    <w:lvl w:ilvl="6">
      <w:start w:val="1"/>
      <w:numFmt w:val="decimal"/>
      <w:lvlText w:val="%7)"/>
      <w:lvlJc w:val="left"/>
      <w:pPr>
        <w:tabs>
          <w:tab w:val="num" w:pos="2971"/>
        </w:tabs>
        <w:ind w:left="2971" w:hanging="567"/>
      </w:pPr>
      <w:rPr>
        <w:rFonts w:hint="default"/>
      </w:rPr>
    </w:lvl>
    <w:lvl w:ilvl="7">
      <w:start w:val="1"/>
      <w:numFmt w:val="lowerLetter"/>
      <w:lvlText w:val="%8)"/>
      <w:lvlJc w:val="left"/>
      <w:pPr>
        <w:tabs>
          <w:tab w:val="num" w:pos="3538"/>
        </w:tabs>
        <w:ind w:left="3538" w:hanging="567"/>
      </w:pPr>
      <w:rPr>
        <w:rFonts w:hint="default"/>
      </w:rPr>
    </w:lvl>
    <w:lvl w:ilvl="8">
      <w:start w:val="1"/>
      <w:numFmt w:val="lowerRoman"/>
      <w:lvlText w:val="%9)"/>
      <w:lvlJc w:val="left"/>
      <w:pPr>
        <w:tabs>
          <w:tab w:val="num" w:pos="4105"/>
        </w:tabs>
        <w:ind w:left="4105" w:hanging="567"/>
      </w:pPr>
      <w:rPr>
        <w:rFonts w:hint="default"/>
      </w:rPr>
    </w:lvl>
  </w:abstractNum>
  <w:abstractNum w:abstractNumId="28" w15:restartNumberingAfterBreak="0">
    <w:nsid w:val="3B7068B5"/>
    <w:multiLevelType w:val="hybridMultilevel"/>
    <w:tmpl w:val="6E923166"/>
    <w:lvl w:ilvl="0" w:tplc="A5F09146">
      <w:start w:val="1"/>
      <w:numFmt w:val="bullet"/>
      <w:pStyle w:val="Daiwabullet"/>
      <w:lvlText w:val=""/>
      <w:lvlJc w:val="left"/>
      <w:pPr>
        <w:ind w:left="720" w:hanging="360"/>
      </w:pPr>
      <w:rPr>
        <w:rFonts w:ascii="Symbol" w:hAnsi="Symbol" w:cs="Symbol" w:hint="default"/>
        <w:color w:val="01417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022833"/>
    <w:multiLevelType w:val="hybridMultilevel"/>
    <w:tmpl w:val="BD1EAB8E"/>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B5F37"/>
    <w:multiLevelType w:val="hybridMultilevel"/>
    <w:tmpl w:val="F3FA5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A163F"/>
    <w:multiLevelType w:val="hybridMultilevel"/>
    <w:tmpl w:val="3030E9F2"/>
    <w:lvl w:ilvl="0" w:tplc="E6CCD9B4">
      <w:start w:val="1"/>
      <w:numFmt w:val="bullet"/>
      <w:lvlText w:val=""/>
      <w:lvlJc w:val="left"/>
      <w:pPr>
        <w:ind w:left="1572" w:hanging="360"/>
      </w:pPr>
      <w:rPr>
        <w:rFonts w:ascii="Symbol" w:hAnsi="Symbol" w:hint="default"/>
        <w:color w:val="D5B322"/>
      </w:rPr>
    </w:lvl>
    <w:lvl w:ilvl="1" w:tplc="3D9E6058">
      <w:numFmt w:val="bullet"/>
      <w:lvlText w:val="•"/>
      <w:lvlJc w:val="left"/>
      <w:pPr>
        <w:ind w:left="2292" w:hanging="360"/>
      </w:pPr>
      <w:rPr>
        <w:rFonts w:ascii="Calibri" w:eastAsia="Calibri" w:hAnsi="Calibri" w:cs="Calibri" w:hint="default"/>
      </w:rPr>
    </w:lvl>
    <w:lvl w:ilvl="2" w:tplc="1C344256" w:tentative="1">
      <w:start w:val="1"/>
      <w:numFmt w:val="bullet"/>
      <w:lvlText w:val=""/>
      <w:lvlJc w:val="left"/>
      <w:pPr>
        <w:ind w:left="3012" w:hanging="360"/>
      </w:pPr>
      <w:rPr>
        <w:rFonts w:ascii="Wingdings" w:hAnsi="Wingdings" w:hint="default"/>
      </w:rPr>
    </w:lvl>
    <w:lvl w:ilvl="3" w:tplc="31A0115C" w:tentative="1">
      <w:start w:val="1"/>
      <w:numFmt w:val="bullet"/>
      <w:lvlText w:val=""/>
      <w:lvlJc w:val="left"/>
      <w:pPr>
        <w:ind w:left="3732" w:hanging="360"/>
      </w:pPr>
      <w:rPr>
        <w:rFonts w:ascii="Symbol" w:hAnsi="Symbol" w:hint="default"/>
      </w:rPr>
    </w:lvl>
    <w:lvl w:ilvl="4" w:tplc="58CAD19E" w:tentative="1">
      <w:start w:val="1"/>
      <w:numFmt w:val="bullet"/>
      <w:lvlText w:val="o"/>
      <w:lvlJc w:val="left"/>
      <w:pPr>
        <w:ind w:left="4452" w:hanging="360"/>
      </w:pPr>
      <w:rPr>
        <w:rFonts w:ascii="Courier New" w:hAnsi="Courier New" w:cs="Courier New" w:hint="default"/>
      </w:rPr>
    </w:lvl>
    <w:lvl w:ilvl="5" w:tplc="27401690" w:tentative="1">
      <w:start w:val="1"/>
      <w:numFmt w:val="bullet"/>
      <w:lvlText w:val=""/>
      <w:lvlJc w:val="left"/>
      <w:pPr>
        <w:ind w:left="5172" w:hanging="360"/>
      </w:pPr>
      <w:rPr>
        <w:rFonts w:ascii="Wingdings" w:hAnsi="Wingdings" w:hint="default"/>
      </w:rPr>
    </w:lvl>
    <w:lvl w:ilvl="6" w:tplc="E3BC522C" w:tentative="1">
      <w:start w:val="1"/>
      <w:numFmt w:val="bullet"/>
      <w:lvlText w:val=""/>
      <w:lvlJc w:val="left"/>
      <w:pPr>
        <w:ind w:left="5892" w:hanging="360"/>
      </w:pPr>
      <w:rPr>
        <w:rFonts w:ascii="Symbol" w:hAnsi="Symbol" w:hint="default"/>
      </w:rPr>
    </w:lvl>
    <w:lvl w:ilvl="7" w:tplc="CEF633A8" w:tentative="1">
      <w:start w:val="1"/>
      <w:numFmt w:val="bullet"/>
      <w:lvlText w:val="o"/>
      <w:lvlJc w:val="left"/>
      <w:pPr>
        <w:ind w:left="6612" w:hanging="360"/>
      </w:pPr>
      <w:rPr>
        <w:rFonts w:ascii="Courier New" w:hAnsi="Courier New" w:cs="Courier New" w:hint="default"/>
      </w:rPr>
    </w:lvl>
    <w:lvl w:ilvl="8" w:tplc="27B84490" w:tentative="1">
      <w:start w:val="1"/>
      <w:numFmt w:val="bullet"/>
      <w:lvlText w:val=""/>
      <w:lvlJc w:val="left"/>
      <w:pPr>
        <w:ind w:left="7332" w:hanging="360"/>
      </w:pPr>
      <w:rPr>
        <w:rFonts w:ascii="Wingdings" w:hAnsi="Wingdings" w:hint="default"/>
      </w:rPr>
    </w:lvl>
  </w:abstractNum>
  <w:abstractNum w:abstractNumId="32" w15:restartNumberingAfterBreak="0">
    <w:nsid w:val="449D0C9D"/>
    <w:multiLevelType w:val="hybridMultilevel"/>
    <w:tmpl w:val="CA62A894"/>
    <w:lvl w:ilvl="0" w:tplc="D1F424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E171B6"/>
    <w:multiLevelType w:val="hybridMultilevel"/>
    <w:tmpl w:val="314EF392"/>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F47517"/>
    <w:multiLevelType w:val="hybridMultilevel"/>
    <w:tmpl w:val="996AE160"/>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956FD"/>
    <w:multiLevelType w:val="hybridMultilevel"/>
    <w:tmpl w:val="ECD4316E"/>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72303C"/>
    <w:multiLevelType w:val="hybridMultilevel"/>
    <w:tmpl w:val="666CB78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31708"/>
    <w:multiLevelType w:val="multilevel"/>
    <w:tmpl w:val="7EE488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EB7456"/>
    <w:multiLevelType w:val="hybridMultilevel"/>
    <w:tmpl w:val="BF549E7C"/>
    <w:lvl w:ilvl="0" w:tplc="1B1E8D6A">
      <w:start w:val="1"/>
      <w:numFmt w:val="decimal"/>
      <w:pStyle w:val="Heading1Calibri"/>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C3F02"/>
    <w:multiLevelType w:val="hybridMultilevel"/>
    <w:tmpl w:val="FCD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B7F87"/>
    <w:multiLevelType w:val="hybridMultilevel"/>
    <w:tmpl w:val="6742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23D91"/>
    <w:multiLevelType w:val="hybridMultilevel"/>
    <w:tmpl w:val="2C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EE1EE6"/>
    <w:multiLevelType w:val="hybridMultilevel"/>
    <w:tmpl w:val="2D24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817C01"/>
    <w:multiLevelType w:val="hybridMultilevel"/>
    <w:tmpl w:val="1292ABB6"/>
    <w:lvl w:ilvl="0" w:tplc="11BEF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804B7E"/>
    <w:multiLevelType w:val="hybridMultilevel"/>
    <w:tmpl w:val="EEB2BC7E"/>
    <w:lvl w:ilvl="0" w:tplc="6DA0F8DE">
      <w:start w:val="5"/>
      <w:numFmt w:val="bullet"/>
      <w:lvlText w:val=""/>
      <w:lvlJc w:val="left"/>
      <w:pPr>
        <w:ind w:left="1800" w:hanging="360"/>
      </w:pPr>
      <w:rPr>
        <w:rFonts w:ascii="Wingdings" w:eastAsia="MS Mincho" w:hAnsi="Wingding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6D6F7C54"/>
    <w:multiLevelType w:val="hybridMultilevel"/>
    <w:tmpl w:val="02C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ED5F43"/>
    <w:multiLevelType w:val="hybridMultilevel"/>
    <w:tmpl w:val="958A6A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E5468A1"/>
    <w:multiLevelType w:val="hybridMultilevel"/>
    <w:tmpl w:val="7C9E35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71AB6ADD"/>
    <w:multiLevelType w:val="hybridMultilevel"/>
    <w:tmpl w:val="D40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C42D31"/>
    <w:multiLevelType w:val="hybridMultilevel"/>
    <w:tmpl w:val="E8F6BE2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73BD9"/>
    <w:multiLevelType w:val="hybridMultilevel"/>
    <w:tmpl w:val="5C1C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70042C"/>
    <w:multiLevelType w:val="hybridMultilevel"/>
    <w:tmpl w:val="085E3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E6B323B"/>
    <w:multiLevelType w:val="hybridMultilevel"/>
    <w:tmpl w:val="ACA48B36"/>
    <w:lvl w:ilvl="0" w:tplc="29A281BE">
      <w:start w:val="1"/>
      <w:numFmt w:val="decimal"/>
      <w:pStyle w:val="Heading1AX"/>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8"/>
  </w:num>
  <w:num w:numId="2">
    <w:abstractNumId w:val="9"/>
  </w:num>
  <w:num w:numId="3">
    <w:abstractNumId w:val="0"/>
  </w:num>
  <w:num w:numId="4">
    <w:abstractNumId w:val="14"/>
  </w:num>
  <w:num w:numId="5">
    <w:abstractNumId w:val="27"/>
  </w:num>
  <w:num w:numId="6">
    <w:abstractNumId w:val="38"/>
  </w:num>
  <w:num w:numId="7">
    <w:abstractNumId w:val="52"/>
  </w:num>
  <w:num w:numId="8">
    <w:abstractNumId w:val="1"/>
  </w:num>
  <w:num w:numId="9">
    <w:abstractNumId w:val="19"/>
  </w:num>
  <w:num w:numId="10">
    <w:abstractNumId w:val="2"/>
  </w:num>
  <w:num w:numId="11">
    <w:abstractNumId w:val="26"/>
  </w:num>
  <w:num w:numId="12">
    <w:abstractNumId w:val="31"/>
  </w:num>
  <w:num w:numId="13">
    <w:abstractNumId w:val="48"/>
  </w:num>
  <w:num w:numId="14">
    <w:abstractNumId w:val="32"/>
  </w:num>
  <w:num w:numId="15">
    <w:abstractNumId w:val="22"/>
  </w:num>
  <w:num w:numId="16">
    <w:abstractNumId w:val="39"/>
  </w:num>
  <w:num w:numId="17">
    <w:abstractNumId w:val="51"/>
  </w:num>
  <w:num w:numId="18">
    <w:abstractNumId w:val="6"/>
  </w:num>
  <w:num w:numId="19">
    <w:abstractNumId w:val="46"/>
  </w:num>
  <w:num w:numId="20">
    <w:abstractNumId w:val="47"/>
  </w:num>
  <w:num w:numId="21">
    <w:abstractNumId w:val="24"/>
  </w:num>
  <w:num w:numId="22">
    <w:abstractNumId w:val="25"/>
  </w:num>
  <w:num w:numId="23">
    <w:abstractNumId w:val="5"/>
  </w:num>
  <w:num w:numId="24">
    <w:abstractNumId w:val="12"/>
  </w:num>
  <w:num w:numId="25">
    <w:abstractNumId w:val="45"/>
  </w:num>
  <w:num w:numId="26">
    <w:abstractNumId w:val="21"/>
  </w:num>
  <w:num w:numId="27">
    <w:abstractNumId w:val="50"/>
  </w:num>
  <w:num w:numId="28">
    <w:abstractNumId w:val="20"/>
  </w:num>
  <w:num w:numId="29">
    <w:abstractNumId w:val="40"/>
  </w:num>
  <w:num w:numId="30">
    <w:abstractNumId w:val="4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4"/>
  </w:num>
  <w:num w:numId="34">
    <w:abstractNumId w:val="23"/>
  </w:num>
  <w:num w:numId="35">
    <w:abstractNumId w:val="11"/>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33"/>
  </w:num>
  <w:num w:numId="61">
    <w:abstractNumId w:val="19"/>
  </w:num>
  <w:num w:numId="62">
    <w:abstractNumId w:val="29"/>
  </w:num>
  <w:num w:numId="63">
    <w:abstractNumId w:val="19"/>
  </w:num>
  <w:num w:numId="64">
    <w:abstractNumId w:val="15"/>
  </w:num>
  <w:num w:numId="65">
    <w:abstractNumId w:val="19"/>
  </w:num>
  <w:num w:numId="66">
    <w:abstractNumId w:val="19"/>
  </w:num>
  <w:num w:numId="67">
    <w:abstractNumId w:val="10"/>
  </w:num>
  <w:num w:numId="68">
    <w:abstractNumId w:val="19"/>
  </w:num>
  <w:num w:numId="69">
    <w:abstractNumId w:val="18"/>
  </w:num>
  <w:num w:numId="70">
    <w:abstractNumId w:val="3"/>
  </w:num>
  <w:num w:numId="71">
    <w:abstractNumId w:val="19"/>
  </w:num>
  <w:num w:numId="72">
    <w:abstractNumId w:val="7"/>
  </w:num>
  <w:num w:numId="73">
    <w:abstractNumId w:val="34"/>
  </w:num>
  <w:num w:numId="74">
    <w:abstractNumId w:val="35"/>
  </w:num>
  <w:num w:numId="75">
    <w:abstractNumId w:val="19"/>
  </w:num>
  <w:num w:numId="76">
    <w:abstractNumId w:val="30"/>
  </w:num>
  <w:num w:numId="77">
    <w:abstractNumId w:val="16"/>
  </w:num>
  <w:num w:numId="78">
    <w:abstractNumId w:val="36"/>
  </w:num>
  <w:num w:numId="79">
    <w:abstractNumId w:val="49"/>
  </w:num>
  <w:num w:numId="80">
    <w:abstractNumId w:val="19"/>
  </w:num>
  <w:num w:numId="81">
    <w:abstractNumId w:val="13"/>
  </w:num>
  <w:num w:numId="82">
    <w:abstractNumId w:val="19"/>
  </w:num>
  <w:num w:numId="83">
    <w:abstractNumId w:val="19"/>
  </w:num>
  <w:num w:numId="84">
    <w:abstractNumId w:val="19"/>
  </w:num>
  <w:num w:numId="85">
    <w:abstractNumId w:val="19"/>
  </w:num>
  <w:num w:numId="86">
    <w:abstractNumId w:val="19"/>
  </w:num>
  <w:num w:numId="87">
    <w:abstractNumId w:val="8"/>
  </w:num>
  <w:num w:numId="88">
    <w:abstractNumId w:val="42"/>
  </w:num>
  <w:num w:numId="89">
    <w:abstractNumId w:val="19"/>
  </w:num>
  <w:num w:numId="90">
    <w:abstractNumId w:val="17"/>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43"/>
  </w:num>
  <w:num w:numId="98">
    <w:abstractNumId w:val="19"/>
  </w:num>
  <w:num w:numId="99">
    <w:abstractNumId w:val="19"/>
  </w:num>
  <w:num w:numId="100">
    <w:abstractNumId w:val="19"/>
  </w:num>
  <w:num w:numId="101">
    <w:abstractNumId w:val="19"/>
  </w:num>
  <w:num w:numId="102">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ocumentProtection w:edit="readOnly" w:enforcement="1" w:cryptProviderType="rsaAES" w:cryptAlgorithmClass="hash" w:cryptAlgorithmType="typeAny" w:cryptAlgorithmSid="14" w:cryptSpinCount="100000" w:hash="IqBoDexVd6E2T0g1eMVff3z0WT2QEoMvP7IVC/P1+x+9VDRk/AaQavOfixxtvor5+pkuYUsqYJpN7gFhBIVPeA==" w:salt="11j6G39hPLDU+wlKZ+NTvw=="/>
  <w:defaultTabStop w:val="720"/>
  <w:hyphenationZone w:val="425"/>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82"/>
    <w:rsid w:val="00001843"/>
    <w:rsid w:val="00002E4C"/>
    <w:rsid w:val="00002FDD"/>
    <w:rsid w:val="000040F6"/>
    <w:rsid w:val="000041D1"/>
    <w:rsid w:val="00007946"/>
    <w:rsid w:val="000100CB"/>
    <w:rsid w:val="00011521"/>
    <w:rsid w:val="0001240D"/>
    <w:rsid w:val="000134F1"/>
    <w:rsid w:val="000148C5"/>
    <w:rsid w:val="00014DDD"/>
    <w:rsid w:val="000219CB"/>
    <w:rsid w:val="00022C45"/>
    <w:rsid w:val="00025200"/>
    <w:rsid w:val="000260FE"/>
    <w:rsid w:val="000265C6"/>
    <w:rsid w:val="00026D5F"/>
    <w:rsid w:val="000271CC"/>
    <w:rsid w:val="00027D04"/>
    <w:rsid w:val="000322B9"/>
    <w:rsid w:val="00034B08"/>
    <w:rsid w:val="00034E96"/>
    <w:rsid w:val="00036603"/>
    <w:rsid w:val="00036E3D"/>
    <w:rsid w:val="00042FAD"/>
    <w:rsid w:val="00043868"/>
    <w:rsid w:val="00043F57"/>
    <w:rsid w:val="00045A41"/>
    <w:rsid w:val="00045C22"/>
    <w:rsid w:val="00045C41"/>
    <w:rsid w:val="00045C50"/>
    <w:rsid w:val="00047B7F"/>
    <w:rsid w:val="00051F2F"/>
    <w:rsid w:val="00052053"/>
    <w:rsid w:val="00053DE2"/>
    <w:rsid w:val="00054036"/>
    <w:rsid w:val="0005499B"/>
    <w:rsid w:val="00055EA1"/>
    <w:rsid w:val="00055F66"/>
    <w:rsid w:val="000603E5"/>
    <w:rsid w:val="00060AA0"/>
    <w:rsid w:val="00061D77"/>
    <w:rsid w:val="00064144"/>
    <w:rsid w:val="0006436F"/>
    <w:rsid w:val="000651EE"/>
    <w:rsid w:val="000655C9"/>
    <w:rsid w:val="00067167"/>
    <w:rsid w:val="0006734A"/>
    <w:rsid w:val="0006744D"/>
    <w:rsid w:val="000674CE"/>
    <w:rsid w:val="00067646"/>
    <w:rsid w:val="000706CF"/>
    <w:rsid w:val="00076984"/>
    <w:rsid w:val="00077D01"/>
    <w:rsid w:val="000800C9"/>
    <w:rsid w:val="00080270"/>
    <w:rsid w:val="00080CA6"/>
    <w:rsid w:val="000810D7"/>
    <w:rsid w:val="0008166B"/>
    <w:rsid w:val="00081870"/>
    <w:rsid w:val="0008204E"/>
    <w:rsid w:val="0009001D"/>
    <w:rsid w:val="00090AF1"/>
    <w:rsid w:val="00093D5A"/>
    <w:rsid w:val="00095BE9"/>
    <w:rsid w:val="00095F42"/>
    <w:rsid w:val="000A083E"/>
    <w:rsid w:val="000A15ED"/>
    <w:rsid w:val="000A1D23"/>
    <w:rsid w:val="000A5213"/>
    <w:rsid w:val="000B1971"/>
    <w:rsid w:val="000B2414"/>
    <w:rsid w:val="000B2BA2"/>
    <w:rsid w:val="000B3B7C"/>
    <w:rsid w:val="000C0A5A"/>
    <w:rsid w:val="000C22C8"/>
    <w:rsid w:val="000C240D"/>
    <w:rsid w:val="000C33CE"/>
    <w:rsid w:val="000C37FF"/>
    <w:rsid w:val="000C590F"/>
    <w:rsid w:val="000C5A20"/>
    <w:rsid w:val="000C64D0"/>
    <w:rsid w:val="000C7F1E"/>
    <w:rsid w:val="000D1418"/>
    <w:rsid w:val="000D1F09"/>
    <w:rsid w:val="000D228F"/>
    <w:rsid w:val="000D32AD"/>
    <w:rsid w:val="000D581C"/>
    <w:rsid w:val="000D6135"/>
    <w:rsid w:val="000E44B2"/>
    <w:rsid w:val="000E4B6F"/>
    <w:rsid w:val="000E50A3"/>
    <w:rsid w:val="000E6C03"/>
    <w:rsid w:val="000E6E44"/>
    <w:rsid w:val="000F0861"/>
    <w:rsid w:val="000F119A"/>
    <w:rsid w:val="000F136D"/>
    <w:rsid w:val="000F26E7"/>
    <w:rsid w:val="000F28D6"/>
    <w:rsid w:val="000F4DAD"/>
    <w:rsid w:val="000F64FF"/>
    <w:rsid w:val="000F7577"/>
    <w:rsid w:val="00100F2D"/>
    <w:rsid w:val="0010292E"/>
    <w:rsid w:val="001040D3"/>
    <w:rsid w:val="001042DF"/>
    <w:rsid w:val="001043C3"/>
    <w:rsid w:val="001059D7"/>
    <w:rsid w:val="00105B0C"/>
    <w:rsid w:val="00106047"/>
    <w:rsid w:val="001063B4"/>
    <w:rsid w:val="0010670F"/>
    <w:rsid w:val="00107760"/>
    <w:rsid w:val="00110760"/>
    <w:rsid w:val="00110E32"/>
    <w:rsid w:val="00111E4A"/>
    <w:rsid w:val="00113E2F"/>
    <w:rsid w:val="001142DC"/>
    <w:rsid w:val="00114616"/>
    <w:rsid w:val="00117D7A"/>
    <w:rsid w:val="001201B9"/>
    <w:rsid w:val="00120DB5"/>
    <w:rsid w:val="001215DC"/>
    <w:rsid w:val="0012451F"/>
    <w:rsid w:val="00124EE8"/>
    <w:rsid w:val="00127555"/>
    <w:rsid w:val="00127F2B"/>
    <w:rsid w:val="001314FD"/>
    <w:rsid w:val="00131733"/>
    <w:rsid w:val="00133278"/>
    <w:rsid w:val="00133713"/>
    <w:rsid w:val="00133AF9"/>
    <w:rsid w:val="00134514"/>
    <w:rsid w:val="00135E73"/>
    <w:rsid w:val="0013624D"/>
    <w:rsid w:val="00136BBF"/>
    <w:rsid w:val="00137659"/>
    <w:rsid w:val="001378C4"/>
    <w:rsid w:val="00141659"/>
    <w:rsid w:val="00141ACF"/>
    <w:rsid w:val="00141F09"/>
    <w:rsid w:val="00142A3D"/>
    <w:rsid w:val="0014371C"/>
    <w:rsid w:val="00143B8C"/>
    <w:rsid w:val="00146491"/>
    <w:rsid w:val="00146654"/>
    <w:rsid w:val="001470B3"/>
    <w:rsid w:val="00147A88"/>
    <w:rsid w:val="00147C7F"/>
    <w:rsid w:val="00150823"/>
    <w:rsid w:val="001508BD"/>
    <w:rsid w:val="00151EFE"/>
    <w:rsid w:val="00153C83"/>
    <w:rsid w:val="00153CAE"/>
    <w:rsid w:val="00153CFD"/>
    <w:rsid w:val="00153DDB"/>
    <w:rsid w:val="0015451D"/>
    <w:rsid w:val="0015559D"/>
    <w:rsid w:val="001557A1"/>
    <w:rsid w:val="00155E46"/>
    <w:rsid w:val="00156233"/>
    <w:rsid w:val="00156F56"/>
    <w:rsid w:val="00161945"/>
    <w:rsid w:val="00162BF9"/>
    <w:rsid w:val="00162EA6"/>
    <w:rsid w:val="0016436E"/>
    <w:rsid w:val="0016560F"/>
    <w:rsid w:val="00167542"/>
    <w:rsid w:val="001701B8"/>
    <w:rsid w:val="001701EB"/>
    <w:rsid w:val="00171764"/>
    <w:rsid w:val="00173F32"/>
    <w:rsid w:val="00174CDA"/>
    <w:rsid w:val="00177C41"/>
    <w:rsid w:val="00180082"/>
    <w:rsid w:val="00180BEE"/>
    <w:rsid w:val="001827EE"/>
    <w:rsid w:val="00182FB9"/>
    <w:rsid w:val="00184B16"/>
    <w:rsid w:val="001909EA"/>
    <w:rsid w:val="00193E38"/>
    <w:rsid w:val="00194747"/>
    <w:rsid w:val="00194CAB"/>
    <w:rsid w:val="00195027"/>
    <w:rsid w:val="001956C9"/>
    <w:rsid w:val="001A0856"/>
    <w:rsid w:val="001A117E"/>
    <w:rsid w:val="001A1F77"/>
    <w:rsid w:val="001A2289"/>
    <w:rsid w:val="001A317B"/>
    <w:rsid w:val="001A32D2"/>
    <w:rsid w:val="001A39D0"/>
    <w:rsid w:val="001A39FC"/>
    <w:rsid w:val="001A54F1"/>
    <w:rsid w:val="001A6805"/>
    <w:rsid w:val="001B08EE"/>
    <w:rsid w:val="001B221C"/>
    <w:rsid w:val="001B2DAB"/>
    <w:rsid w:val="001B4616"/>
    <w:rsid w:val="001B57AF"/>
    <w:rsid w:val="001B588C"/>
    <w:rsid w:val="001B6D5E"/>
    <w:rsid w:val="001B7515"/>
    <w:rsid w:val="001C1151"/>
    <w:rsid w:val="001C32D1"/>
    <w:rsid w:val="001C44D9"/>
    <w:rsid w:val="001C504A"/>
    <w:rsid w:val="001D0BA2"/>
    <w:rsid w:val="001D2369"/>
    <w:rsid w:val="001D2976"/>
    <w:rsid w:val="001D3D4C"/>
    <w:rsid w:val="001D411A"/>
    <w:rsid w:val="001D4685"/>
    <w:rsid w:val="001D4C94"/>
    <w:rsid w:val="001D6455"/>
    <w:rsid w:val="001D693B"/>
    <w:rsid w:val="001E0E7B"/>
    <w:rsid w:val="001E3431"/>
    <w:rsid w:val="001E3869"/>
    <w:rsid w:val="001E67F8"/>
    <w:rsid w:val="001F1388"/>
    <w:rsid w:val="001F173B"/>
    <w:rsid w:val="001F2C2F"/>
    <w:rsid w:val="001F4ABE"/>
    <w:rsid w:val="001F5707"/>
    <w:rsid w:val="001F70CA"/>
    <w:rsid w:val="00200B6D"/>
    <w:rsid w:val="00202B09"/>
    <w:rsid w:val="00203056"/>
    <w:rsid w:val="002034F4"/>
    <w:rsid w:val="00203580"/>
    <w:rsid w:val="0020679D"/>
    <w:rsid w:val="002069A8"/>
    <w:rsid w:val="00206AE6"/>
    <w:rsid w:val="00206B90"/>
    <w:rsid w:val="00207050"/>
    <w:rsid w:val="00211A09"/>
    <w:rsid w:val="0021243C"/>
    <w:rsid w:val="00213745"/>
    <w:rsid w:val="00213953"/>
    <w:rsid w:val="0021450A"/>
    <w:rsid w:val="00214A05"/>
    <w:rsid w:val="0021514F"/>
    <w:rsid w:val="0021521B"/>
    <w:rsid w:val="00223D98"/>
    <w:rsid w:val="002240A1"/>
    <w:rsid w:val="00224DED"/>
    <w:rsid w:val="00224EA2"/>
    <w:rsid w:val="0022567C"/>
    <w:rsid w:val="00227797"/>
    <w:rsid w:val="0022787F"/>
    <w:rsid w:val="00227995"/>
    <w:rsid w:val="00227E8D"/>
    <w:rsid w:val="0023078A"/>
    <w:rsid w:val="00232C2D"/>
    <w:rsid w:val="00232FFC"/>
    <w:rsid w:val="002332FD"/>
    <w:rsid w:val="00233DE2"/>
    <w:rsid w:val="00233DE6"/>
    <w:rsid w:val="002358C5"/>
    <w:rsid w:val="00237015"/>
    <w:rsid w:val="00237365"/>
    <w:rsid w:val="0024004B"/>
    <w:rsid w:val="00240FDA"/>
    <w:rsid w:val="0024192D"/>
    <w:rsid w:val="00245F23"/>
    <w:rsid w:val="00246673"/>
    <w:rsid w:val="00246871"/>
    <w:rsid w:val="00250B67"/>
    <w:rsid w:val="00251173"/>
    <w:rsid w:val="00251D9F"/>
    <w:rsid w:val="002548EA"/>
    <w:rsid w:val="00255F24"/>
    <w:rsid w:val="00257AA1"/>
    <w:rsid w:val="002602E2"/>
    <w:rsid w:val="00261A48"/>
    <w:rsid w:val="002631E3"/>
    <w:rsid w:val="0026393C"/>
    <w:rsid w:val="00265382"/>
    <w:rsid w:val="002702B7"/>
    <w:rsid w:val="00270C8F"/>
    <w:rsid w:val="002713E9"/>
    <w:rsid w:val="0027267D"/>
    <w:rsid w:val="00273428"/>
    <w:rsid w:val="002739EC"/>
    <w:rsid w:val="0027693A"/>
    <w:rsid w:val="00276CE3"/>
    <w:rsid w:val="00280F4B"/>
    <w:rsid w:val="00281270"/>
    <w:rsid w:val="0028372B"/>
    <w:rsid w:val="00285A5C"/>
    <w:rsid w:val="00286A62"/>
    <w:rsid w:val="00286AE7"/>
    <w:rsid w:val="00286FDE"/>
    <w:rsid w:val="002871E7"/>
    <w:rsid w:val="00287ADF"/>
    <w:rsid w:val="00287CC8"/>
    <w:rsid w:val="00290889"/>
    <w:rsid w:val="002964F6"/>
    <w:rsid w:val="00297B1F"/>
    <w:rsid w:val="002A023D"/>
    <w:rsid w:val="002A0551"/>
    <w:rsid w:val="002A5261"/>
    <w:rsid w:val="002A57AE"/>
    <w:rsid w:val="002A5ACF"/>
    <w:rsid w:val="002A71BE"/>
    <w:rsid w:val="002B01DC"/>
    <w:rsid w:val="002B05C1"/>
    <w:rsid w:val="002B09F9"/>
    <w:rsid w:val="002B0F9F"/>
    <w:rsid w:val="002B1FA8"/>
    <w:rsid w:val="002B214C"/>
    <w:rsid w:val="002B24B7"/>
    <w:rsid w:val="002B2A89"/>
    <w:rsid w:val="002B2B8C"/>
    <w:rsid w:val="002B2CAE"/>
    <w:rsid w:val="002B3C0F"/>
    <w:rsid w:val="002B3FB8"/>
    <w:rsid w:val="002B40BA"/>
    <w:rsid w:val="002B4335"/>
    <w:rsid w:val="002B4AE3"/>
    <w:rsid w:val="002B569F"/>
    <w:rsid w:val="002B75EF"/>
    <w:rsid w:val="002B7C2D"/>
    <w:rsid w:val="002C21F8"/>
    <w:rsid w:val="002C6BD3"/>
    <w:rsid w:val="002C6F8B"/>
    <w:rsid w:val="002C6F9F"/>
    <w:rsid w:val="002C7BD5"/>
    <w:rsid w:val="002D022A"/>
    <w:rsid w:val="002D0B13"/>
    <w:rsid w:val="002D26C4"/>
    <w:rsid w:val="002D3233"/>
    <w:rsid w:val="002D3D96"/>
    <w:rsid w:val="002D3DA2"/>
    <w:rsid w:val="002D48F8"/>
    <w:rsid w:val="002D7B89"/>
    <w:rsid w:val="002E03FE"/>
    <w:rsid w:val="002E2C9F"/>
    <w:rsid w:val="002E3C75"/>
    <w:rsid w:val="002E42C0"/>
    <w:rsid w:val="002E5083"/>
    <w:rsid w:val="002E5387"/>
    <w:rsid w:val="002E546E"/>
    <w:rsid w:val="002E669B"/>
    <w:rsid w:val="002F026E"/>
    <w:rsid w:val="002F06DC"/>
    <w:rsid w:val="002F12D6"/>
    <w:rsid w:val="002F1B92"/>
    <w:rsid w:val="002F3D1B"/>
    <w:rsid w:val="002F55B5"/>
    <w:rsid w:val="002F5666"/>
    <w:rsid w:val="002F6A06"/>
    <w:rsid w:val="00300CC2"/>
    <w:rsid w:val="00302952"/>
    <w:rsid w:val="0030427B"/>
    <w:rsid w:val="003076FF"/>
    <w:rsid w:val="00307735"/>
    <w:rsid w:val="0031070F"/>
    <w:rsid w:val="00310B25"/>
    <w:rsid w:val="00310E82"/>
    <w:rsid w:val="00312C2F"/>
    <w:rsid w:val="0031662A"/>
    <w:rsid w:val="00317636"/>
    <w:rsid w:val="00317B14"/>
    <w:rsid w:val="00320C7D"/>
    <w:rsid w:val="00321357"/>
    <w:rsid w:val="0032592D"/>
    <w:rsid w:val="00326C9B"/>
    <w:rsid w:val="003274E4"/>
    <w:rsid w:val="0033065F"/>
    <w:rsid w:val="003307D5"/>
    <w:rsid w:val="00330F37"/>
    <w:rsid w:val="00331536"/>
    <w:rsid w:val="0033157E"/>
    <w:rsid w:val="003319D1"/>
    <w:rsid w:val="00331DDB"/>
    <w:rsid w:val="00332699"/>
    <w:rsid w:val="00332DBA"/>
    <w:rsid w:val="00334CBE"/>
    <w:rsid w:val="00335137"/>
    <w:rsid w:val="0033598D"/>
    <w:rsid w:val="00335A9A"/>
    <w:rsid w:val="00337083"/>
    <w:rsid w:val="00340047"/>
    <w:rsid w:val="00340865"/>
    <w:rsid w:val="00341F16"/>
    <w:rsid w:val="00342A6D"/>
    <w:rsid w:val="00343CE2"/>
    <w:rsid w:val="003441B2"/>
    <w:rsid w:val="003446B8"/>
    <w:rsid w:val="0034586F"/>
    <w:rsid w:val="00346176"/>
    <w:rsid w:val="0034637F"/>
    <w:rsid w:val="0034700F"/>
    <w:rsid w:val="0034753D"/>
    <w:rsid w:val="003528AD"/>
    <w:rsid w:val="003529B2"/>
    <w:rsid w:val="0035323B"/>
    <w:rsid w:val="00353A37"/>
    <w:rsid w:val="00354A43"/>
    <w:rsid w:val="00355397"/>
    <w:rsid w:val="0035615C"/>
    <w:rsid w:val="00357E7C"/>
    <w:rsid w:val="00360A6C"/>
    <w:rsid w:val="0036209B"/>
    <w:rsid w:val="003637B2"/>
    <w:rsid w:val="003638D1"/>
    <w:rsid w:val="00364704"/>
    <w:rsid w:val="00364D2C"/>
    <w:rsid w:val="00364DFB"/>
    <w:rsid w:val="00370622"/>
    <w:rsid w:val="00370CC2"/>
    <w:rsid w:val="00373788"/>
    <w:rsid w:val="003740AB"/>
    <w:rsid w:val="00374236"/>
    <w:rsid w:val="00375BC8"/>
    <w:rsid w:val="00375F12"/>
    <w:rsid w:val="00377C35"/>
    <w:rsid w:val="0038064D"/>
    <w:rsid w:val="0038255D"/>
    <w:rsid w:val="003837D2"/>
    <w:rsid w:val="003854E6"/>
    <w:rsid w:val="00385560"/>
    <w:rsid w:val="00385D50"/>
    <w:rsid w:val="00387328"/>
    <w:rsid w:val="00391209"/>
    <w:rsid w:val="0039326C"/>
    <w:rsid w:val="00393F9A"/>
    <w:rsid w:val="0039559D"/>
    <w:rsid w:val="00397192"/>
    <w:rsid w:val="003A1B8C"/>
    <w:rsid w:val="003A2EB7"/>
    <w:rsid w:val="003A3B77"/>
    <w:rsid w:val="003A426C"/>
    <w:rsid w:val="003A6581"/>
    <w:rsid w:val="003B05F3"/>
    <w:rsid w:val="003B2789"/>
    <w:rsid w:val="003B3080"/>
    <w:rsid w:val="003B4DD9"/>
    <w:rsid w:val="003B6948"/>
    <w:rsid w:val="003B7C00"/>
    <w:rsid w:val="003C2DD7"/>
    <w:rsid w:val="003C4582"/>
    <w:rsid w:val="003C5D95"/>
    <w:rsid w:val="003C5F01"/>
    <w:rsid w:val="003D0BAD"/>
    <w:rsid w:val="003D169C"/>
    <w:rsid w:val="003D2172"/>
    <w:rsid w:val="003D29EF"/>
    <w:rsid w:val="003D32EF"/>
    <w:rsid w:val="003D5EEC"/>
    <w:rsid w:val="003D6C28"/>
    <w:rsid w:val="003D77F1"/>
    <w:rsid w:val="003E0717"/>
    <w:rsid w:val="003E3F28"/>
    <w:rsid w:val="003E69CF"/>
    <w:rsid w:val="003E7562"/>
    <w:rsid w:val="003E7679"/>
    <w:rsid w:val="003F0655"/>
    <w:rsid w:val="003F4EAF"/>
    <w:rsid w:val="0040181F"/>
    <w:rsid w:val="00402310"/>
    <w:rsid w:val="00403E6D"/>
    <w:rsid w:val="00404D74"/>
    <w:rsid w:val="004051CD"/>
    <w:rsid w:val="0040540D"/>
    <w:rsid w:val="00411CC9"/>
    <w:rsid w:val="00413884"/>
    <w:rsid w:val="00413C43"/>
    <w:rsid w:val="004146F1"/>
    <w:rsid w:val="00414DA7"/>
    <w:rsid w:val="00416822"/>
    <w:rsid w:val="00416CB7"/>
    <w:rsid w:val="004178C4"/>
    <w:rsid w:val="00421325"/>
    <w:rsid w:val="004217E8"/>
    <w:rsid w:val="00422B20"/>
    <w:rsid w:val="004239A7"/>
    <w:rsid w:val="00423BCC"/>
    <w:rsid w:val="00425FD3"/>
    <w:rsid w:val="00426552"/>
    <w:rsid w:val="00427CDE"/>
    <w:rsid w:val="00427DB6"/>
    <w:rsid w:val="00430202"/>
    <w:rsid w:val="00430548"/>
    <w:rsid w:val="004318E7"/>
    <w:rsid w:val="00432208"/>
    <w:rsid w:val="00432E1C"/>
    <w:rsid w:val="0043490C"/>
    <w:rsid w:val="004357AD"/>
    <w:rsid w:val="00440229"/>
    <w:rsid w:val="00440330"/>
    <w:rsid w:val="00440599"/>
    <w:rsid w:val="00441F52"/>
    <w:rsid w:val="004423E8"/>
    <w:rsid w:val="00442DC3"/>
    <w:rsid w:val="00443AA5"/>
    <w:rsid w:val="004448A1"/>
    <w:rsid w:val="00445878"/>
    <w:rsid w:val="00446E1D"/>
    <w:rsid w:val="00446E9B"/>
    <w:rsid w:val="00446FC6"/>
    <w:rsid w:val="00447BD8"/>
    <w:rsid w:val="004505FA"/>
    <w:rsid w:val="00450ADB"/>
    <w:rsid w:val="00452C2C"/>
    <w:rsid w:val="0045320C"/>
    <w:rsid w:val="0045411E"/>
    <w:rsid w:val="00457D4A"/>
    <w:rsid w:val="00457F10"/>
    <w:rsid w:val="00460016"/>
    <w:rsid w:val="00460475"/>
    <w:rsid w:val="004624DE"/>
    <w:rsid w:val="00463002"/>
    <w:rsid w:val="00464DA4"/>
    <w:rsid w:val="004659A2"/>
    <w:rsid w:val="00465C42"/>
    <w:rsid w:val="00466C5B"/>
    <w:rsid w:val="00471882"/>
    <w:rsid w:val="004738FF"/>
    <w:rsid w:val="00473CDB"/>
    <w:rsid w:val="00475DF7"/>
    <w:rsid w:val="00476D30"/>
    <w:rsid w:val="00480F5E"/>
    <w:rsid w:val="00481176"/>
    <w:rsid w:val="0048121F"/>
    <w:rsid w:val="00481FC9"/>
    <w:rsid w:val="004829B1"/>
    <w:rsid w:val="004841AE"/>
    <w:rsid w:val="00484502"/>
    <w:rsid w:val="004858F7"/>
    <w:rsid w:val="00485D92"/>
    <w:rsid w:val="00486B6D"/>
    <w:rsid w:val="00487636"/>
    <w:rsid w:val="0048765D"/>
    <w:rsid w:val="00491301"/>
    <w:rsid w:val="004935A1"/>
    <w:rsid w:val="004938F1"/>
    <w:rsid w:val="004955BF"/>
    <w:rsid w:val="0049671E"/>
    <w:rsid w:val="004972A7"/>
    <w:rsid w:val="004A04AA"/>
    <w:rsid w:val="004A09BF"/>
    <w:rsid w:val="004A2C70"/>
    <w:rsid w:val="004A2DBD"/>
    <w:rsid w:val="004A36BE"/>
    <w:rsid w:val="004A374A"/>
    <w:rsid w:val="004A39CC"/>
    <w:rsid w:val="004A3C19"/>
    <w:rsid w:val="004A3EA4"/>
    <w:rsid w:val="004A4720"/>
    <w:rsid w:val="004A65B9"/>
    <w:rsid w:val="004A6F44"/>
    <w:rsid w:val="004A7BCE"/>
    <w:rsid w:val="004B0823"/>
    <w:rsid w:val="004B1579"/>
    <w:rsid w:val="004B2745"/>
    <w:rsid w:val="004B36A1"/>
    <w:rsid w:val="004B38B2"/>
    <w:rsid w:val="004B4115"/>
    <w:rsid w:val="004B45DB"/>
    <w:rsid w:val="004B525E"/>
    <w:rsid w:val="004C1ECF"/>
    <w:rsid w:val="004C3A26"/>
    <w:rsid w:val="004C52F6"/>
    <w:rsid w:val="004C5655"/>
    <w:rsid w:val="004C6AC5"/>
    <w:rsid w:val="004D318A"/>
    <w:rsid w:val="004D517F"/>
    <w:rsid w:val="004D6268"/>
    <w:rsid w:val="004D7C51"/>
    <w:rsid w:val="004E0312"/>
    <w:rsid w:val="004E14E1"/>
    <w:rsid w:val="004E170C"/>
    <w:rsid w:val="004E1F60"/>
    <w:rsid w:val="004E3D55"/>
    <w:rsid w:val="004E41AE"/>
    <w:rsid w:val="004E468B"/>
    <w:rsid w:val="004E6774"/>
    <w:rsid w:val="004E6E06"/>
    <w:rsid w:val="004F0052"/>
    <w:rsid w:val="004F06E6"/>
    <w:rsid w:val="004F0F0D"/>
    <w:rsid w:val="004F1DD4"/>
    <w:rsid w:val="004F24E1"/>
    <w:rsid w:val="004F28DD"/>
    <w:rsid w:val="004F2D1B"/>
    <w:rsid w:val="004F44E2"/>
    <w:rsid w:val="004F454E"/>
    <w:rsid w:val="004F68CB"/>
    <w:rsid w:val="00501E37"/>
    <w:rsid w:val="00502240"/>
    <w:rsid w:val="00503D55"/>
    <w:rsid w:val="00506405"/>
    <w:rsid w:val="00511167"/>
    <w:rsid w:val="00513A7A"/>
    <w:rsid w:val="005145D0"/>
    <w:rsid w:val="005146DD"/>
    <w:rsid w:val="00514E14"/>
    <w:rsid w:val="005162EE"/>
    <w:rsid w:val="005176BE"/>
    <w:rsid w:val="00517AC5"/>
    <w:rsid w:val="00521BC4"/>
    <w:rsid w:val="00523A08"/>
    <w:rsid w:val="005244F8"/>
    <w:rsid w:val="005246D1"/>
    <w:rsid w:val="005254EE"/>
    <w:rsid w:val="00527825"/>
    <w:rsid w:val="00527E86"/>
    <w:rsid w:val="00530C54"/>
    <w:rsid w:val="00531207"/>
    <w:rsid w:val="005316B8"/>
    <w:rsid w:val="00531D1A"/>
    <w:rsid w:val="0053210F"/>
    <w:rsid w:val="0053624A"/>
    <w:rsid w:val="00537DE8"/>
    <w:rsid w:val="005412F1"/>
    <w:rsid w:val="0054166D"/>
    <w:rsid w:val="00544A52"/>
    <w:rsid w:val="00544F23"/>
    <w:rsid w:val="0054548C"/>
    <w:rsid w:val="00551ED1"/>
    <w:rsid w:val="005525EC"/>
    <w:rsid w:val="00553E4B"/>
    <w:rsid w:val="0055637B"/>
    <w:rsid w:val="005567CA"/>
    <w:rsid w:val="00556B7F"/>
    <w:rsid w:val="00557640"/>
    <w:rsid w:val="00560C1D"/>
    <w:rsid w:val="005610B1"/>
    <w:rsid w:val="0056130D"/>
    <w:rsid w:val="0056197C"/>
    <w:rsid w:val="00562F48"/>
    <w:rsid w:val="00563FFE"/>
    <w:rsid w:val="00564188"/>
    <w:rsid w:val="005642C6"/>
    <w:rsid w:val="005646EE"/>
    <w:rsid w:val="00564B4A"/>
    <w:rsid w:val="005656F2"/>
    <w:rsid w:val="00572411"/>
    <w:rsid w:val="00572E5B"/>
    <w:rsid w:val="00573363"/>
    <w:rsid w:val="00573B85"/>
    <w:rsid w:val="00573DA0"/>
    <w:rsid w:val="005740F5"/>
    <w:rsid w:val="00575412"/>
    <w:rsid w:val="00575C6B"/>
    <w:rsid w:val="00575ED9"/>
    <w:rsid w:val="00576399"/>
    <w:rsid w:val="00576600"/>
    <w:rsid w:val="00577C72"/>
    <w:rsid w:val="0058015B"/>
    <w:rsid w:val="005803A2"/>
    <w:rsid w:val="00581B7B"/>
    <w:rsid w:val="00581DA9"/>
    <w:rsid w:val="005830E2"/>
    <w:rsid w:val="0058406C"/>
    <w:rsid w:val="005840C2"/>
    <w:rsid w:val="0058418B"/>
    <w:rsid w:val="00584B1D"/>
    <w:rsid w:val="0058686D"/>
    <w:rsid w:val="005908B7"/>
    <w:rsid w:val="00595081"/>
    <w:rsid w:val="005A1108"/>
    <w:rsid w:val="005A28CE"/>
    <w:rsid w:val="005A3CB0"/>
    <w:rsid w:val="005A524A"/>
    <w:rsid w:val="005A6429"/>
    <w:rsid w:val="005A773E"/>
    <w:rsid w:val="005B2A4A"/>
    <w:rsid w:val="005B2CBA"/>
    <w:rsid w:val="005B301D"/>
    <w:rsid w:val="005B3C15"/>
    <w:rsid w:val="005B4D38"/>
    <w:rsid w:val="005B5876"/>
    <w:rsid w:val="005B712B"/>
    <w:rsid w:val="005B76A9"/>
    <w:rsid w:val="005B78BD"/>
    <w:rsid w:val="005C0940"/>
    <w:rsid w:val="005C0FF5"/>
    <w:rsid w:val="005C1446"/>
    <w:rsid w:val="005C3C0F"/>
    <w:rsid w:val="005C3FEB"/>
    <w:rsid w:val="005C4418"/>
    <w:rsid w:val="005C466B"/>
    <w:rsid w:val="005C58C1"/>
    <w:rsid w:val="005D0946"/>
    <w:rsid w:val="005D11A5"/>
    <w:rsid w:val="005D2438"/>
    <w:rsid w:val="005D522F"/>
    <w:rsid w:val="005E1C4F"/>
    <w:rsid w:val="005E2BBD"/>
    <w:rsid w:val="005E3825"/>
    <w:rsid w:val="005E3B43"/>
    <w:rsid w:val="005E4BB7"/>
    <w:rsid w:val="005E4D4F"/>
    <w:rsid w:val="005E700B"/>
    <w:rsid w:val="005F0C99"/>
    <w:rsid w:val="005F252C"/>
    <w:rsid w:val="005F3F86"/>
    <w:rsid w:val="005F6090"/>
    <w:rsid w:val="005F73A1"/>
    <w:rsid w:val="005F7781"/>
    <w:rsid w:val="00604DDF"/>
    <w:rsid w:val="006100C9"/>
    <w:rsid w:val="006160E0"/>
    <w:rsid w:val="006163A9"/>
    <w:rsid w:val="006169D0"/>
    <w:rsid w:val="006171C2"/>
    <w:rsid w:val="0061770D"/>
    <w:rsid w:val="006217D8"/>
    <w:rsid w:val="00621E07"/>
    <w:rsid w:val="00621F86"/>
    <w:rsid w:val="006227A9"/>
    <w:rsid w:val="00623549"/>
    <w:rsid w:val="0062414E"/>
    <w:rsid w:val="0062596B"/>
    <w:rsid w:val="00625FE6"/>
    <w:rsid w:val="006275B7"/>
    <w:rsid w:val="00627EE7"/>
    <w:rsid w:val="0063021E"/>
    <w:rsid w:val="00631ACA"/>
    <w:rsid w:val="00632AC3"/>
    <w:rsid w:val="006378CA"/>
    <w:rsid w:val="006405DB"/>
    <w:rsid w:val="006409E6"/>
    <w:rsid w:val="00640D5B"/>
    <w:rsid w:val="006420E8"/>
    <w:rsid w:val="00642D0E"/>
    <w:rsid w:val="00646E05"/>
    <w:rsid w:val="00650A5B"/>
    <w:rsid w:val="006566ED"/>
    <w:rsid w:val="00657B29"/>
    <w:rsid w:val="0066294E"/>
    <w:rsid w:val="00663600"/>
    <w:rsid w:val="00663B42"/>
    <w:rsid w:val="00665A9E"/>
    <w:rsid w:val="00665CEE"/>
    <w:rsid w:val="0067117E"/>
    <w:rsid w:val="00672BBE"/>
    <w:rsid w:val="00673603"/>
    <w:rsid w:val="006740AD"/>
    <w:rsid w:val="0067453E"/>
    <w:rsid w:val="00675181"/>
    <w:rsid w:val="00676E74"/>
    <w:rsid w:val="006775E5"/>
    <w:rsid w:val="00677FB0"/>
    <w:rsid w:val="0068165E"/>
    <w:rsid w:val="00683891"/>
    <w:rsid w:val="00683E5D"/>
    <w:rsid w:val="00685752"/>
    <w:rsid w:val="00690F54"/>
    <w:rsid w:val="00691490"/>
    <w:rsid w:val="00695AED"/>
    <w:rsid w:val="00695F54"/>
    <w:rsid w:val="00696082"/>
    <w:rsid w:val="00696163"/>
    <w:rsid w:val="0069660A"/>
    <w:rsid w:val="00697EA3"/>
    <w:rsid w:val="00697FB4"/>
    <w:rsid w:val="006A0637"/>
    <w:rsid w:val="006A0C44"/>
    <w:rsid w:val="006A0DCD"/>
    <w:rsid w:val="006A2DA5"/>
    <w:rsid w:val="006A4092"/>
    <w:rsid w:val="006A42D1"/>
    <w:rsid w:val="006A66AD"/>
    <w:rsid w:val="006A7EC2"/>
    <w:rsid w:val="006B00B0"/>
    <w:rsid w:val="006B03D7"/>
    <w:rsid w:val="006B2519"/>
    <w:rsid w:val="006B3203"/>
    <w:rsid w:val="006B43BC"/>
    <w:rsid w:val="006B6483"/>
    <w:rsid w:val="006C140B"/>
    <w:rsid w:val="006C4CBD"/>
    <w:rsid w:val="006C6958"/>
    <w:rsid w:val="006C6DDA"/>
    <w:rsid w:val="006C772B"/>
    <w:rsid w:val="006C79FE"/>
    <w:rsid w:val="006D0C38"/>
    <w:rsid w:val="006D135A"/>
    <w:rsid w:val="006D3066"/>
    <w:rsid w:val="006D3E05"/>
    <w:rsid w:val="006D4046"/>
    <w:rsid w:val="006D446B"/>
    <w:rsid w:val="006D4DA9"/>
    <w:rsid w:val="006D522F"/>
    <w:rsid w:val="006D5566"/>
    <w:rsid w:val="006E17A1"/>
    <w:rsid w:val="006E4E89"/>
    <w:rsid w:val="006F02AD"/>
    <w:rsid w:val="006F06F9"/>
    <w:rsid w:val="006F2B1B"/>
    <w:rsid w:val="006F346D"/>
    <w:rsid w:val="006F4FAD"/>
    <w:rsid w:val="006F6553"/>
    <w:rsid w:val="006F68CD"/>
    <w:rsid w:val="006F7140"/>
    <w:rsid w:val="006F780D"/>
    <w:rsid w:val="006F79A7"/>
    <w:rsid w:val="0070223C"/>
    <w:rsid w:val="00702763"/>
    <w:rsid w:val="007029AF"/>
    <w:rsid w:val="00702D61"/>
    <w:rsid w:val="00703407"/>
    <w:rsid w:val="00703BB3"/>
    <w:rsid w:val="00705493"/>
    <w:rsid w:val="00705663"/>
    <w:rsid w:val="00705F80"/>
    <w:rsid w:val="0070625D"/>
    <w:rsid w:val="007067C9"/>
    <w:rsid w:val="007069BD"/>
    <w:rsid w:val="00706A93"/>
    <w:rsid w:val="00706E5F"/>
    <w:rsid w:val="00707346"/>
    <w:rsid w:val="00711A94"/>
    <w:rsid w:val="00711F93"/>
    <w:rsid w:val="00712472"/>
    <w:rsid w:val="00712A2D"/>
    <w:rsid w:val="00716714"/>
    <w:rsid w:val="00716A7E"/>
    <w:rsid w:val="00720A2D"/>
    <w:rsid w:val="00720F2D"/>
    <w:rsid w:val="00722247"/>
    <w:rsid w:val="00723A79"/>
    <w:rsid w:val="00723FC9"/>
    <w:rsid w:val="00724DAA"/>
    <w:rsid w:val="007270B8"/>
    <w:rsid w:val="00731441"/>
    <w:rsid w:val="00731A57"/>
    <w:rsid w:val="007364D2"/>
    <w:rsid w:val="00740054"/>
    <w:rsid w:val="00740336"/>
    <w:rsid w:val="00742C2C"/>
    <w:rsid w:val="00742EEB"/>
    <w:rsid w:val="00743D6A"/>
    <w:rsid w:val="00743D84"/>
    <w:rsid w:val="00744829"/>
    <w:rsid w:val="0074560D"/>
    <w:rsid w:val="007463C8"/>
    <w:rsid w:val="00746F0A"/>
    <w:rsid w:val="0074724B"/>
    <w:rsid w:val="0074768A"/>
    <w:rsid w:val="00750AC6"/>
    <w:rsid w:val="00750BC4"/>
    <w:rsid w:val="00753DFD"/>
    <w:rsid w:val="0075506A"/>
    <w:rsid w:val="00757056"/>
    <w:rsid w:val="00763841"/>
    <w:rsid w:val="007638E3"/>
    <w:rsid w:val="00765C72"/>
    <w:rsid w:val="0076703D"/>
    <w:rsid w:val="00767470"/>
    <w:rsid w:val="007678AB"/>
    <w:rsid w:val="00772520"/>
    <w:rsid w:val="00773F8A"/>
    <w:rsid w:val="00774B7B"/>
    <w:rsid w:val="00776ADF"/>
    <w:rsid w:val="0077716A"/>
    <w:rsid w:val="00780959"/>
    <w:rsid w:val="00781883"/>
    <w:rsid w:val="007820D3"/>
    <w:rsid w:val="0078330F"/>
    <w:rsid w:val="007835EE"/>
    <w:rsid w:val="007842B9"/>
    <w:rsid w:val="007909B0"/>
    <w:rsid w:val="00791201"/>
    <w:rsid w:val="00792E10"/>
    <w:rsid w:val="00795D2E"/>
    <w:rsid w:val="00795F13"/>
    <w:rsid w:val="00796C55"/>
    <w:rsid w:val="007A07CD"/>
    <w:rsid w:val="007A0F3C"/>
    <w:rsid w:val="007A2631"/>
    <w:rsid w:val="007A3190"/>
    <w:rsid w:val="007A3229"/>
    <w:rsid w:val="007A47F8"/>
    <w:rsid w:val="007A5A1B"/>
    <w:rsid w:val="007A5B3D"/>
    <w:rsid w:val="007A5D88"/>
    <w:rsid w:val="007B01A4"/>
    <w:rsid w:val="007B0A92"/>
    <w:rsid w:val="007B2203"/>
    <w:rsid w:val="007B3A75"/>
    <w:rsid w:val="007B3BC1"/>
    <w:rsid w:val="007B78D5"/>
    <w:rsid w:val="007C03E6"/>
    <w:rsid w:val="007C0415"/>
    <w:rsid w:val="007C1004"/>
    <w:rsid w:val="007C1172"/>
    <w:rsid w:val="007C1CF0"/>
    <w:rsid w:val="007C26E0"/>
    <w:rsid w:val="007C409C"/>
    <w:rsid w:val="007C6E60"/>
    <w:rsid w:val="007C789B"/>
    <w:rsid w:val="007C7B69"/>
    <w:rsid w:val="007D0684"/>
    <w:rsid w:val="007D12B8"/>
    <w:rsid w:val="007D3001"/>
    <w:rsid w:val="007D3117"/>
    <w:rsid w:val="007D408C"/>
    <w:rsid w:val="007D427F"/>
    <w:rsid w:val="007D5342"/>
    <w:rsid w:val="007D5A5F"/>
    <w:rsid w:val="007D5E1D"/>
    <w:rsid w:val="007E22C5"/>
    <w:rsid w:val="007E476A"/>
    <w:rsid w:val="007E4890"/>
    <w:rsid w:val="007E5A91"/>
    <w:rsid w:val="007E7A2D"/>
    <w:rsid w:val="007F6AF4"/>
    <w:rsid w:val="007F7100"/>
    <w:rsid w:val="007F7FEA"/>
    <w:rsid w:val="0080005B"/>
    <w:rsid w:val="0080037C"/>
    <w:rsid w:val="0080168D"/>
    <w:rsid w:val="00807020"/>
    <w:rsid w:val="0080764A"/>
    <w:rsid w:val="00810DB3"/>
    <w:rsid w:val="00810DDC"/>
    <w:rsid w:val="00812414"/>
    <w:rsid w:val="00813C71"/>
    <w:rsid w:val="00816B3B"/>
    <w:rsid w:val="008202C7"/>
    <w:rsid w:val="00823577"/>
    <w:rsid w:val="00823A6A"/>
    <w:rsid w:val="008250AE"/>
    <w:rsid w:val="00825C6E"/>
    <w:rsid w:val="00826A96"/>
    <w:rsid w:val="00826AF2"/>
    <w:rsid w:val="00827319"/>
    <w:rsid w:val="008311AB"/>
    <w:rsid w:val="00833256"/>
    <w:rsid w:val="00834219"/>
    <w:rsid w:val="00834F0A"/>
    <w:rsid w:val="0083773A"/>
    <w:rsid w:val="008405FB"/>
    <w:rsid w:val="008428F0"/>
    <w:rsid w:val="00843BAA"/>
    <w:rsid w:val="00843E91"/>
    <w:rsid w:val="00843EBD"/>
    <w:rsid w:val="00845263"/>
    <w:rsid w:val="008461DD"/>
    <w:rsid w:val="00846664"/>
    <w:rsid w:val="0085003E"/>
    <w:rsid w:val="008505E2"/>
    <w:rsid w:val="00851E2F"/>
    <w:rsid w:val="008532F6"/>
    <w:rsid w:val="00853CFA"/>
    <w:rsid w:val="00855964"/>
    <w:rsid w:val="00855EAA"/>
    <w:rsid w:val="00856323"/>
    <w:rsid w:val="008563BB"/>
    <w:rsid w:val="00860399"/>
    <w:rsid w:val="00860A00"/>
    <w:rsid w:val="008614C5"/>
    <w:rsid w:val="00862ACE"/>
    <w:rsid w:val="00866157"/>
    <w:rsid w:val="00870BC4"/>
    <w:rsid w:val="00870D2B"/>
    <w:rsid w:val="00871C73"/>
    <w:rsid w:val="0087371A"/>
    <w:rsid w:val="00873F7C"/>
    <w:rsid w:val="008749A6"/>
    <w:rsid w:val="008751C8"/>
    <w:rsid w:val="00876085"/>
    <w:rsid w:val="00876362"/>
    <w:rsid w:val="00880021"/>
    <w:rsid w:val="0088182C"/>
    <w:rsid w:val="00881F8A"/>
    <w:rsid w:val="00883815"/>
    <w:rsid w:val="00885A12"/>
    <w:rsid w:val="008862B3"/>
    <w:rsid w:val="00887859"/>
    <w:rsid w:val="00887DF0"/>
    <w:rsid w:val="0089114B"/>
    <w:rsid w:val="008914F4"/>
    <w:rsid w:val="00891D9C"/>
    <w:rsid w:val="008928A7"/>
    <w:rsid w:val="00896BCA"/>
    <w:rsid w:val="00897F4B"/>
    <w:rsid w:val="008A50D0"/>
    <w:rsid w:val="008A52A0"/>
    <w:rsid w:val="008A542A"/>
    <w:rsid w:val="008A6B7E"/>
    <w:rsid w:val="008B0B37"/>
    <w:rsid w:val="008B18D1"/>
    <w:rsid w:val="008B32D7"/>
    <w:rsid w:val="008B4293"/>
    <w:rsid w:val="008B6AB2"/>
    <w:rsid w:val="008B73EF"/>
    <w:rsid w:val="008B7850"/>
    <w:rsid w:val="008C265E"/>
    <w:rsid w:val="008C5013"/>
    <w:rsid w:val="008C505C"/>
    <w:rsid w:val="008C52EF"/>
    <w:rsid w:val="008C697A"/>
    <w:rsid w:val="008C69D7"/>
    <w:rsid w:val="008C6B2F"/>
    <w:rsid w:val="008D185B"/>
    <w:rsid w:val="008D272D"/>
    <w:rsid w:val="008D35BE"/>
    <w:rsid w:val="008D6359"/>
    <w:rsid w:val="008D7041"/>
    <w:rsid w:val="008E1A6F"/>
    <w:rsid w:val="008E1E81"/>
    <w:rsid w:val="008E3909"/>
    <w:rsid w:val="008E418D"/>
    <w:rsid w:val="008E4B9D"/>
    <w:rsid w:val="008E5D73"/>
    <w:rsid w:val="008E6E4A"/>
    <w:rsid w:val="008E733E"/>
    <w:rsid w:val="008F07F7"/>
    <w:rsid w:val="008F0A0C"/>
    <w:rsid w:val="008F120D"/>
    <w:rsid w:val="008F1FBA"/>
    <w:rsid w:val="008F2BE6"/>
    <w:rsid w:val="008F2E92"/>
    <w:rsid w:val="008F30CD"/>
    <w:rsid w:val="008F586C"/>
    <w:rsid w:val="008F6C62"/>
    <w:rsid w:val="008F7DFE"/>
    <w:rsid w:val="009009FA"/>
    <w:rsid w:val="00904B0A"/>
    <w:rsid w:val="00905A9D"/>
    <w:rsid w:val="00907AD0"/>
    <w:rsid w:val="009132ED"/>
    <w:rsid w:val="00913B56"/>
    <w:rsid w:val="00914A6B"/>
    <w:rsid w:val="00914B4B"/>
    <w:rsid w:val="00915000"/>
    <w:rsid w:val="00916957"/>
    <w:rsid w:val="00917F6E"/>
    <w:rsid w:val="00920EDD"/>
    <w:rsid w:val="00921A5C"/>
    <w:rsid w:val="009225CA"/>
    <w:rsid w:val="00922739"/>
    <w:rsid w:val="00923B09"/>
    <w:rsid w:val="00923B9B"/>
    <w:rsid w:val="00923FF9"/>
    <w:rsid w:val="009247D3"/>
    <w:rsid w:val="00925897"/>
    <w:rsid w:val="0092594E"/>
    <w:rsid w:val="00926652"/>
    <w:rsid w:val="0092758D"/>
    <w:rsid w:val="009279A2"/>
    <w:rsid w:val="00927CF2"/>
    <w:rsid w:val="00927DAC"/>
    <w:rsid w:val="009317CA"/>
    <w:rsid w:val="00935375"/>
    <w:rsid w:val="00936543"/>
    <w:rsid w:val="0094047E"/>
    <w:rsid w:val="00940F84"/>
    <w:rsid w:val="00941EAA"/>
    <w:rsid w:val="00942D4E"/>
    <w:rsid w:val="009441B9"/>
    <w:rsid w:val="009449D9"/>
    <w:rsid w:val="00947F4F"/>
    <w:rsid w:val="00950196"/>
    <w:rsid w:val="00950D06"/>
    <w:rsid w:val="00951481"/>
    <w:rsid w:val="009533EF"/>
    <w:rsid w:val="00953F2B"/>
    <w:rsid w:val="00954B9E"/>
    <w:rsid w:val="0095642C"/>
    <w:rsid w:val="009626F4"/>
    <w:rsid w:val="00966390"/>
    <w:rsid w:val="009665EE"/>
    <w:rsid w:val="00966B53"/>
    <w:rsid w:val="0097048D"/>
    <w:rsid w:val="0097179E"/>
    <w:rsid w:val="00972B22"/>
    <w:rsid w:val="009733AB"/>
    <w:rsid w:val="00973948"/>
    <w:rsid w:val="00974482"/>
    <w:rsid w:val="00974609"/>
    <w:rsid w:val="0097465C"/>
    <w:rsid w:val="00975FDD"/>
    <w:rsid w:val="00981D9E"/>
    <w:rsid w:val="00983D8C"/>
    <w:rsid w:val="009840E2"/>
    <w:rsid w:val="00984C40"/>
    <w:rsid w:val="00985C02"/>
    <w:rsid w:val="00990108"/>
    <w:rsid w:val="00990242"/>
    <w:rsid w:val="00990A9C"/>
    <w:rsid w:val="009946EB"/>
    <w:rsid w:val="00996564"/>
    <w:rsid w:val="009972D5"/>
    <w:rsid w:val="009A1967"/>
    <w:rsid w:val="009B0457"/>
    <w:rsid w:val="009B179F"/>
    <w:rsid w:val="009B4ADB"/>
    <w:rsid w:val="009B5510"/>
    <w:rsid w:val="009B57D1"/>
    <w:rsid w:val="009B663B"/>
    <w:rsid w:val="009B76A0"/>
    <w:rsid w:val="009C0C2D"/>
    <w:rsid w:val="009C0F63"/>
    <w:rsid w:val="009C29A7"/>
    <w:rsid w:val="009C3248"/>
    <w:rsid w:val="009D0293"/>
    <w:rsid w:val="009D02C4"/>
    <w:rsid w:val="009D060F"/>
    <w:rsid w:val="009D4DF1"/>
    <w:rsid w:val="009D619D"/>
    <w:rsid w:val="009E0EE0"/>
    <w:rsid w:val="009E2A4B"/>
    <w:rsid w:val="009E7C8D"/>
    <w:rsid w:val="009F1756"/>
    <w:rsid w:val="009F205B"/>
    <w:rsid w:val="009F2D9A"/>
    <w:rsid w:val="009F5DB4"/>
    <w:rsid w:val="009F6503"/>
    <w:rsid w:val="009F6617"/>
    <w:rsid w:val="009F68EA"/>
    <w:rsid w:val="00A005E6"/>
    <w:rsid w:val="00A011B7"/>
    <w:rsid w:val="00A02329"/>
    <w:rsid w:val="00A02B85"/>
    <w:rsid w:val="00A02BEA"/>
    <w:rsid w:val="00A034E4"/>
    <w:rsid w:val="00A04C4D"/>
    <w:rsid w:val="00A04D7C"/>
    <w:rsid w:val="00A10A02"/>
    <w:rsid w:val="00A143A1"/>
    <w:rsid w:val="00A16614"/>
    <w:rsid w:val="00A17FF2"/>
    <w:rsid w:val="00A22188"/>
    <w:rsid w:val="00A22D32"/>
    <w:rsid w:val="00A2415E"/>
    <w:rsid w:val="00A24E2C"/>
    <w:rsid w:val="00A25020"/>
    <w:rsid w:val="00A25089"/>
    <w:rsid w:val="00A2585A"/>
    <w:rsid w:val="00A2784F"/>
    <w:rsid w:val="00A30033"/>
    <w:rsid w:val="00A309D5"/>
    <w:rsid w:val="00A31B0F"/>
    <w:rsid w:val="00A341FE"/>
    <w:rsid w:val="00A34C16"/>
    <w:rsid w:val="00A352DB"/>
    <w:rsid w:val="00A36702"/>
    <w:rsid w:val="00A36763"/>
    <w:rsid w:val="00A369C3"/>
    <w:rsid w:val="00A40A35"/>
    <w:rsid w:val="00A42B78"/>
    <w:rsid w:val="00A42B81"/>
    <w:rsid w:val="00A43351"/>
    <w:rsid w:val="00A43F94"/>
    <w:rsid w:val="00A44516"/>
    <w:rsid w:val="00A454A1"/>
    <w:rsid w:val="00A45F8A"/>
    <w:rsid w:val="00A46779"/>
    <w:rsid w:val="00A503D4"/>
    <w:rsid w:val="00A518A1"/>
    <w:rsid w:val="00A51EC4"/>
    <w:rsid w:val="00A54187"/>
    <w:rsid w:val="00A55A7E"/>
    <w:rsid w:val="00A57208"/>
    <w:rsid w:val="00A572D6"/>
    <w:rsid w:val="00A5732F"/>
    <w:rsid w:val="00A606B8"/>
    <w:rsid w:val="00A60B44"/>
    <w:rsid w:val="00A61D43"/>
    <w:rsid w:val="00A64E0E"/>
    <w:rsid w:val="00A65668"/>
    <w:rsid w:val="00A65ACA"/>
    <w:rsid w:val="00A668CC"/>
    <w:rsid w:val="00A723FD"/>
    <w:rsid w:val="00A73085"/>
    <w:rsid w:val="00A731FE"/>
    <w:rsid w:val="00A748C3"/>
    <w:rsid w:val="00A74B3F"/>
    <w:rsid w:val="00A805F6"/>
    <w:rsid w:val="00A80A96"/>
    <w:rsid w:val="00A82211"/>
    <w:rsid w:val="00A836B2"/>
    <w:rsid w:val="00A83F0F"/>
    <w:rsid w:val="00A841B7"/>
    <w:rsid w:val="00A844AA"/>
    <w:rsid w:val="00A863F4"/>
    <w:rsid w:val="00A867EF"/>
    <w:rsid w:val="00A86C8C"/>
    <w:rsid w:val="00A8741F"/>
    <w:rsid w:val="00A87A21"/>
    <w:rsid w:val="00A90CA8"/>
    <w:rsid w:val="00A91CD0"/>
    <w:rsid w:val="00A93692"/>
    <w:rsid w:val="00A950FC"/>
    <w:rsid w:val="00A95258"/>
    <w:rsid w:val="00AA0A33"/>
    <w:rsid w:val="00AA12FA"/>
    <w:rsid w:val="00AA2E4F"/>
    <w:rsid w:val="00AA38C1"/>
    <w:rsid w:val="00AA3BBE"/>
    <w:rsid w:val="00AA6DFD"/>
    <w:rsid w:val="00AB120A"/>
    <w:rsid w:val="00AB15C6"/>
    <w:rsid w:val="00AB353E"/>
    <w:rsid w:val="00AB35D6"/>
    <w:rsid w:val="00AC0B9F"/>
    <w:rsid w:val="00AC1CEE"/>
    <w:rsid w:val="00AC1D8F"/>
    <w:rsid w:val="00AC4145"/>
    <w:rsid w:val="00AC51F9"/>
    <w:rsid w:val="00AC549C"/>
    <w:rsid w:val="00AC7BAA"/>
    <w:rsid w:val="00AD0B5E"/>
    <w:rsid w:val="00AD1B19"/>
    <w:rsid w:val="00AD45C9"/>
    <w:rsid w:val="00AD4DC0"/>
    <w:rsid w:val="00AD545E"/>
    <w:rsid w:val="00AD69DE"/>
    <w:rsid w:val="00AE0EB3"/>
    <w:rsid w:val="00AE2744"/>
    <w:rsid w:val="00AE4431"/>
    <w:rsid w:val="00AE49F9"/>
    <w:rsid w:val="00AE583A"/>
    <w:rsid w:val="00AE5CC9"/>
    <w:rsid w:val="00AE640F"/>
    <w:rsid w:val="00AE67D9"/>
    <w:rsid w:val="00AE692F"/>
    <w:rsid w:val="00AE7624"/>
    <w:rsid w:val="00AE77E0"/>
    <w:rsid w:val="00AE7D0F"/>
    <w:rsid w:val="00AF2DA7"/>
    <w:rsid w:val="00AF37E0"/>
    <w:rsid w:val="00AF4373"/>
    <w:rsid w:val="00AF657B"/>
    <w:rsid w:val="00AF73EF"/>
    <w:rsid w:val="00AF7A5B"/>
    <w:rsid w:val="00AF7F13"/>
    <w:rsid w:val="00B00B78"/>
    <w:rsid w:val="00B00F1B"/>
    <w:rsid w:val="00B01A30"/>
    <w:rsid w:val="00B02835"/>
    <w:rsid w:val="00B0400E"/>
    <w:rsid w:val="00B04CEE"/>
    <w:rsid w:val="00B05B97"/>
    <w:rsid w:val="00B05CC9"/>
    <w:rsid w:val="00B05F4C"/>
    <w:rsid w:val="00B11965"/>
    <w:rsid w:val="00B11DC6"/>
    <w:rsid w:val="00B121B0"/>
    <w:rsid w:val="00B14F04"/>
    <w:rsid w:val="00B17651"/>
    <w:rsid w:val="00B177F9"/>
    <w:rsid w:val="00B214B8"/>
    <w:rsid w:val="00B216C0"/>
    <w:rsid w:val="00B23865"/>
    <w:rsid w:val="00B23E91"/>
    <w:rsid w:val="00B243F8"/>
    <w:rsid w:val="00B24C6B"/>
    <w:rsid w:val="00B24E84"/>
    <w:rsid w:val="00B255D5"/>
    <w:rsid w:val="00B32C73"/>
    <w:rsid w:val="00B34749"/>
    <w:rsid w:val="00B35411"/>
    <w:rsid w:val="00B36AD2"/>
    <w:rsid w:val="00B37481"/>
    <w:rsid w:val="00B37C13"/>
    <w:rsid w:val="00B4218A"/>
    <w:rsid w:val="00B429F2"/>
    <w:rsid w:val="00B4335D"/>
    <w:rsid w:val="00B46CB2"/>
    <w:rsid w:val="00B5038A"/>
    <w:rsid w:val="00B5174D"/>
    <w:rsid w:val="00B5182D"/>
    <w:rsid w:val="00B530E1"/>
    <w:rsid w:val="00B5354B"/>
    <w:rsid w:val="00B53DF6"/>
    <w:rsid w:val="00B57F70"/>
    <w:rsid w:val="00B60ACB"/>
    <w:rsid w:val="00B60BC1"/>
    <w:rsid w:val="00B631A1"/>
    <w:rsid w:val="00B642BE"/>
    <w:rsid w:val="00B721F6"/>
    <w:rsid w:val="00B722B3"/>
    <w:rsid w:val="00B73F46"/>
    <w:rsid w:val="00B77C59"/>
    <w:rsid w:val="00B81A57"/>
    <w:rsid w:val="00B8218E"/>
    <w:rsid w:val="00B82191"/>
    <w:rsid w:val="00B82A1C"/>
    <w:rsid w:val="00B82D97"/>
    <w:rsid w:val="00B842C3"/>
    <w:rsid w:val="00B852A7"/>
    <w:rsid w:val="00B9183B"/>
    <w:rsid w:val="00B91E9F"/>
    <w:rsid w:val="00B928DD"/>
    <w:rsid w:val="00B9493E"/>
    <w:rsid w:val="00B954FC"/>
    <w:rsid w:val="00BA0AE8"/>
    <w:rsid w:val="00BA1A84"/>
    <w:rsid w:val="00BA1D12"/>
    <w:rsid w:val="00BA2B97"/>
    <w:rsid w:val="00BA359D"/>
    <w:rsid w:val="00BA391D"/>
    <w:rsid w:val="00BA5C4E"/>
    <w:rsid w:val="00BA5DB5"/>
    <w:rsid w:val="00BB1B39"/>
    <w:rsid w:val="00BB2383"/>
    <w:rsid w:val="00BB4BA0"/>
    <w:rsid w:val="00BB4FB2"/>
    <w:rsid w:val="00BB551E"/>
    <w:rsid w:val="00BB56AD"/>
    <w:rsid w:val="00BB5ED3"/>
    <w:rsid w:val="00BB66DD"/>
    <w:rsid w:val="00BB7406"/>
    <w:rsid w:val="00BB79F9"/>
    <w:rsid w:val="00BC38EE"/>
    <w:rsid w:val="00BC4012"/>
    <w:rsid w:val="00BC74F5"/>
    <w:rsid w:val="00BC7825"/>
    <w:rsid w:val="00BD26CC"/>
    <w:rsid w:val="00BD3FC0"/>
    <w:rsid w:val="00BD61CD"/>
    <w:rsid w:val="00BE0144"/>
    <w:rsid w:val="00BE1A5B"/>
    <w:rsid w:val="00BE28A2"/>
    <w:rsid w:val="00BE28E4"/>
    <w:rsid w:val="00BE3297"/>
    <w:rsid w:val="00BE6E9D"/>
    <w:rsid w:val="00BE7D98"/>
    <w:rsid w:val="00BE7ED8"/>
    <w:rsid w:val="00BF0158"/>
    <w:rsid w:val="00BF177B"/>
    <w:rsid w:val="00BF17AD"/>
    <w:rsid w:val="00BF1B38"/>
    <w:rsid w:val="00BF1BD2"/>
    <w:rsid w:val="00BF2828"/>
    <w:rsid w:val="00BF36B1"/>
    <w:rsid w:val="00BF3B22"/>
    <w:rsid w:val="00BF3D0C"/>
    <w:rsid w:val="00BF3E95"/>
    <w:rsid w:val="00BF43F8"/>
    <w:rsid w:val="00BF51E6"/>
    <w:rsid w:val="00BF6D06"/>
    <w:rsid w:val="00BF7982"/>
    <w:rsid w:val="00C0316D"/>
    <w:rsid w:val="00C036B2"/>
    <w:rsid w:val="00C03D18"/>
    <w:rsid w:val="00C04153"/>
    <w:rsid w:val="00C05E80"/>
    <w:rsid w:val="00C07521"/>
    <w:rsid w:val="00C12ABF"/>
    <w:rsid w:val="00C138C3"/>
    <w:rsid w:val="00C13ED3"/>
    <w:rsid w:val="00C15E72"/>
    <w:rsid w:val="00C16491"/>
    <w:rsid w:val="00C16FA5"/>
    <w:rsid w:val="00C172B1"/>
    <w:rsid w:val="00C17F31"/>
    <w:rsid w:val="00C2000E"/>
    <w:rsid w:val="00C220BE"/>
    <w:rsid w:val="00C223D5"/>
    <w:rsid w:val="00C23495"/>
    <w:rsid w:val="00C24CB0"/>
    <w:rsid w:val="00C25941"/>
    <w:rsid w:val="00C26B60"/>
    <w:rsid w:val="00C3252B"/>
    <w:rsid w:val="00C33A96"/>
    <w:rsid w:val="00C33B56"/>
    <w:rsid w:val="00C33FF6"/>
    <w:rsid w:val="00C34149"/>
    <w:rsid w:val="00C3526D"/>
    <w:rsid w:val="00C36000"/>
    <w:rsid w:val="00C36E8C"/>
    <w:rsid w:val="00C41BAE"/>
    <w:rsid w:val="00C41BF3"/>
    <w:rsid w:val="00C427B3"/>
    <w:rsid w:val="00C43D6A"/>
    <w:rsid w:val="00C45062"/>
    <w:rsid w:val="00C455D8"/>
    <w:rsid w:val="00C4677D"/>
    <w:rsid w:val="00C501E2"/>
    <w:rsid w:val="00C52A85"/>
    <w:rsid w:val="00C532D7"/>
    <w:rsid w:val="00C541C1"/>
    <w:rsid w:val="00C553C6"/>
    <w:rsid w:val="00C55DE1"/>
    <w:rsid w:val="00C616C8"/>
    <w:rsid w:val="00C61EE4"/>
    <w:rsid w:val="00C621D6"/>
    <w:rsid w:val="00C63764"/>
    <w:rsid w:val="00C64901"/>
    <w:rsid w:val="00C66161"/>
    <w:rsid w:val="00C665D4"/>
    <w:rsid w:val="00C66CAC"/>
    <w:rsid w:val="00C672DE"/>
    <w:rsid w:val="00C7227D"/>
    <w:rsid w:val="00C728B5"/>
    <w:rsid w:val="00C72E38"/>
    <w:rsid w:val="00C742A3"/>
    <w:rsid w:val="00C77055"/>
    <w:rsid w:val="00C77AA1"/>
    <w:rsid w:val="00C801E6"/>
    <w:rsid w:val="00C813C3"/>
    <w:rsid w:val="00C81EA2"/>
    <w:rsid w:val="00C83BFD"/>
    <w:rsid w:val="00C83DAC"/>
    <w:rsid w:val="00C843B4"/>
    <w:rsid w:val="00C852E2"/>
    <w:rsid w:val="00C8665B"/>
    <w:rsid w:val="00C870BA"/>
    <w:rsid w:val="00C87601"/>
    <w:rsid w:val="00C90968"/>
    <w:rsid w:val="00C97180"/>
    <w:rsid w:val="00C97312"/>
    <w:rsid w:val="00CA1B40"/>
    <w:rsid w:val="00CA2062"/>
    <w:rsid w:val="00CA5209"/>
    <w:rsid w:val="00CA57E7"/>
    <w:rsid w:val="00CA7956"/>
    <w:rsid w:val="00CB093D"/>
    <w:rsid w:val="00CB2891"/>
    <w:rsid w:val="00CB2A31"/>
    <w:rsid w:val="00CB2F0E"/>
    <w:rsid w:val="00CB3DA4"/>
    <w:rsid w:val="00CB61EE"/>
    <w:rsid w:val="00CB7675"/>
    <w:rsid w:val="00CC0A56"/>
    <w:rsid w:val="00CC1C22"/>
    <w:rsid w:val="00CC5F8F"/>
    <w:rsid w:val="00CC65DC"/>
    <w:rsid w:val="00CC7E52"/>
    <w:rsid w:val="00CD4ACD"/>
    <w:rsid w:val="00CD54AA"/>
    <w:rsid w:val="00CD5F1D"/>
    <w:rsid w:val="00CD631A"/>
    <w:rsid w:val="00CD6A3E"/>
    <w:rsid w:val="00CE0A92"/>
    <w:rsid w:val="00CE13F5"/>
    <w:rsid w:val="00CE168C"/>
    <w:rsid w:val="00CE319F"/>
    <w:rsid w:val="00CE33B4"/>
    <w:rsid w:val="00CE3E11"/>
    <w:rsid w:val="00CE4A20"/>
    <w:rsid w:val="00CE4FC9"/>
    <w:rsid w:val="00CE501B"/>
    <w:rsid w:val="00CE5620"/>
    <w:rsid w:val="00CE5E3E"/>
    <w:rsid w:val="00CF3BB5"/>
    <w:rsid w:val="00CF411A"/>
    <w:rsid w:val="00CF42A0"/>
    <w:rsid w:val="00CF546D"/>
    <w:rsid w:val="00CF5A44"/>
    <w:rsid w:val="00CF74D2"/>
    <w:rsid w:val="00CF75A4"/>
    <w:rsid w:val="00CF78E4"/>
    <w:rsid w:val="00D02D8A"/>
    <w:rsid w:val="00D033AE"/>
    <w:rsid w:val="00D036DF"/>
    <w:rsid w:val="00D03E4B"/>
    <w:rsid w:val="00D03F4F"/>
    <w:rsid w:val="00D04D55"/>
    <w:rsid w:val="00D0736D"/>
    <w:rsid w:val="00D102A1"/>
    <w:rsid w:val="00D1076B"/>
    <w:rsid w:val="00D10F75"/>
    <w:rsid w:val="00D12D34"/>
    <w:rsid w:val="00D14C2C"/>
    <w:rsid w:val="00D14C5B"/>
    <w:rsid w:val="00D15795"/>
    <w:rsid w:val="00D15D85"/>
    <w:rsid w:val="00D16B5B"/>
    <w:rsid w:val="00D17F36"/>
    <w:rsid w:val="00D2186C"/>
    <w:rsid w:val="00D21EA9"/>
    <w:rsid w:val="00D2216E"/>
    <w:rsid w:val="00D239BD"/>
    <w:rsid w:val="00D2411D"/>
    <w:rsid w:val="00D30B57"/>
    <w:rsid w:val="00D317BC"/>
    <w:rsid w:val="00D32520"/>
    <w:rsid w:val="00D33A4F"/>
    <w:rsid w:val="00D410A3"/>
    <w:rsid w:val="00D41F9F"/>
    <w:rsid w:val="00D43F13"/>
    <w:rsid w:val="00D44002"/>
    <w:rsid w:val="00D46173"/>
    <w:rsid w:val="00D465CD"/>
    <w:rsid w:val="00D5055F"/>
    <w:rsid w:val="00D50E02"/>
    <w:rsid w:val="00D53029"/>
    <w:rsid w:val="00D53A96"/>
    <w:rsid w:val="00D53EF7"/>
    <w:rsid w:val="00D55A4B"/>
    <w:rsid w:val="00D56D57"/>
    <w:rsid w:val="00D607C1"/>
    <w:rsid w:val="00D613BF"/>
    <w:rsid w:val="00D61C52"/>
    <w:rsid w:val="00D621BA"/>
    <w:rsid w:val="00D6307E"/>
    <w:rsid w:val="00D630D6"/>
    <w:rsid w:val="00D649EA"/>
    <w:rsid w:val="00D64F51"/>
    <w:rsid w:val="00D67AAD"/>
    <w:rsid w:val="00D67B3C"/>
    <w:rsid w:val="00D67F32"/>
    <w:rsid w:val="00D70CAE"/>
    <w:rsid w:val="00D70DCC"/>
    <w:rsid w:val="00D7180D"/>
    <w:rsid w:val="00D71944"/>
    <w:rsid w:val="00D71AF6"/>
    <w:rsid w:val="00D71EB5"/>
    <w:rsid w:val="00D72DBE"/>
    <w:rsid w:val="00D75816"/>
    <w:rsid w:val="00D76DD7"/>
    <w:rsid w:val="00D80B05"/>
    <w:rsid w:val="00D80B2C"/>
    <w:rsid w:val="00D81B2B"/>
    <w:rsid w:val="00D8364E"/>
    <w:rsid w:val="00D85994"/>
    <w:rsid w:val="00D85AD3"/>
    <w:rsid w:val="00D85FAF"/>
    <w:rsid w:val="00D871E6"/>
    <w:rsid w:val="00D87C58"/>
    <w:rsid w:val="00D906FB"/>
    <w:rsid w:val="00D90C73"/>
    <w:rsid w:val="00D91525"/>
    <w:rsid w:val="00D93F35"/>
    <w:rsid w:val="00D94975"/>
    <w:rsid w:val="00D95D57"/>
    <w:rsid w:val="00D95F9E"/>
    <w:rsid w:val="00D964EC"/>
    <w:rsid w:val="00D9661B"/>
    <w:rsid w:val="00D96D92"/>
    <w:rsid w:val="00D97314"/>
    <w:rsid w:val="00D97521"/>
    <w:rsid w:val="00DA0695"/>
    <w:rsid w:val="00DA08B8"/>
    <w:rsid w:val="00DA09F2"/>
    <w:rsid w:val="00DA201C"/>
    <w:rsid w:val="00DA467E"/>
    <w:rsid w:val="00DA4BE6"/>
    <w:rsid w:val="00DA4F5C"/>
    <w:rsid w:val="00DA628A"/>
    <w:rsid w:val="00DA6DF1"/>
    <w:rsid w:val="00DB3896"/>
    <w:rsid w:val="00DB453A"/>
    <w:rsid w:val="00DB4815"/>
    <w:rsid w:val="00DB6410"/>
    <w:rsid w:val="00DB6C94"/>
    <w:rsid w:val="00DC00E6"/>
    <w:rsid w:val="00DC0D1F"/>
    <w:rsid w:val="00DC0DBA"/>
    <w:rsid w:val="00DC41F6"/>
    <w:rsid w:val="00DC7399"/>
    <w:rsid w:val="00DD085A"/>
    <w:rsid w:val="00DD0D55"/>
    <w:rsid w:val="00DD113A"/>
    <w:rsid w:val="00DD16A1"/>
    <w:rsid w:val="00DD2B7A"/>
    <w:rsid w:val="00DD46BF"/>
    <w:rsid w:val="00DD6478"/>
    <w:rsid w:val="00DD6BA4"/>
    <w:rsid w:val="00DD7522"/>
    <w:rsid w:val="00DE0C39"/>
    <w:rsid w:val="00DE1F4B"/>
    <w:rsid w:val="00DE28E3"/>
    <w:rsid w:val="00DE2987"/>
    <w:rsid w:val="00DE3460"/>
    <w:rsid w:val="00DE4384"/>
    <w:rsid w:val="00DE68A7"/>
    <w:rsid w:val="00DE6F55"/>
    <w:rsid w:val="00DE7471"/>
    <w:rsid w:val="00DF021E"/>
    <w:rsid w:val="00DF1D16"/>
    <w:rsid w:val="00DF552E"/>
    <w:rsid w:val="00DF5AAE"/>
    <w:rsid w:val="00DF636D"/>
    <w:rsid w:val="00DF6B37"/>
    <w:rsid w:val="00DF6D7C"/>
    <w:rsid w:val="00E01927"/>
    <w:rsid w:val="00E02C5B"/>
    <w:rsid w:val="00E0519B"/>
    <w:rsid w:val="00E058E6"/>
    <w:rsid w:val="00E060C7"/>
    <w:rsid w:val="00E06467"/>
    <w:rsid w:val="00E06592"/>
    <w:rsid w:val="00E06DC8"/>
    <w:rsid w:val="00E07B47"/>
    <w:rsid w:val="00E128F8"/>
    <w:rsid w:val="00E14FD6"/>
    <w:rsid w:val="00E15DDF"/>
    <w:rsid w:val="00E1603E"/>
    <w:rsid w:val="00E1741F"/>
    <w:rsid w:val="00E17F7C"/>
    <w:rsid w:val="00E20824"/>
    <w:rsid w:val="00E20DF3"/>
    <w:rsid w:val="00E212E3"/>
    <w:rsid w:val="00E2330E"/>
    <w:rsid w:val="00E25153"/>
    <w:rsid w:val="00E270A3"/>
    <w:rsid w:val="00E27596"/>
    <w:rsid w:val="00E27BB3"/>
    <w:rsid w:val="00E33267"/>
    <w:rsid w:val="00E33DA8"/>
    <w:rsid w:val="00E34C45"/>
    <w:rsid w:val="00E35215"/>
    <w:rsid w:val="00E353DE"/>
    <w:rsid w:val="00E356B7"/>
    <w:rsid w:val="00E360A0"/>
    <w:rsid w:val="00E3665C"/>
    <w:rsid w:val="00E43CD0"/>
    <w:rsid w:val="00E451A6"/>
    <w:rsid w:val="00E45E44"/>
    <w:rsid w:val="00E46D97"/>
    <w:rsid w:val="00E50961"/>
    <w:rsid w:val="00E51423"/>
    <w:rsid w:val="00E54795"/>
    <w:rsid w:val="00E561D9"/>
    <w:rsid w:val="00E63008"/>
    <w:rsid w:val="00E630C5"/>
    <w:rsid w:val="00E64CAB"/>
    <w:rsid w:val="00E64DDC"/>
    <w:rsid w:val="00E6638E"/>
    <w:rsid w:val="00E66800"/>
    <w:rsid w:val="00E674D4"/>
    <w:rsid w:val="00E70775"/>
    <w:rsid w:val="00E70D4F"/>
    <w:rsid w:val="00E712A8"/>
    <w:rsid w:val="00E73A6D"/>
    <w:rsid w:val="00E73DF9"/>
    <w:rsid w:val="00E7410D"/>
    <w:rsid w:val="00E7654E"/>
    <w:rsid w:val="00E77CBA"/>
    <w:rsid w:val="00E82140"/>
    <w:rsid w:val="00E82EF5"/>
    <w:rsid w:val="00E83715"/>
    <w:rsid w:val="00E85F15"/>
    <w:rsid w:val="00E85FC6"/>
    <w:rsid w:val="00E86AC7"/>
    <w:rsid w:val="00E879F8"/>
    <w:rsid w:val="00E87EAD"/>
    <w:rsid w:val="00E9007B"/>
    <w:rsid w:val="00E90B39"/>
    <w:rsid w:val="00E943D2"/>
    <w:rsid w:val="00E94E0B"/>
    <w:rsid w:val="00E97EEF"/>
    <w:rsid w:val="00EA0366"/>
    <w:rsid w:val="00EA1A00"/>
    <w:rsid w:val="00EA1F86"/>
    <w:rsid w:val="00EA3933"/>
    <w:rsid w:val="00EA3EC9"/>
    <w:rsid w:val="00EA444C"/>
    <w:rsid w:val="00EB0B09"/>
    <w:rsid w:val="00EB1BFF"/>
    <w:rsid w:val="00EB285F"/>
    <w:rsid w:val="00EB2B25"/>
    <w:rsid w:val="00EB55D6"/>
    <w:rsid w:val="00EB6137"/>
    <w:rsid w:val="00EB6852"/>
    <w:rsid w:val="00EB69AF"/>
    <w:rsid w:val="00EC0C42"/>
    <w:rsid w:val="00EC1E8E"/>
    <w:rsid w:val="00EC29C3"/>
    <w:rsid w:val="00EC49C6"/>
    <w:rsid w:val="00EC608D"/>
    <w:rsid w:val="00EC73EB"/>
    <w:rsid w:val="00ED0889"/>
    <w:rsid w:val="00ED47ED"/>
    <w:rsid w:val="00ED4CBC"/>
    <w:rsid w:val="00EE1E9F"/>
    <w:rsid w:val="00EE1FB6"/>
    <w:rsid w:val="00EE5186"/>
    <w:rsid w:val="00EE6B2F"/>
    <w:rsid w:val="00EE7A8E"/>
    <w:rsid w:val="00EF0312"/>
    <w:rsid w:val="00EF2536"/>
    <w:rsid w:val="00EF3277"/>
    <w:rsid w:val="00EF3B36"/>
    <w:rsid w:val="00EF3BC4"/>
    <w:rsid w:val="00EF3D8D"/>
    <w:rsid w:val="00EF601D"/>
    <w:rsid w:val="00EF76A7"/>
    <w:rsid w:val="00EF7C40"/>
    <w:rsid w:val="00F016BB"/>
    <w:rsid w:val="00F04238"/>
    <w:rsid w:val="00F043A5"/>
    <w:rsid w:val="00F06C7A"/>
    <w:rsid w:val="00F07D4C"/>
    <w:rsid w:val="00F1074A"/>
    <w:rsid w:val="00F11F4D"/>
    <w:rsid w:val="00F12F16"/>
    <w:rsid w:val="00F13F82"/>
    <w:rsid w:val="00F14F39"/>
    <w:rsid w:val="00F15EFF"/>
    <w:rsid w:val="00F17536"/>
    <w:rsid w:val="00F17F5F"/>
    <w:rsid w:val="00F201A4"/>
    <w:rsid w:val="00F204D2"/>
    <w:rsid w:val="00F2094F"/>
    <w:rsid w:val="00F20EFA"/>
    <w:rsid w:val="00F20FE1"/>
    <w:rsid w:val="00F21035"/>
    <w:rsid w:val="00F23388"/>
    <w:rsid w:val="00F3273F"/>
    <w:rsid w:val="00F3377B"/>
    <w:rsid w:val="00F33F65"/>
    <w:rsid w:val="00F35AFC"/>
    <w:rsid w:val="00F3661B"/>
    <w:rsid w:val="00F37AB4"/>
    <w:rsid w:val="00F37C02"/>
    <w:rsid w:val="00F37FAC"/>
    <w:rsid w:val="00F40617"/>
    <w:rsid w:val="00F47CF9"/>
    <w:rsid w:val="00F51BDB"/>
    <w:rsid w:val="00F53339"/>
    <w:rsid w:val="00F54097"/>
    <w:rsid w:val="00F54FEB"/>
    <w:rsid w:val="00F55877"/>
    <w:rsid w:val="00F564F7"/>
    <w:rsid w:val="00F57098"/>
    <w:rsid w:val="00F60308"/>
    <w:rsid w:val="00F608F0"/>
    <w:rsid w:val="00F60916"/>
    <w:rsid w:val="00F60CCA"/>
    <w:rsid w:val="00F60D92"/>
    <w:rsid w:val="00F62416"/>
    <w:rsid w:val="00F63717"/>
    <w:rsid w:val="00F63C37"/>
    <w:rsid w:val="00F63C90"/>
    <w:rsid w:val="00F7085F"/>
    <w:rsid w:val="00F70946"/>
    <w:rsid w:val="00F70FA2"/>
    <w:rsid w:val="00F71042"/>
    <w:rsid w:val="00F7154B"/>
    <w:rsid w:val="00F72314"/>
    <w:rsid w:val="00F73E4E"/>
    <w:rsid w:val="00F74106"/>
    <w:rsid w:val="00F74386"/>
    <w:rsid w:val="00F7482E"/>
    <w:rsid w:val="00F74C86"/>
    <w:rsid w:val="00F74EAC"/>
    <w:rsid w:val="00F75C21"/>
    <w:rsid w:val="00F76A55"/>
    <w:rsid w:val="00F83762"/>
    <w:rsid w:val="00F86537"/>
    <w:rsid w:val="00F87851"/>
    <w:rsid w:val="00F90618"/>
    <w:rsid w:val="00F925F1"/>
    <w:rsid w:val="00F942B9"/>
    <w:rsid w:val="00F94344"/>
    <w:rsid w:val="00F947F2"/>
    <w:rsid w:val="00F95C05"/>
    <w:rsid w:val="00F967EA"/>
    <w:rsid w:val="00F9700C"/>
    <w:rsid w:val="00F973FC"/>
    <w:rsid w:val="00FA05CD"/>
    <w:rsid w:val="00FA0F09"/>
    <w:rsid w:val="00FA1644"/>
    <w:rsid w:val="00FA1C41"/>
    <w:rsid w:val="00FA2278"/>
    <w:rsid w:val="00FA3EAE"/>
    <w:rsid w:val="00FA5206"/>
    <w:rsid w:val="00FA6723"/>
    <w:rsid w:val="00FA675B"/>
    <w:rsid w:val="00FA7EE6"/>
    <w:rsid w:val="00FB00A8"/>
    <w:rsid w:val="00FB02CB"/>
    <w:rsid w:val="00FB326A"/>
    <w:rsid w:val="00FB4255"/>
    <w:rsid w:val="00FB4755"/>
    <w:rsid w:val="00FB4A34"/>
    <w:rsid w:val="00FB4F75"/>
    <w:rsid w:val="00FB6362"/>
    <w:rsid w:val="00FC207B"/>
    <w:rsid w:val="00FC3EBA"/>
    <w:rsid w:val="00FC6202"/>
    <w:rsid w:val="00FD06CA"/>
    <w:rsid w:val="00FD15E2"/>
    <w:rsid w:val="00FD16FC"/>
    <w:rsid w:val="00FD2427"/>
    <w:rsid w:val="00FD3F18"/>
    <w:rsid w:val="00FD4FD0"/>
    <w:rsid w:val="00FE09FD"/>
    <w:rsid w:val="00FE0E36"/>
    <w:rsid w:val="00FE1C9C"/>
    <w:rsid w:val="00FE1FC8"/>
    <w:rsid w:val="00FE6AD2"/>
    <w:rsid w:val="00FE6CF4"/>
    <w:rsid w:val="00FE76DF"/>
    <w:rsid w:val="00FF0BF5"/>
    <w:rsid w:val="00FF0E80"/>
    <w:rsid w:val="00FF27F6"/>
    <w:rsid w:val="00FF2B0F"/>
    <w:rsid w:val="00FF5FB8"/>
    <w:rsid w:val="00FF7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2A73A2BA"/>
  <w15:docId w15:val="{CF017470-9249-415F-8A7A-7E452067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22D32"/>
    <w:pPr>
      <w:keepNext/>
      <w:numPr>
        <w:numId w:val="9"/>
      </w:numPr>
      <w:tabs>
        <w:tab w:val="left" w:pos="709"/>
      </w:tabs>
      <w:spacing w:before="360" w:after="240"/>
      <w:jc w:val="both"/>
      <w:outlineLvl w:val="0"/>
    </w:pPr>
    <w:rPr>
      <w:rFonts w:ascii="Georgia" w:hAnsi="Georgia" w:cs="Arial"/>
      <w:b/>
      <w:color w:val="014171"/>
      <w:sz w:val="32"/>
      <w:szCs w:val="40"/>
    </w:rPr>
  </w:style>
  <w:style w:type="paragraph" w:styleId="Heading2">
    <w:name w:val="heading 2"/>
    <w:basedOn w:val="Normal"/>
    <w:next w:val="Normal"/>
    <w:link w:val="Heading2Char"/>
    <w:qFormat/>
    <w:rsid w:val="00A22D32"/>
    <w:pPr>
      <w:keepNext/>
      <w:numPr>
        <w:ilvl w:val="1"/>
        <w:numId w:val="9"/>
      </w:numPr>
      <w:spacing w:before="240" w:after="120"/>
      <w:ind w:left="576"/>
      <w:jc w:val="both"/>
      <w:outlineLvl w:val="1"/>
    </w:pPr>
    <w:rPr>
      <w:rFonts w:ascii="Georgia" w:hAnsi="Georgia" w:cs="Calibri"/>
      <w:b/>
      <w:bCs/>
      <w:color w:val="014171"/>
      <w:sz w:val="24"/>
      <w:szCs w:val="24"/>
    </w:rPr>
  </w:style>
  <w:style w:type="paragraph" w:styleId="Heading3">
    <w:name w:val="heading 3"/>
    <w:basedOn w:val="Normal"/>
    <w:next w:val="Normal"/>
    <w:link w:val="Heading3Char"/>
    <w:qFormat/>
    <w:rsid w:val="008A542A"/>
    <w:pPr>
      <w:keepNext/>
      <w:numPr>
        <w:ilvl w:val="2"/>
        <w:numId w:val="9"/>
      </w:numPr>
      <w:spacing w:before="240" w:after="120"/>
      <w:jc w:val="both"/>
      <w:outlineLvl w:val="2"/>
    </w:pPr>
    <w:rPr>
      <w:rFonts w:ascii="Georgia" w:hAnsi="Georgia" w:cs="Calibri"/>
      <w:b/>
      <w:color w:val="014171"/>
      <w:szCs w:val="24"/>
    </w:rPr>
  </w:style>
  <w:style w:type="paragraph" w:styleId="Heading4">
    <w:name w:val="heading 4"/>
    <w:basedOn w:val="Normal"/>
    <w:next w:val="BodyText"/>
    <w:link w:val="Heading4Char"/>
    <w:qFormat/>
    <w:rsid w:val="008A542A"/>
    <w:pPr>
      <w:keepNext/>
      <w:numPr>
        <w:ilvl w:val="3"/>
        <w:numId w:val="9"/>
      </w:numPr>
      <w:tabs>
        <w:tab w:val="left" w:pos="851"/>
      </w:tabs>
      <w:spacing w:before="240"/>
      <w:jc w:val="both"/>
      <w:outlineLvl w:val="3"/>
    </w:pPr>
    <w:rPr>
      <w:rFonts w:ascii="Georgia" w:hAnsi="Georgia" w:cs="Calibri"/>
      <w:color w:val="014171"/>
      <w:szCs w:val="24"/>
    </w:rPr>
  </w:style>
  <w:style w:type="paragraph" w:styleId="Heading5">
    <w:name w:val="heading 5"/>
    <w:basedOn w:val="Normal"/>
    <w:next w:val="Normal"/>
    <w:link w:val="Heading5Char"/>
    <w:qFormat/>
    <w:rsid w:val="00974482"/>
    <w:pPr>
      <w:keepNext/>
      <w:numPr>
        <w:ilvl w:val="4"/>
        <w:numId w:val="9"/>
      </w:numPr>
      <w:jc w:val="both"/>
      <w:outlineLvl w:val="4"/>
    </w:pPr>
    <w:rPr>
      <w:rFonts w:ascii="Arial" w:hAnsi="Arial" w:cs="Arial"/>
      <w:b/>
      <w:i/>
    </w:rPr>
  </w:style>
  <w:style w:type="paragraph" w:styleId="Heading6">
    <w:name w:val="heading 6"/>
    <w:basedOn w:val="Normal"/>
    <w:next w:val="Normal"/>
    <w:link w:val="Heading6Char"/>
    <w:qFormat/>
    <w:rsid w:val="00974482"/>
    <w:pPr>
      <w:keepNext/>
      <w:numPr>
        <w:ilvl w:val="5"/>
        <w:numId w:val="9"/>
      </w:numPr>
      <w:spacing w:before="240"/>
      <w:jc w:val="both"/>
      <w:outlineLvl w:val="5"/>
    </w:pPr>
    <w:rPr>
      <w:rFonts w:ascii="Arial" w:hAnsi="Arial" w:cs="Arial"/>
      <w:b/>
      <w:i/>
      <w:color w:val="002060"/>
      <w:u w:val="single"/>
      <w:lang w:val="en-US"/>
    </w:rPr>
  </w:style>
  <w:style w:type="paragraph" w:styleId="Heading7">
    <w:name w:val="heading 7"/>
    <w:basedOn w:val="Normal"/>
    <w:next w:val="Normal"/>
    <w:link w:val="Heading7Char"/>
    <w:qFormat/>
    <w:rsid w:val="00974482"/>
    <w:pPr>
      <w:keepNext/>
      <w:numPr>
        <w:ilvl w:val="6"/>
        <w:numId w:val="9"/>
      </w:numPr>
      <w:jc w:val="both"/>
      <w:outlineLvl w:val="6"/>
    </w:pPr>
    <w:rPr>
      <w:rFonts w:ascii="Arial" w:hAnsi="Arial" w:cs="Arial"/>
      <w:b/>
    </w:rPr>
  </w:style>
  <w:style w:type="paragraph" w:styleId="Heading8">
    <w:name w:val="heading 8"/>
    <w:basedOn w:val="Normal"/>
    <w:next w:val="Normal"/>
    <w:link w:val="Heading8Char"/>
    <w:qFormat/>
    <w:rsid w:val="00974482"/>
    <w:pPr>
      <w:keepNext/>
      <w:numPr>
        <w:ilvl w:val="7"/>
        <w:numId w:val="9"/>
      </w:numPr>
      <w:jc w:val="right"/>
      <w:outlineLvl w:val="7"/>
    </w:pPr>
    <w:rPr>
      <w:rFonts w:ascii="Arial Narrow" w:hAnsi="Arial Narrow" w:cs="Arial"/>
      <w:b/>
    </w:rPr>
  </w:style>
  <w:style w:type="paragraph" w:styleId="Heading9">
    <w:name w:val="heading 9"/>
    <w:basedOn w:val="Normal"/>
    <w:next w:val="Normal"/>
    <w:link w:val="Heading9Char"/>
    <w:qFormat/>
    <w:rsid w:val="00974482"/>
    <w:pPr>
      <w:keepNext/>
      <w:numPr>
        <w:ilvl w:val="8"/>
        <w:numId w:val="9"/>
      </w:numPr>
      <w:jc w:val="both"/>
      <w:outlineLvl w:val="8"/>
    </w:pPr>
    <w:rPr>
      <w:rFonts w:ascii="Bookman" w:hAnsi="Bookman"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D32"/>
    <w:rPr>
      <w:rFonts w:ascii="Georgia" w:hAnsi="Georgia" w:cs="Arial"/>
      <w:b/>
      <w:color w:val="014171"/>
      <w:sz w:val="32"/>
      <w:szCs w:val="40"/>
      <w:lang w:eastAsia="en-US"/>
    </w:rPr>
  </w:style>
  <w:style w:type="character" w:customStyle="1" w:styleId="Heading2Char">
    <w:name w:val="Heading 2 Char"/>
    <w:basedOn w:val="DefaultParagraphFont"/>
    <w:link w:val="Heading2"/>
    <w:rsid w:val="00A22D32"/>
    <w:rPr>
      <w:rFonts w:ascii="Georgia" w:hAnsi="Georgia" w:cs="Calibri"/>
      <w:b/>
      <w:bCs/>
      <w:color w:val="014171"/>
      <w:sz w:val="24"/>
      <w:szCs w:val="24"/>
      <w:lang w:eastAsia="en-US"/>
    </w:rPr>
  </w:style>
  <w:style w:type="character" w:customStyle="1" w:styleId="Heading3Char">
    <w:name w:val="Heading 3 Char"/>
    <w:basedOn w:val="DefaultParagraphFont"/>
    <w:link w:val="Heading3"/>
    <w:rsid w:val="008A542A"/>
    <w:rPr>
      <w:rFonts w:ascii="Georgia" w:hAnsi="Georgia" w:cs="Calibri"/>
      <w:b/>
      <w:color w:val="014171"/>
      <w:sz w:val="22"/>
      <w:szCs w:val="24"/>
      <w:lang w:eastAsia="en-US"/>
    </w:rPr>
  </w:style>
  <w:style w:type="character" w:customStyle="1" w:styleId="Heading4Char">
    <w:name w:val="Heading 4 Char"/>
    <w:basedOn w:val="DefaultParagraphFont"/>
    <w:link w:val="Heading4"/>
    <w:rsid w:val="008A542A"/>
    <w:rPr>
      <w:rFonts w:ascii="Georgia" w:hAnsi="Georgia" w:cs="Calibri"/>
      <w:color w:val="014171"/>
      <w:sz w:val="22"/>
      <w:szCs w:val="24"/>
      <w:lang w:eastAsia="en-US"/>
    </w:rPr>
  </w:style>
  <w:style w:type="character" w:customStyle="1" w:styleId="Heading5Char">
    <w:name w:val="Heading 5 Char"/>
    <w:basedOn w:val="DefaultParagraphFont"/>
    <w:link w:val="Heading5"/>
    <w:rsid w:val="00974482"/>
    <w:rPr>
      <w:rFonts w:ascii="Arial" w:hAnsi="Arial" w:cs="Arial"/>
      <w:b/>
      <w:i/>
      <w:sz w:val="22"/>
      <w:szCs w:val="22"/>
      <w:lang w:eastAsia="en-US"/>
    </w:rPr>
  </w:style>
  <w:style w:type="character" w:customStyle="1" w:styleId="Heading6Char">
    <w:name w:val="Heading 6 Char"/>
    <w:basedOn w:val="DefaultParagraphFont"/>
    <w:link w:val="Heading6"/>
    <w:rsid w:val="00974482"/>
    <w:rPr>
      <w:rFonts w:ascii="Arial" w:hAnsi="Arial" w:cs="Arial"/>
      <w:b/>
      <w:i/>
      <w:color w:val="002060"/>
      <w:sz w:val="22"/>
      <w:szCs w:val="22"/>
      <w:u w:val="single"/>
      <w:lang w:val="en-US" w:eastAsia="en-US"/>
    </w:rPr>
  </w:style>
  <w:style w:type="character" w:customStyle="1" w:styleId="Heading7Char">
    <w:name w:val="Heading 7 Char"/>
    <w:basedOn w:val="DefaultParagraphFont"/>
    <w:link w:val="Heading7"/>
    <w:rsid w:val="00974482"/>
    <w:rPr>
      <w:rFonts w:ascii="Arial" w:hAnsi="Arial" w:cs="Arial"/>
      <w:b/>
      <w:sz w:val="22"/>
      <w:szCs w:val="22"/>
      <w:lang w:eastAsia="en-US"/>
    </w:rPr>
  </w:style>
  <w:style w:type="character" w:customStyle="1" w:styleId="Heading8Char">
    <w:name w:val="Heading 8 Char"/>
    <w:basedOn w:val="DefaultParagraphFont"/>
    <w:link w:val="Heading8"/>
    <w:rsid w:val="00974482"/>
    <w:rPr>
      <w:rFonts w:ascii="Arial Narrow" w:hAnsi="Arial Narrow" w:cs="Arial"/>
      <w:b/>
      <w:sz w:val="22"/>
      <w:szCs w:val="22"/>
      <w:lang w:eastAsia="en-US"/>
    </w:rPr>
  </w:style>
  <w:style w:type="character" w:customStyle="1" w:styleId="Heading9Char">
    <w:name w:val="Heading 9 Char"/>
    <w:basedOn w:val="DefaultParagraphFont"/>
    <w:link w:val="Heading9"/>
    <w:rsid w:val="00974482"/>
    <w:rPr>
      <w:rFonts w:ascii="Bookman" w:hAnsi="Bookman" w:cs="Arial"/>
      <w:sz w:val="22"/>
      <w:szCs w:val="22"/>
      <w:u w:val="single"/>
      <w:lang w:eastAsia="en-US"/>
    </w:rPr>
  </w:style>
  <w:style w:type="character" w:styleId="Hyperlink">
    <w:name w:val="Hyperlink"/>
    <w:uiPriority w:val="99"/>
    <w:unhideWhenUsed/>
    <w:rsid w:val="00974482"/>
    <w:rPr>
      <w:color w:val="0000FF"/>
      <w:u w:val="single"/>
    </w:rPr>
  </w:style>
  <w:style w:type="paragraph" w:styleId="ListParagraph">
    <w:name w:val="List Paragraph"/>
    <w:basedOn w:val="Normal"/>
    <w:link w:val="ListParagraphChar"/>
    <w:uiPriority w:val="34"/>
    <w:qFormat/>
    <w:rsid w:val="00974482"/>
    <w:pPr>
      <w:ind w:left="720"/>
    </w:pPr>
    <w:rPr>
      <w:rFonts w:ascii="Arial" w:hAnsi="Arial" w:cs="Arial"/>
      <w:lang w:eastAsia="ja-JP"/>
    </w:rPr>
  </w:style>
  <w:style w:type="paragraph" w:styleId="FootnoteText">
    <w:name w:val="footnote text"/>
    <w:basedOn w:val="Normal"/>
    <w:link w:val="FootnoteTextChar"/>
    <w:uiPriority w:val="99"/>
    <w:rsid w:val="00DA09F2"/>
    <w:pPr>
      <w:overflowPunct w:val="0"/>
      <w:autoSpaceDE w:val="0"/>
      <w:autoSpaceDN w:val="0"/>
      <w:adjustRightInd w:val="0"/>
      <w:spacing w:before="120" w:after="120"/>
      <w:jc w:val="both"/>
      <w:textAlignment w:val="baseline"/>
    </w:pPr>
    <w:rPr>
      <w:rFonts w:eastAsia="MS Mincho" w:cs="Arial"/>
      <w:i/>
      <w:sz w:val="18"/>
      <w:szCs w:val="20"/>
    </w:rPr>
  </w:style>
  <w:style w:type="character" w:customStyle="1" w:styleId="FootnoteTextChar">
    <w:name w:val="Footnote Text Char"/>
    <w:basedOn w:val="DefaultParagraphFont"/>
    <w:link w:val="FootnoteText"/>
    <w:uiPriority w:val="99"/>
    <w:rsid w:val="00DA09F2"/>
    <w:rPr>
      <w:rFonts w:eastAsia="MS Mincho" w:cs="Arial"/>
      <w:i/>
      <w:sz w:val="18"/>
      <w:lang w:eastAsia="en-US"/>
    </w:rPr>
  </w:style>
  <w:style w:type="character" w:styleId="FootnoteReference">
    <w:name w:val="footnote reference"/>
    <w:uiPriority w:val="99"/>
    <w:rsid w:val="00974482"/>
    <w:rPr>
      <w:vertAlign w:val="superscript"/>
    </w:rPr>
  </w:style>
  <w:style w:type="paragraph" w:styleId="BodyText">
    <w:name w:val="Body Text"/>
    <w:basedOn w:val="Normal"/>
    <w:link w:val="BodyTextChar"/>
    <w:unhideWhenUsed/>
    <w:rsid w:val="00974482"/>
    <w:pPr>
      <w:spacing w:after="120"/>
    </w:pPr>
  </w:style>
  <w:style w:type="character" w:customStyle="1" w:styleId="BodyTextChar">
    <w:name w:val="Body Text Char"/>
    <w:basedOn w:val="DefaultParagraphFont"/>
    <w:link w:val="BodyText"/>
    <w:rsid w:val="00974482"/>
    <w:rPr>
      <w:sz w:val="22"/>
      <w:szCs w:val="22"/>
      <w:lang w:eastAsia="en-US"/>
    </w:rPr>
  </w:style>
  <w:style w:type="paragraph" w:customStyle="1" w:styleId="Daiwabullet">
    <w:name w:val="Daiwa_bullet"/>
    <w:basedOn w:val="Normal"/>
    <w:next w:val="Normal"/>
    <w:link w:val="DaiwabulletChar"/>
    <w:qFormat/>
    <w:rsid w:val="00974482"/>
    <w:pPr>
      <w:numPr>
        <w:numId w:val="1"/>
      </w:numPr>
      <w:tabs>
        <w:tab w:val="left" w:pos="284"/>
      </w:tabs>
      <w:spacing w:after="0" w:line="300" w:lineRule="auto"/>
      <w:ind w:left="284" w:hanging="284"/>
    </w:pPr>
    <w:rPr>
      <w:rFonts w:ascii="Arial" w:hAnsi="Arial" w:cs="Arial"/>
    </w:rPr>
  </w:style>
  <w:style w:type="paragraph" w:styleId="Caption">
    <w:name w:val="caption"/>
    <w:basedOn w:val="Normal"/>
    <w:next w:val="Normal"/>
    <w:unhideWhenUsed/>
    <w:qFormat/>
    <w:rsid w:val="00C36000"/>
    <w:pPr>
      <w:overflowPunct w:val="0"/>
      <w:autoSpaceDE w:val="0"/>
      <w:autoSpaceDN w:val="0"/>
      <w:adjustRightInd w:val="0"/>
      <w:spacing w:after="0" w:line="240" w:lineRule="auto"/>
      <w:ind w:left="284"/>
      <w:jc w:val="center"/>
      <w:textAlignment w:val="baseline"/>
    </w:pPr>
    <w:rPr>
      <w:rFonts w:eastAsia="MS Mincho" w:cs="Calibri"/>
      <w:b/>
      <w:bCs/>
      <w:sz w:val="20"/>
      <w:szCs w:val="20"/>
    </w:rPr>
  </w:style>
  <w:style w:type="paragraph" w:customStyle="1" w:styleId="xl27">
    <w:name w:val="xl27"/>
    <w:basedOn w:val="Normal"/>
    <w:rsid w:val="00974482"/>
    <w:pPr>
      <w:overflowPunct w:val="0"/>
      <w:autoSpaceDE w:val="0"/>
      <w:autoSpaceDN w:val="0"/>
      <w:adjustRightInd w:val="0"/>
      <w:spacing w:before="100" w:beforeAutospacing="1" w:after="100" w:afterAutospacing="1"/>
      <w:jc w:val="right"/>
      <w:textAlignment w:val="baseline"/>
    </w:pPr>
    <w:rPr>
      <w:rFonts w:ascii="Arial" w:eastAsia="Arial Unicode MS" w:hAnsi="Arial" w:cs="Arial"/>
      <w:b/>
      <w:bCs/>
      <w:sz w:val="14"/>
      <w:szCs w:val="14"/>
    </w:rPr>
  </w:style>
  <w:style w:type="paragraph" w:customStyle="1" w:styleId="Daiwabody">
    <w:name w:val="Daiwa_body"/>
    <w:basedOn w:val="Normal"/>
    <w:link w:val="DaiwabodyChar"/>
    <w:qFormat/>
    <w:rsid w:val="00974482"/>
    <w:pPr>
      <w:spacing w:line="300" w:lineRule="auto"/>
    </w:pPr>
    <w:rPr>
      <w:rFonts w:ascii="Arial" w:hAnsi="Arial" w:cs="Arial"/>
    </w:rPr>
  </w:style>
  <w:style w:type="character" w:customStyle="1" w:styleId="DaiwabodyChar">
    <w:name w:val="Daiwa_body Char"/>
    <w:link w:val="Daiwabody"/>
    <w:rsid w:val="00974482"/>
    <w:rPr>
      <w:rFonts w:ascii="Arial" w:hAnsi="Arial" w:cs="Arial"/>
      <w:sz w:val="22"/>
      <w:szCs w:val="22"/>
      <w:lang w:eastAsia="en-US"/>
    </w:rPr>
  </w:style>
  <w:style w:type="paragraph" w:styleId="Header">
    <w:name w:val="header"/>
    <w:basedOn w:val="Normal"/>
    <w:link w:val="HeaderChar"/>
    <w:unhideWhenUsed/>
    <w:rsid w:val="00D8364E"/>
    <w:pPr>
      <w:tabs>
        <w:tab w:val="center" w:pos="4513"/>
        <w:tab w:val="right" w:pos="9026"/>
      </w:tabs>
      <w:spacing w:after="0" w:line="240" w:lineRule="auto"/>
    </w:pPr>
    <w:rPr>
      <w:rFonts w:asciiTheme="minorBidi" w:eastAsiaTheme="minorHAnsi" w:hAnsiTheme="minorBidi" w:cstheme="minorBidi"/>
    </w:rPr>
  </w:style>
  <w:style w:type="character" w:customStyle="1" w:styleId="HeaderChar">
    <w:name w:val="Header Char"/>
    <w:basedOn w:val="DefaultParagraphFont"/>
    <w:link w:val="Header"/>
    <w:rsid w:val="00D8364E"/>
    <w:rPr>
      <w:rFonts w:asciiTheme="minorBidi" w:eastAsiaTheme="minorHAnsi" w:hAnsiTheme="minorBidi" w:cstheme="minorBidi"/>
      <w:sz w:val="22"/>
      <w:szCs w:val="22"/>
      <w:lang w:eastAsia="en-US"/>
    </w:rPr>
  </w:style>
  <w:style w:type="paragraph" w:styleId="Footer">
    <w:name w:val="footer"/>
    <w:basedOn w:val="Normal"/>
    <w:link w:val="FooterChar"/>
    <w:uiPriority w:val="99"/>
    <w:unhideWhenUsed/>
    <w:rsid w:val="00D8364E"/>
    <w:pPr>
      <w:tabs>
        <w:tab w:val="center" w:pos="4513"/>
        <w:tab w:val="right" w:pos="9026"/>
      </w:tabs>
      <w:spacing w:after="0" w:line="240" w:lineRule="auto"/>
    </w:pPr>
    <w:rPr>
      <w:rFonts w:asciiTheme="minorBidi" w:eastAsiaTheme="minorHAnsi" w:hAnsiTheme="minorBidi" w:cstheme="minorBidi"/>
    </w:rPr>
  </w:style>
  <w:style w:type="character" w:customStyle="1" w:styleId="FooterChar">
    <w:name w:val="Footer Char"/>
    <w:basedOn w:val="DefaultParagraphFont"/>
    <w:link w:val="Footer"/>
    <w:uiPriority w:val="99"/>
    <w:rsid w:val="00D8364E"/>
    <w:rPr>
      <w:rFonts w:asciiTheme="minorBidi" w:eastAsiaTheme="minorHAnsi" w:hAnsiTheme="minorBidi" w:cstheme="minorBidi"/>
      <w:sz w:val="22"/>
      <w:szCs w:val="22"/>
      <w:lang w:eastAsia="en-US"/>
    </w:rPr>
  </w:style>
  <w:style w:type="paragraph" w:styleId="BalloonText">
    <w:name w:val="Balloon Text"/>
    <w:basedOn w:val="Normal"/>
    <w:link w:val="BalloonTextChar"/>
    <w:unhideWhenUsed/>
    <w:rsid w:val="00D8364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D8364E"/>
    <w:rPr>
      <w:rFonts w:ascii="Tahoma" w:eastAsiaTheme="minorHAnsi" w:hAnsi="Tahoma" w:cs="Tahoma"/>
      <w:sz w:val="16"/>
      <w:szCs w:val="16"/>
      <w:lang w:eastAsia="en-US"/>
    </w:rPr>
  </w:style>
  <w:style w:type="paragraph" w:styleId="NormalWeb">
    <w:name w:val="Normal (Web)"/>
    <w:basedOn w:val="Normal"/>
    <w:uiPriority w:val="99"/>
    <w:unhideWhenUsed/>
    <w:rsid w:val="00D8364E"/>
    <w:pPr>
      <w:spacing w:before="100" w:beforeAutospacing="1" w:after="100" w:afterAutospacing="1" w:line="240" w:lineRule="auto"/>
    </w:pPr>
    <w:rPr>
      <w:rFonts w:ascii="Times New Roman" w:eastAsia="MS Mincho" w:hAnsi="Times New Roman"/>
      <w:sz w:val="24"/>
      <w:szCs w:val="24"/>
      <w:lang w:eastAsia="ja-JP"/>
    </w:rPr>
  </w:style>
  <w:style w:type="paragraph" w:styleId="NoSpacing">
    <w:name w:val="No Spacing"/>
    <w:link w:val="NoSpacingChar"/>
    <w:uiPriority w:val="1"/>
    <w:qFormat/>
    <w:rsid w:val="00D8364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8364E"/>
    <w:rPr>
      <w:rFonts w:asciiTheme="minorHAnsi" w:eastAsiaTheme="minorEastAsia" w:hAnsiTheme="minorHAnsi" w:cstheme="minorBidi"/>
      <w:sz w:val="22"/>
      <w:szCs w:val="22"/>
      <w:lang w:val="en-US" w:eastAsia="ja-JP"/>
    </w:rPr>
  </w:style>
  <w:style w:type="paragraph" w:customStyle="1" w:styleId="DaiwaHeading1">
    <w:name w:val="Daiwa_Heading_1"/>
    <w:basedOn w:val="Normal"/>
    <w:link w:val="DaiwaHeading1Char"/>
    <w:qFormat/>
    <w:rsid w:val="00D8364E"/>
    <w:pPr>
      <w:tabs>
        <w:tab w:val="left" w:pos="1725"/>
      </w:tabs>
      <w:spacing w:after="400"/>
    </w:pPr>
    <w:rPr>
      <w:rFonts w:asciiTheme="minorBidi" w:eastAsiaTheme="minorHAnsi" w:hAnsiTheme="minorBidi" w:cstheme="minorBidi"/>
      <w:color w:val="014171"/>
      <w:sz w:val="40"/>
      <w:szCs w:val="40"/>
    </w:rPr>
  </w:style>
  <w:style w:type="paragraph" w:styleId="TOC2">
    <w:name w:val="toc 2"/>
    <w:basedOn w:val="Normal"/>
    <w:next w:val="Normal"/>
    <w:autoRedefine/>
    <w:uiPriority w:val="39"/>
    <w:unhideWhenUsed/>
    <w:rsid w:val="00E14FD6"/>
    <w:pPr>
      <w:tabs>
        <w:tab w:val="left" w:pos="1080"/>
        <w:tab w:val="right" w:leader="dot" w:pos="9016"/>
      </w:tabs>
      <w:spacing w:after="0" w:line="240" w:lineRule="auto"/>
      <w:ind w:left="896" w:hanging="539"/>
    </w:pPr>
    <w:rPr>
      <w:rFonts w:asciiTheme="minorHAnsi" w:eastAsiaTheme="minorHAnsi" w:hAnsiTheme="minorHAnsi" w:cstheme="minorHAnsi"/>
      <w:sz w:val="20"/>
    </w:rPr>
  </w:style>
  <w:style w:type="character" w:customStyle="1" w:styleId="DaiwaHeading1Char">
    <w:name w:val="Daiwa_Heading_1 Char"/>
    <w:basedOn w:val="DefaultParagraphFont"/>
    <w:link w:val="DaiwaHeading1"/>
    <w:rsid w:val="00D8364E"/>
    <w:rPr>
      <w:rFonts w:asciiTheme="minorBidi" w:eastAsiaTheme="minorHAnsi" w:hAnsiTheme="minorBidi" w:cstheme="minorBidi"/>
      <w:color w:val="014171"/>
      <w:sz w:val="40"/>
      <w:szCs w:val="40"/>
      <w:lang w:eastAsia="en-US"/>
    </w:rPr>
  </w:style>
  <w:style w:type="paragraph" w:customStyle="1" w:styleId="Daiwaheading2">
    <w:name w:val="Daiwa_heading 2"/>
    <w:basedOn w:val="Daiwabody"/>
    <w:link w:val="Daiwaheading2Char"/>
    <w:qFormat/>
    <w:rsid w:val="00D8364E"/>
    <w:pPr>
      <w:spacing w:after="120"/>
    </w:pPr>
    <w:rPr>
      <w:rFonts w:asciiTheme="minorBidi" w:eastAsiaTheme="minorHAnsi" w:hAnsiTheme="minorBidi" w:cstheme="minorBidi"/>
      <w:b/>
      <w:bCs/>
      <w:color w:val="014171"/>
    </w:rPr>
  </w:style>
  <w:style w:type="paragraph" w:customStyle="1" w:styleId="Daiwaheading3">
    <w:name w:val="Daiwa_heading_3"/>
    <w:basedOn w:val="Daiwaheading2"/>
    <w:link w:val="Daiwaheading3Char"/>
    <w:qFormat/>
    <w:rsid w:val="00D8364E"/>
    <w:rPr>
      <w:b w:val="0"/>
      <w:bCs w:val="0"/>
    </w:rPr>
  </w:style>
  <w:style w:type="character" w:customStyle="1" w:styleId="Daiwaheading2Char">
    <w:name w:val="Daiwa_heading 2 Char"/>
    <w:basedOn w:val="DaiwabodyChar"/>
    <w:link w:val="Daiwaheading2"/>
    <w:rsid w:val="00D8364E"/>
    <w:rPr>
      <w:rFonts w:asciiTheme="minorBidi" w:eastAsiaTheme="minorHAnsi" w:hAnsiTheme="minorBidi" w:cstheme="minorBidi"/>
      <w:b/>
      <w:bCs/>
      <w:color w:val="014171"/>
      <w:sz w:val="22"/>
      <w:szCs w:val="22"/>
      <w:lang w:eastAsia="en-US"/>
    </w:rPr>
  </w:style>
  <w:style w:type="paragraph" w:customStyle="1" w:styleId="Daiwaheading4">
    <w:name w:val="Daiwa_heading_4"/>
    <w:basedOn w:val="Daiwaheading3"/>
    <w:link w:val="Daiwaheading4Char"/>
    <w:qFormat/>
    <w:rsid w:val="00D8364E"/>
    <w:rPr>
      <w:i/>
      <w:iCs/>
    </w:rPr>
  </w:style>
  <w:style w:type="character" w:customStyle="1" w:styleId="Daiwaheading3Char">
    <w:name w:val="Daiwa_heading_3 Char"/>
    <w:basedOn w:val="Daiwaheading2Char"/>
    <w:link w:val="Daiwaheading3"/>
    <w:rsid w:val="00D8364E"/>
    <w:rPr>
      <w:rFonts w:asciiTheme="minorBidi" w:eastAsiaTheme="minorHAnsi" w:hAnsiTheme="minorBidi" w:cstheme="minorBidi"/>
      <w:b w:val="0"/>
      <w:bCs w:val="0"/>
      <w:color w:val="014171"/>
      <w:sz w:val="22"/>
      <w:szCs w:val="22"/>
      <w:lang w:eastAsia="en-US"/>
    </w:rPr>
  </w:style>
  <w:style w:type="character" w:customStyle="1" w:styleId="Daiwaheading4Char">
    <w:name w:val="Daiwa_heading_4 Char"/>
    <w:basedOn w:val="Daiwaheading3Char"/>
    <w:link w:val="Daiwaheading4"/>
    <w:rsid w:val="00D8364E"/>
    <w:rPr>
      <w:rFonts w:asciiTheme="minorBidi" w:eastAsiaTheme="minorHAnsi" w:hAnsiTheme="minorBidi" w:cstheme="minorBidi"/>
      <w:b w:val="0"/>
      <w:bCs w:val="0"/>
      <w:i/>
      <w:iCs/>
      <w:color w:val="014171"/>
      <w:sz w:val="22"/>
      <w:szCs w:val="22"/>
      <w:lang w:eastAsia="en-US"/>
    </w:rPr>
  </w:style>
  <w:style w:type="paragraph" w:customStyle="1" w:styleId="Daiwasubbullet">
    <w:name w:val="Daiwa_sub_bullet"/>
    <w:basedOn w:val="Daiwabody"/>
    <w:link w:val="DaiwasubbulletChar"/>
    <w:qFormat/>
    <w:rsid w:val="00D8364E"/>
    <w:pPr>
      <w:numPr>
        <w:numId w:val="2"/>
      </w:numPr>
      <w:tabs>
        <w:tab w:val="left" w:pos="284"/>
      </w:tabs>
      <w:spacing w:after="0"/>
      <w:ind w:left="568" w:hanging="284"/>
    </w:pPr>
    <w:rPr>
      <w:rFonts w:asciiTheme="minorBidi" w:eastAsiaTheme="minorHAnsi" w:hAnsiTheme="minorBidi" w:cstheme="minorBidi"/>
    </w:rPr>
  </w:style>
  <w:style w:type="character" w:customStyle="1" w:styleId="DaiwabulletChar">
    <w:name w:val="Daiwa_bullet Char"/>
    <w:basedOn w:val="DaiwabodyChar"/>
    <w:link w:val="Daiwabullet"/>
    <w:rsid w:val="00D8364E"/>
    <w:rPr>
      <w:rFonts w:ascii="Arial" w:hAnsi="Arial" w:cs="Arial"/>
      <w:sz w:val="22"/>
      <w:szCs w:val="22"/>
      <w:lang w:eastAsia="en-US"/>
    </w:rPr>
  </w:style>
  <w:style w:type="table" w:styleId="TableGrid">
    <w:name w:val="Table Grid"/>
    <w:basedOn w:val="TableNormal"/>
    <w:uiPriority w:val="39"/>
    <w:rsid w:val="00D836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iwasubbulletChar">
    <w:name w:val="Daiwa_sub_bullet Char"/>
    <w:basedOn w:val="DaiwabodyChar"/>
    <w:link w:val="Daiwasubbullet"/>
    <w:rsid w:val="00D8364E"/>
    <w:rPr>
      <w:rFonts w:asciiTheme="minorBidi" w:eastAsiaTheme="minorHAnsi" w:hAnsiTheme="minorBidi" w:cstheme="minorBidi"/>
      <w:sz w:val="22"/>
      <w:szCs w:val="22"/>
      <w:lang w:eastAsia="en-US"/>
    </w:rPr>
  </w:style>
  <w:style w:type="paragraph" w:customStyle="1" w:styleId="DaiwaTableText">
    <w:name w:val="Daiwa_Table_Text"/>
    <w:basedOn w:val="Daiwabody"/>
    <w:qFormat/>
    <w:rsid w:val="00D8364E"/>
    <w:pPr>
      <w:spacing w:after="0"/>
    </w:pPr>
    <w:rPr>
      <w:rFonts w:asciiTheme="minorBidi" w:eastAsiaTheme="minorHAnsi" w:hAnsiTheme="minorBidi" w:cstheme="minorBidi"/>
      <w:sz w:val="18"/>
      <w:szCs w:val="18"/>
    </w:rPr>
  </w:style>
  <w:style w:type="paragraph" w:customStyle="1" w:styleId="DaiwaTableHeading">
    <w:name w:val="Daiwa_Table_Heading"/>
    <w:basedOn w:val="Daiwabody"/>
    <w:qFormat/>
    <w:rsid w:val="00D8364E"/>
    <w:pPr>
      <w:spacing w:after="0"/>
    </w:pPr>
    <w:rPr>
      <w:rFonts w:asciiTheme="minorBidi" w:eastAsiaTheme="minorHAnsi" w:hAnsiTheme="minorBidi" w:cstheme="minorBidi"/>
      <w:b/>
      <w:bCs/>
      <w:sz w:val="18"/>
      <w:szCs w:val="18"/>
    </w:rPr>
  </w:style>
  <w:style w:type="paragraph" w:customStyle="1" w:styleId="DaiwaColumnHeading">
    <w:name w:val="Daiwa_Column Heading"/>
    <w:basedOn w:val="Daiwaheading2"/>
    <w:link w:val="DaiwaColumnHeadingChar"/>
    <w:qFormat/>
    <w:rsid w:val="00D8364E"/>
    <w:pPr>
      <w:pBdr>
        <w:bottom w:val="single" w:sz="4" w:space="1" w:color="014171"/>
      </w:pBdr>
      <w:spacing w:before="1120"/>
    </w:pPr>
    <w:rPr>
      <w:b w:val="0"/>
      <w:caps/>
    </w:rPr>
  </w:style>
  <w:style w:type="paragraph" w:customStyle="1" w:styleId="DaiwaColumnText">
    <w:name w:val="Daiwa_Column_Text"/>
    <w:basedOn w:val="Daiwabody"/>
    <w:link w:val="DaiwaColumnTextChar"/>
    <w:qFormat/>
    <w:rsid w:val="00D8364E"/>
    <w:rPr>
      <w:rFonts w:asciiTheme="minorBidi" w:eastAsiaTheme="minorHAnsi" w:hAnsiTheme="minorBidi" w:cstheme="minorBidi"/>
      <w:sz w:val="18"/>
      <w:szCs w:val="18"/>
    </w:rPr>
  </w:style>
  <w:style w:type="character" w:customStyle="1" w:styleId="DaiwaColumnHeadingChar">
    <w:name w:val="Daiwa_Column Heading Char"/>
    <w:basedOn w:val="Daiwaheading2Char"/>
    <w:link w:val="DaiwaColumnHeading"/>
    <w:rsid w:val="00D8364E"/>
    <w:rPr>
      <w:rFonts w:asciiTheme="minorBidi" w:eastAsiaTheme="minorHAnsi" w:hAnsiTheme="minorBidi" w:cstheme="minorBidi"/>
      <w:b w:val="0"/>
      <w:bCs/>
      <w:caps/>
      <w:color w:val="014171"/>
      <w:sz w:val="22"/>
      <w:szCs w:val="22"/>
      <w:lang w:eastAsia="en-US"/>
    </w:rPr>
  </w:style>
  <w:style w:type="character" w:customStyle="1" w:styleId="DaiwaColumnTextChar">
    <w:name w:val="Daiwa_Column_Text Char"/>
    <w:basedOn w:val="DaiwabodyChar"/>
    <w:link w:val="DaiwaColumnText"/>
    <w:rsid w:val="00D8364E"/>
    <w:rPr>
      <w:rFonts w:asciiTheme="minorBidi" w:eastAsiaTheme="minorHAnsi" w:hAnsiTheme="minorBidi" w:cstheme="minorBidi"/>
      <w:sz w:val="18"/>
      <w:szCs w:val="18"/>
      <w:lang w:eastAsia="en-US"/>
    </w:rPr>
  </w:style>
  <w:style w:type="paragraph" w:styleId="TOC1">
    <w:name w:val="toc 1"/>
    <w:basedOn w:val="Normal"/>
    <w:next w:val="Normal"/>
    <w:autoRedefine/>
    <w:uiPriority w:val="39"/>
    <w:unhideWhenUsed/>
    <w:rsid w:val="000D32AD"/>
    <w:pPr>
      <w:tabs>
        <w:tab w:val="left" w:pos="900"/>
        <w:tab w:val="right" w:leader="dot" w:pos="9016"/>
      </w:tabs>
      <w:spacing w:after="0" w:line="240" w:lineRule="auto"/>
    </w:pPr>
    <w:rPr>
      <w:rFonts w:asciiTheme="minorHAnsi" w:eastAsiaTheme="minorHAnsi" w:hAnsiTheme="minorHAnsi" w:cstheme="minorBidi"/>
      <w:b/>
    </w:rPr>
  </w:style>
  <w:style w:type="paragraph" w:styleId="ListBullet3">
    <w:name w:val="List Bullet 3"/>
    <w:basedOn w:val="Normal"/>
    <w:rsid w:val="00D8364E"/>
    <w:pPr>
      <w:numPr>
        <w:numId w:val="3"/>
      </w:numPr>
      <w:jc w:val="both"/>
    </w:pPr>
    <w:rPr>
      <w:rFonts w:ascii="Arial" w:hAnsi="Arial" w:cs="Arial"/>
    </w:rPr>
  </w:style>
  <w:style w:type="paragraph" w:customStyle="1" w:styleId="TableContent">
    <w:name w:val="TableContent"/>
    <w:basedOn w:val="Normal"/>
    <w:link w:val="TableContentChar"/>
    <w:qFormat/>
    <w:rsid w:val="00D8364E"/>
    <w:pPr>
      <w:keepNext/>
      <w:overflowPunct w:val="0"/>
      <w:autoSpaceDE w:val="0"/>
      <w:autoSpaceDN w:val="0"/>
      <w:adjustRightInd w:val="0"/>
      <w:spacing w:before="120" w:after="0"/>
      <w:ind w:left="23"/>
      <w:jc w:val="right"/>
      <w:textAlignment w:val="baseline"/>
    </w:pPr>
    <w:rPr>
      <w:rFonts w:eastAsia="MS Mincho" w:cs="Arial"/>
      <w:sz w:val="18"/>
      <w:szCs w:val="20"/>
    </w:rPr>
  </w:style>
  <w:style w:type="character" w:customStyle="1" w:styleId="TableContentChar">
    <w:name w:val="TableContent Char"/>
    <w:link w:val="TableContent"/>
    <w:rsid w:val="00D8364E"/>
    <w:rPr>
      <w:rFonts w:eastAsia="MS Mincho" w:cs="Arial"/>
      <w:sz w:val="18"/>
      <w:lang w:eastAsia="en-US"/>
    </w:rPr>
  </w:style>
  <w:style w:type="paragraph" w:customStyle="1" w:styleId="TableHeading">
    <w:name w:val="TableHeading"/>
    <w:basedOn w:val="Normal"/>
    <w:link w:val="TableHeadingChar"/>
    <w:qFormat/>
    <w:rsid w:val="00D8364E"/>
    <w:pPr>
      <w:overflowPunct w:val="0"/>
      <w:autoSpaceDE w:val="0"/>
      <w:autoSpaceDN w:val="0"/>
      <w:adjustRightInd w:val="0"/>
      <w:spacing w:before="120" w:after="0"/>
      <w:ind w:firstLine="34"/>
      <w:jc w:val="both"/>
      <w:textAlignment w:val="baseline"/>
    </w:pPr>
    <w:rPr>
      <w:rFonts w:eastAsia="MS Mincho" w:cs="Arial"/>
      <w:b/>
      <w:szCs w:val="20"/>
    </w:rPr>
  </w:style>
  <w:style w:type="character" w:customStyle="1" w:styleId="TableHeadingChar">
    <w:name w:val="TableHeading Char"/>
    <w:link w:val="TableHeading"/>
    <w:rsid w:val="00D8364E"/>
    <w:rPr>
      <w:rFonts w:eastAsia="MS Mincho" w:cs="Arial"/>
      <w:b/>
      <w:sz w:val="22"/>
      <w:lang w:eastAsia="en-US"/>
    </w:rPr>
  </w:style>
  <w:style w:type="character" w:styleId="Emphasis">
    <w:name w:val="Emphasis"/>
    <w:qFormat/>
    <w:rsid w:val="00D8364E"/>
    <w:rPr>
      <w:i/>
    </w:rPr>
  </w:style>
  <w:style w:type="numbering" w:customStyle="1" w:styleId="Style1">
    <w:name w:val="Style1"/>
    <w:uiPriority w:val="99"/>
    <w:rsid w:val="00D8364E"/>
    <w:pPr>
      <w:numPr>
        <w:numId w:val="4"/>
      </w:numPr>
    </w:pPr>
  </w:style>
  <w:style w:type="paragraph" w:styleId="BodyText2">
    <w:name w:val="Body Text 2"/>
    <w:basedOn w:val="Normal"/>
    <w:link w:val="BodyText2Char"/>
    <w:rsid w:val="00D8364E"/>
    <w:pPr>
      <w:keepNext/>
      <w:tabs>
        <w:tab w:val="left" w:pos="720"/>
      </w:tabs>
      <w:overflowPunct w:val="0"/>
      <w:autoSpaceDE w:val="0"/>
      <w:autoSpaceDN w:val="0"/>
      <w:adjustRightInd w:val="0"/>
      <w:spacing w:before="120" w:after="120"/>
      <w:ind w:left="357"/>
      <w:jc w:val="both"/>
      <w:textAlignment w:val="baseline"/>
    </w:pPr>
    <w:rPr>
      <w:rFonts w:eastAsia="MS Mincho" w:cs="Arial"/>
      <w:sz w:val="21"/>
      <w:szCs w:val="20"/>
    </w:rPr>
  </w:style>
  <w:style w:type="character" w:customStyle="1" w:styleId="BodyText2Char">
    <w:name w:val="Body Text 2 Char"/>
    <w:basedOn w:val="DefaultParagraphFont"/>
    <w:link w:val="BodyText2"/>
    <w:rsid w:val="00D8364E"/>
    <w:rPr>
      <w:rFonts w:eastAsia="MS Mincho" w:cs="Arial"/>
      <w:sz w:val="21"/>
      <w:lang w:eastAsia="en-US"/>
    </w:rPr>
  </w:style>
  <w:style w:type="paragraph" w:styleId="BodyText3">
    <w:name w:val="Body Text 3"/>
    <w:basedOn w:val="Normal"/>
    <w:link w:val="BodyText3Char"/>
    <w:rsid w:val="00D8364E"/>
    <w:pPr>
      <w:overflowPunct w:val="0"/>
      <w:autoSpaceDE w:val="0"/>
      <w:autoSpaceDN w:val="0"/>
      <w:adjustRightInd w:val="0"/>
      <w:spacing w:before="100" w:after="100"/>
      <w:jc w:val="both"/>
      <w:textAlignment w:val="baseline"/>
    </w:pPr>
    <w:rPr>
      <w:rFonts w:eastAsia="MS Mincho" w:cs="Arial"/>
      <w:sz w:val="21"/>
      <w:szCs w:val="20"/>
      <w:lang w:val="en-US"/>
    </w:rPr>
  </w:style>
  <w:style w:type="character" w:customStyle="1" w:styleId="BodyText3Char">
    <w:name w:val="Body Text 3 Char"/>
    <w:basedOn w:val="DefaultParagraphFont"/>
    <w:link w:val="BodyText3"/>
    <w:rsid w:val="00D8364E"/>
    <w:rPr>
      <w:rFonts w:eastAsia="MS Mincho" w:cs="Arial"/>
      <w:sz w:val="21"/>
      <w:lang w:val="en-US" w:eastAsia="en-US"/>
    </w:rPr>
  </w:style>
  <w:style w:type="paragraph" w:customStyle="1" w:styleId="xl24">
    <w:name w:val="xl24"/>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4"/>
      <w:szCs w:val="14"/>
    </w:rPr>
  </w:style>
  <w:style w:type="paragraph" w:customStyle="1" w:styleId="xl25">
    <w:name w:val="xl25"/>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4"/>
      <w:szCs w:val="14"/>
    </w:rPr>
  </w:style>
  <w:style w:type="paragraph" w:customStyle="1" w:styleId="xl26">
    <w:name w:val="xl26"/>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b/>
      <w:bCs/>
      <w:sz w:val="14"/>
      <w:szCs w:val="14"/>
    </w:rPr>
  </w:style>
  <w:style w:type="paragraph" w:customStyle="1" w:styleId="xl28">
    <w:name w:val="xl28"/>
    <w:basedOn w:val="Normal"/>
    <w:rsid w:val="00D8364E"/>
    <w:pPr>
      <w:pBdr>
        <w:bottom w:val="single" w:sz="8"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4"/>
      <w:szCs w:val="14"/>
    </w:rPr>
  </w:style>
  <w:style w:type="paragraph" w:customStyle="1" w:styleId="xl29">
    <w:name w:val="xl29"/>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2"/>
      <w:szCs w:val="12"/>
    </w:rPr>
  </w:style>
  <w:style w:type="paragraph" w:customStyle="1" w:styleId="xl30">
    <w:name w:val="xl30"/>
    <w:basedOn w:val="Normal"/>
    <w:rsid w:val="00D8364E"/>
    <w:pPr>
      <w:spacing w:before="100" w:beforeAutospacing="1" w:after="100" w:afterAutospacing="1"/>
    </w:pPr>
    <w:rPr>
      <w:rFonts w:eastAsia="Arial Unicode MS" w:cs="Arial"/>
      <w:sz w:val="18"/>
      <w:szCs w:val="18"/>
    </w:rPr>
  </w:style>
  <w:style w:type="paragraph" w:customStyle="1" w:styleId="xl31">
    <w:name w:val="xl31"/>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b/>
      <w:bCs/>
      <w:sz w:val="18"/>
      <w:szCs w:val="18"/>
    </w:rPr>
  </w:style>
  <w:style w:type="paragraph" w:customStyle="1" w:styleId="xl32">
    <w:name w:val="xl32"/>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8"/>
      <w:szCs w:val="18"/>
    </w:rPr>
  </w:style>
  <w:style w:type="paragraph" w:customStyle="1" w:styleId="xl33">
    <w:name w:val="xl33"/>
    <w:basedOn w:val="Normal"/>
    <w:rsid w:val="00D8364E"/>
    <w:pPr>
      <w:pBdr>
        <w:top w:val="single" w:sz="4" w:space="0" w:color="auto"/>
        <w:bottom w:val="single" w:sz="8" w:space="0" w:color="auto"/>
      </w:pBdr>
      <w:overflowPunct w:val="0"/>
      <w:autoSpaceDE w:val="0"/>
      <w:autoSpaceDN w:val="0"/>
      <w:adjustRightInd w:val="0"/>
      <w:spacing w:before="100" w:beforeAutospacing="1" w:after="100" w:afterAutospacing="1"/>
      <w:jc w:val="both"/>
      <w:textAlignment w:val="baseline"/>
    </w:pPr>
    <w:rPr>
      <w:rFonts w:ascii="Arial" w:eastAsia="Arial Unicode MS" w:hAnsi="Arial" w:cs="Arial"/>
      <w:b/>
      <w:bCs/>
      <w:sz w:val="18"/>
      <w:szCs w:val="18"/>
    </w:rPr>
  </w:style>
  <w:style w:type="paragraph" w:customStyle="1" w:styleId="xl34">
    <w:name w:val="xl34"/>
    <w:basedOn w:val="Normal"/>
    <w:rsid w:val="00D8364E"/>
    <w:pP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2"/>
      <w:szCs w:val="12"/>
    </w:rPr>
  </w:style>
  <w:style w:type="character" w:styleId="FollowedHyperlink">
    <w:name w:val="FollowedHyperlink"/>
    <w:rsid w:val="00D8364E"/>
    <w:rPr>
      <w:color w:val="800080"/>
      <w:u w:val="single"/>
    </w:rPr>
  </w:style>
  <w:style w:type="character" w:styleId="PageNumber">
    <w:name w:val="page number"/>
    <w:rsid w:val="00D8364E"/>
  </w:style>
  <w:style w:type="paragraph" w:styleId="TOC3">
    <w:name w:val="toc 3"/>
    <w:basedOn w:val="Normal"/>
    <w:next w:val="Normal"/>
    <w:autoRedefine/>
    <w:uiPriority w:val="39"/>
    <w:rsid w:val="00D8364E"/>
    <w:pPr>
      <w:tabs>
        <w:tab w:val="left" w:pos="993"/>
        <w:tab w:val="right" w:leader="dot" w:pos="8849"/>
      </w:tabs>
      <w:overflowPunct w:val="0"/>
      <w:autoSpaceDE w:val="0"/>
      <w:autoSpaceDN w:val="0"/>
      <w:adjustRightInd w:val="0"/>
      <w:spacing w:before="120" w:after="0"/>
      <w:ind w:left="284"/>
      <w:textAlignment w:val="baseline"/>
    </w:pPr>
    <w:rPr>
      <w:rFonts w:eastAsia="MS Mincho" w:cs="Arial"/>
      <w:szCs w:val="20"/>
    </w:rPr>
  </w:style>
  <w:style w:type="paragraph" w:styleId="TOC4">
    <w:name w:val="toc 4"/>
    <w:basedOn w:val="Normal"/>
    <w:next w:val="Normal"/>
    <w:autoRedefine/>
    <w:uiPriority w:val="39"/>
    <w:rsid w:val="00D8364E"/>
    <w:pPr>
      <w:overflowPunct w:val="0"/>
      <w:autoSpaceDE w:val="0"/>
      <w:autoSpaceDN w:val="0"/>
      <w:adjustRightInd w:val="0"/>
      <w:spacing w:before="120" w:after="120"/>
      <w:ind w:left="440"/>
      <w:textAlignment w:val="baseline"/>
    </w:pPr>
    <w:rPr>
      <w:rFonts w:eastAsia="MS Mincho" w:cs="Arial"/>
      <w:szCs w:val="20"/>
    </w:rPr>
  </w:style>
  <w:style w:type="paragraph" w:styleId="TOC5">
    <w:name w:val="toc 5"/>
    <w:basedOn w:val="Normal"/>
    <w:next w:val="Normal"/>
    <w:autoRedefine/>
    <w:uiPriority w:val="39"/>
    <w:rsid w:val="00D8364E"/>
    <w:pPr>
      <w:overflowPunct w:val="0"/>
      <w:autoSpaceDE w:val="0"/>
      <w:autoSpaceDN w:val="0"/>
      <w:adjustRightInd w:val="0"/>
      <w:spacing w:before="120" w:after="120"/>
      <w:ind w:left="660"/>
      <w:textAlignment w:val="baseline"/>
    </w:pPr>
    <w:rPr>
      <w:rFonts w:eastAsia="MS Mincho" w:cs="Arial"/>
      <w:szCs w:val="20"/>
    </w:rPr>
  </w:style>
  <w:style w:type="paragraph" w:styleId="TOC6">
    <w:name w:val="toc 6"/>
    <w:basedOn w:val="Normal"/>
    <w:next w:val="Normal"/>
    <w:autoRedefine/>
    <w:uiPriority w:val="39"/>
    <w:rsid w:val="00D8364E"/>
    <w:pPr>
      <w:overflowPunct w:val="0"/>
      <w:autoSpaceDE w:val="0"/>
      <w:autoSpaceDN w:val="0"/>
      <w:adjustRightInd w:val="0"/>
      <w:spacing w:before="120" w:after="120"/>
      <w:ind w:left="880"/>
      <w:textAlignment w:val="baseline"/>
    </w:pPr>
    <w:rPr>
      <w:rFonts w:eastAsia="MS Mincho" w:cs="Arial"/>
      <w:szCs w:val="20"/>
    </w:rPr>
  </w:style>
  <w:style w:type="paragraph" w:styleId="TOC7">
    <w:name w:val="toc 7"/>
    <w:basedOn w:val="Normal"/>
    <w:next w:val="Normal"/>
    <w:autoRedefine/>
    <w:uiPriority w:val="39"/>
    <w:rsid w:val="00D8364E"/>
    <w:pPr>
      <w:overflowPunct w:val="0"/>
      <w:autoSpaceDE w:val="0"/>
      <w:autoSpaceDN w:val="0"/>
      <w:adjustRightInd w:val="0"/>
      <w:spacing w:before="120" w:after="120"/>
      <w:ind w:left="1100"/>
      <w:textAlignment w:val="baseline"/>
    </w:pPr>
    <w:rPr>
      <w:rFonts w:eastAsia="MS Mincho" w:cs="Arial"/>
      <w:szCs w:val="20"/>
    </w:rPr>
  </w:style>
  <w:style w:type="paragraph" w:styleId="TOC8">
    <w:name w:val="toc 8"/>
    <w:basedOn w:val="Normal"/>
    <w:next w:val="Normal"/>
    <w:autoRedefine/>
    <w:uiPriority w:val="39"/>
    <w:rsid w:val="00D8364E"/>
    <w:pPr>
      <w:overflowPunct w:val="0"/>
      <w:autoSpaceDE w:val="0"/>
      <w:autoSpaceDN w:val="0"/>
      <w:adjustRightInd w:val="0"/>
      <w:spacing w:before="120" w:after="120"/>
      <w:ind w:left="1320"/>
      <w:textAlignment w:val="baseline"/>
    </w:pPr>
    <w:rPr>
      <w:rFonts w:eastAsia="MS Mincho" w:cs="Arial"/>
      <w:szCs w:val="20"/>
    </w:rPr>
  </w:style>
  <w:style w:type="paragraph" w:styleId="TOC9">
    <w:name w:val="toc 9"/>
    <w:basedOn w:val="Normal"/>
    <w:next w:val="Normal"/>
    <w:autoRedefine/>
    <w:uiPriority w:val="39"/>
    <w:rsid w:val="00D8364E"/>
    <w:pPr>
      <w:overflowPunct w:val="0"/>
      <w:autoSpaceDE w:val="0"/>
      <w:autoSpaceDN w:val="0"/>
      <w:adjustRightInd w:val="0"/>
      <w:spacing w:before="120" w:after="120"/>
      <w:ind w:left="1540"/>
      <w:textAlignment w:val="baseline"/>
    </w:pPr>
    <w:rPr>
      <w:rFonts w:eastAsia="MS Mincho" w:cs="Arial"/>
      <w:szCs w:val="20"/>
    </w:rPr>
  </w:style>
  <w:style w:type="paragraph" w:customStyle="1" w:styleId="T1">
    <w:name w:val="T1"/>
    <w:basedOn w:val="Heading1"/>
    <w:rsid w:val="00D8364E"/>
    <w:pPr>
      <w:pageBreakBefore/>
      <w:numPr>
        <w:numId w:val="0"/>
      </w:numPr>
      <w:pBdr>
        <w:bottom w:val="single" w:sz="6" w:space="1" w:color="auto"/>
      </w:pBdr>
      <w:overflowPunct w:val="0"/>
      <w:autoSpaceDE w:val="0"/>
      <w:autoSpaceDN w:val="0"/>
      <w:adjustRightInd w:val="0"/>
      <w:spacing w:before="120" w:after="301" w:line="301" w:lineRule="atLeast"/>
      <w:ind w:left="851" w:hanging="851"/>
      <w:textAlignment w:val="baseline"/>
      <w:outlineLvl w:val="9"/>
    </w:pPr>
    <w:rPr>
      <w:rFonts w:eastAsia="Times New Roman"/>
      <w:color w:val="auto"/>
      <w:kern w:val="32"/>
      <w:sz w:val="19"/>
      <w:szCs w:val="20"/>
    </w:rPr>
  </w:style>
  <w:style w:type="paragraph" w:customStyle="1" w:styleId="xl35">
    <w:name w:val="xl35"/>
    <w:basedOn w:val="Normal"/>
    <w:rsid w:val="00D8364E"/>
    <w:pPr>
      <w:pBdr>
        <w:top w:val="single" w:sz="4" w:space="0" w:color="auto"/>
        <w:bottom w:val="single" w:sz="8"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b/>
      <w:bCs/>
      <w:sz w:val="18"/>
      <w:szCs w:val="18"/>
    </w:rPr>
  </w:style>
  <w:style w:type="paragraph" w:customStyle="1" w:styleId="xl36">
    <w:name w:val="xl36"/>
    <w:basedOn w:val="Normal"/>
    <w:rsid w:val="00D8364E"/>
    <w:pPr>
      <w:pBdr>
        <w:bottom w:val="single" w:sz="4"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8"/>
      <w:szCs w:val="18"/>
    </w:rPr>
  </w:style>
  <w:style w:type="paragraph" w:customStyle="1" w:styleId="xl37">
    <w:name w:val="xl37"/>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i/>
      <w:iCs/>
      <w:sz w:val="18"/>
      <w:szCs w:val="18"/>
    </w:rPr>
  </w:style>
  <w:style w:type="paragraph" w:customStyle="1" w:styleId="xl38">
    <w:name w:val="xl38"/>
    <w:basedOn w:val="Normal"/>
    <w:rsid w:val="00D8364E"/>
    <w:pP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8"/>
      <w:szCs w:val="18"/>
    </w:rPr>
  </w:style>
  <w:style w:type="paragraph" w:customStyle="1" w:styleId="xl39">
    <w:name w:val="xl39"/>
    <w:basedOn w:val="Normal"/>
    <w:rsid w:val="00D8364E"/>
    <w:pPr>
      <w:pBdr>
        <w:bottom w:val="single" w:sz="8"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8"/>
      <w:szCs w:val="18"/>
    </w:rPr>
  </w:style>
  <w:style w:type="paragraph" w:customStyle="1" w:styleId="xl40">
    <w:name w:val="xl40"/>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8"/>
      <w:szCs w:val="18"/>
    </w:rPr>
  </w:style>
  <w:style w:type="character" w:styleId="CommentReference">
    <w:name w:val="annotation reference"/>
    <w:uiPriority w:val="99"/>
    <w:rsid w:val="00D8364E"/>
    <w:rPr>
      <w:sz w:val="16"/>
      <w:szCs w:val="16"/>
    </w:rPr>
  </w:style>
  <w:style w:type="paragraph" w:styleId="CommentText">
    <w:name w:val="annotation text"/>
    <w:basedOn w:val="Normal"/>
    <w:link w:val="CommentTextChar"/>
    <w:uiPriority w:val="99"/>
    <w:rsid w:val="00D8364E"/>
    <w:pPr>
      <w:overflowPunct w:val="0"/>
      <w:autoSpaceDE w:val="0"/>
      <w:autoSpaceDN w:val="0"/>
      <w:adjustRightInd w:val="0"/>
      <w:spacing w:before="120" w:after="120"/>
      <w:jc w:val="both"/>
      <w:textAlignment w:val="baseline"/>
    </w:pPr>
    <w:rPr>
      <w:rFonts w:eastAsia="MS Mincho" w:cs="Arial"/>
      <w:szCs w:val="20"/>
    </w:rPr>
  </w:style>
  <w:style w:type="character" w:customStyle="1" w:styleId="CommentTextChar">
    <w:name w:val="Comment Text Char"/>
    <w:basedOn w:val="DefaultParagraphFont"/>
    <w:link w:val="CommentText"/>
    <w:uiPriority w:val="99"/>
    <w:rsid w:val="00D8364E"/>
    <w:rPr>
      <w:rFonts w:eastAsia="MS Mincho" w:cs="Arial"/>
      <w:sz w:val="22"/>
      <w:lang w:eastAsia="en-US"/>
    </w:rPr>
  </w:style>
  <w:style w:type="paragraph" w:styleId="CommentSubject">
    <w:name w:val="annotation subject"/>
    <w:basedOn w:val="CommentText"/>
    <w:next w:val="CommentText"/>
    <w:link w:val="CommentSubjectChar"/>
    <w:rsid w:val="00D8364E"/>
    <w:rPr>
      <w:b/>
      <w:bCs/>
    </w:rPr>
  </w:style>
  <w:style w:type="character" w:customStyle="1" w:styleId="CommentSubjectChar">
    <w:name w:val="Comment Subject Char"/>
    <w:basedOn w:val="CommentTextChar"/>
    <w:link w:val="CommentSubject"/>
    <w:rsid w:val="00D8364E"/>
    <w:rPr>
      <w:rFonts w:eastAsia="MS Mincho" w:cs="Arial"/>
      <w:b/>
      <w:bCs/>
      <w:sz w:val="22"/>
      <w:lang w:eastAsia="en-US"/>
    </w:rPr>
  </w:style>
  <w:style w:type="paragraph" w:customStyle="1" w:styleId="TT">
    <w:name w:val="TT"/>
    <w:basedOn w:val="Normal"/>
    <w:rsid w:val="00D8364E"/>
    <w:pPr>
      <w:keepNext/>
      <w:tabs>
        <w:tab w:val="right" w:pos="1202"/>
      </w:tabs>
      <w:overflowPunct w:val="0"/>
      <w:autoSpaceDE w:val="0"/>
      <w:autoSpaceDN w:val="0"/>
      <w:adjustRightInd w:val="0"/>
      <w:spacing w:before="120" w:after="120" w:line="301" w:lineRule="exact"/>
      <w:jc w:val="both"/>
      <w:textAlignment w:val="baseline"/>
      <w:outlineLvl w:val="0"/>
    </w:pPr>
    <w:rPr>
      <w:rFonts w:ascii="Arial" w:eastAsia="MS Mincho" w:hAnsi="Arial" w:cs="Arial"/>
      <w:sz w:val="19"/>
      <w:szCs w:val="20"/>
    </w:rPr>
  </w:style>
  <w:style w:type="paragraph" w:customStyle="1" w:styleId="TH">
    <w:name w:val="TH"/>
    <w:basedOn w:val="Normal"/>
    <w:rsid w:val="00D8364E"/>
    <w:pPr>
      <w:tabs>
        <w:tab w:val="right" w:pos="1202"/>
      </w:tabs>
      <w:overflowPunct w:val="0"/>
      <w:autoSpaceDE w:val="0"/>
      <w:autoSpaceDN w:val="0"/>
      <w:adjustRightInd w:val="0"/>
      <w:spacing w:before="120" w:after="120" w:line="240" w:lineRule="atLeast"/>
      <w:jc w:val="both"/>
      <w:textAlignment w:val="baseline"/>
      <w:outlineLvl w:val="0"/>
    </w:pPr>
    <w:rPr>
      <w:rFonts w:ascii="Arial" w:eastAsia="MS Mincho" w:hAnsi="Arial" w:cs="Arial"/>
      <w:b/>
      <w:sz w:val="19"/>
      <w:szCs w:val="20"/>
    </w:rPr>
  </w:style>
  <w:style w:type="paragraph" w:styleId="DocumentMap">
    <w:name w:val="Document Map"/>
    <w:basedOn w:val="Normal"/>
    <w:link w:val="DocumentMapChar"/>
    <w:rsid w:val="00D8364E"/>
    <w:pPr>
      <w:shd w:val="clear" w:color="auto" w:fill="000080"/>
      <w:overflowPunct w:val="0"/>
      <w:autoSpaceDE w:val="0"/>
      <w:autoSpaceDN w:val="0"/>
      <w:adjustRightInd w:val="0"/>
      <w:spacing w:before="120" w:after="120"/>
      <w:jc w:val="both"/>
      <w:textAlignment w:val="baseline"/>
    </w:pPr>
    <w:rPr>
      <w:rFonts w:ascii="Tahoma" w:eastAsia="MS Mincho" w:hAnsi="Tahoma" w:cs="Tahoma"/>
      <w:szCs w:val="20"/>
    </w:rPr>
  </w:style>
  <w:style w:type="character" w:customStyle="1" w:styleId="DocumentMapChar">
    <w:name w:val="Document Map Char"/>
    <w:basedOn w:val="DefaultParagraphFont"/>
    <w:link w:val="DocumentMap"/>
    <w:rsid w:val="00D8364E"/>
    <w:rPr>
      <w:rFonts w:ascii="Tahoma" w:eastAsia="MS Mincho" w:hAnsi="Tahoma" w:cs="Tahoma"/>
      <w:sz w:val="22"/>
      <w:shd w:val="clear" w:color="auto" w:fill="000080"/>
      <w:lang w:eastAsia="en-US"/>
    </w:rPr>
  </w:style>
  <w:style w:type="paragraph" w:styleId="Title">
    <w:name w:val="Title"/>
    <w:basedOn w:val="Normal"/>
    <w:next w:val="Normal"/>
    <w:link w:val="TitleChar"/>
    <w:qFormat/>
    <w:rsid w:val="00D8364E"/>
    <w:pPr>
      <w:overflowPunct w:val="0"/>
      <w:autoSpaceDE w:val="0"/>
      <w:autoSpaceDN w:val="0"/>
      <w:adjustRightInd w:val="0"/>
      <w:spacing w:before="120" w:after="120"/>
      <w:jc w:val="center"/>
      <w:textAlignment w:val="baseline"/>
    </w:pPr>
    <w:rPr>
      <w:rFonts w:ascii="Arial Black" w:eastAsia="MS Mincho" w:hAnsi="Arial Black" w:cs="Arial"/>
      <w:b/>
      <w:sz w:val="28"/>
      <w:szCs w:val="28"/>
    </w:rPr>
  </w:style>
  <w:style w:type="character" w:customStyle="1" w:styleId="TitleChar">
    <w:name w:val="Title Char"/>
    <w:basedOn w:val="DefaultParagraphFont"/>
    <w:link w:val="Title"/>
    <w:rsid w:val="00D8364E"/>
    <w:rPr>
      <w:rFonts w:ascii="Arial Black" w:eastAsia="MS Mincho" w:hAnsi="Arial Black" w:cs="Arial"/>
      <w:b/>
      <w:sz w:val="28"/>
      <w:szCs w:val="28"/>
      <w:lang w:eastAsia="en-US"/>
    </w:rPr>
  </w:style>
  <w:style w:type="paragraph" w:customStyle="1" w:styleId="TableBullets1">
    <w:name w:val="*Table_Bullets_1"/>
    <w:rsid w:val="00D8364E"/>
    <w:pPr>
      <w:numPr>
        <w:numId w:val="5"/>
      </w:numPr>
      <w:spacing w:before="60" w:after="20"/>
    </w:pPr>
    <w:rPr>
      <w:rFonts w:ascii="Arial" w:eastAsia="Times New Roman" w:hAnsi="Arial"/>
      <w:sz w:val="16"/>
      <w:szCs w:val="22"/>
      <w:lang w:eastAsia="en-US"/>
    </w:rPr>
  </w:style>
  <w:style w:type="paragraph" w:customStyle="1" w:styleId="TableBullets2">
    <w:name w:val="*Table_Bullets_2"/>
    <w:rsid w:val="00D8364E"/>
    <w:pPr>
      <w:numPr>
        <w:ilvl w:val="1"/>
        <w:numId w:val="5"/>
      </w:numPr>
      <w:spacing w:before="20" w:after="20"/>
    </w:pPr>
    <w:rPr>
      <w:rFonts w:ascii="Arial" w:eastAsia="Times New Roman" w:hAnsi="Arial"/>
      <w:bCs/>
      <w:sz w:val="16"/>
      <w:szCs w:val="24"/>
      <w:lang w:eastAsia="en-US"/>
    </w:rPr>
  </w:style>
  <w:style w:type="paragraph" w:customStyle="1" w:styleId="TableBullets3">
    <w:name w:val="*Table_Bullets_3"/>
    <w:rsid w:val="00D8364E"/>
    <w:pPr>
      <w:numPr>
        <w:ilvl w:val="2"/>
        <w:numId w:val="5"/>
      </w:numPr>
    </w:pPr>
    <w:rPr>
      <w:rFonts w:ascii="Arial" w:eastAsia="Times New Roman" w:hAnsi="Arial"/>
      <w:bCs/>
      <w:sz w:val="16"/>
      <w:szCs w:val="24"/>
      <w:lang w:eastAsia="en-US"/>
    </w:rPr>
  </w:style>
  <w:style w:type="paragraph" w:customStyle="1" w:styleId="01daibodytext">
    <w:name w:val="01_dai_body text"/>
    <w:link w:val="01daibodytextChar1"/>
    <w:rsid w:val="00D8364E"/>
    <w:pPr>
      <w:spacing w:after="160" w:line="200" w:lineRule="exact"/>
    </w:pPr>
    <w:rPr>
      <w:rFonts w:ascii="Arial" w:eastAsia="MS Mincho" w:hAnsi="Arial" w:cs="Arial"/>
      <w:color w:val="000000"/>
      <w:sz w:val="16"/>
      <w:lang w:val="en-US" w:eastAsia="en-US"/>
    </w:rPr>
  </w:style>
  <w:style w:type="character" w:customStyle="1" w:styleId="01daibodytextChar1">
    <w:name w:val="01_dai_body text Char1"/>
    <w:link w:val="01daibodytext"/>
    <w:rsid w:val="00D8364E"/>
    <w:rPr>
      <w:rFonts w:ascii="Arial" w:eastAsia="MS Mincho" w:hAnsi="Arial" w:cs="Arial"/>
      <w:color w:val="000000"/>
      <w:sz w:val="16"/>
      <w:lang w:val="en-US" w:eastAsia="en-US"/>
    </w:rPr>
  </w:style>
  <w:style w:type="paragraph" w:customStyle="1" w:styleId="BodySingle">
    <w:name w:val="Body Single"/>
    <w:basedOn w:val="BodyText"/>
    <w:rsid w:val="00D8364E"/>
    <w:pPr>
      <w:spacing w:after="0" w:line="240" w:lineRule="atLeast"/>
    </w:pPr>
    <w:rPr>
      <w:rFonts w:eastAsia="SimSun" w:cs="Arial"/>
      <w:szCs w:val="20"/>
      <w:lang w:eastAsia="zh-CN"/>
    </w:rPr>
  </w:style>
  <w:style w:type="paragraph" w:styleId="BodyTextIndent">
    <w:name w:val="Body Text Indent"/>
    <w:basedOn w:val="Normal"/>
    <w:link w:val="BodyTextIndentChar"/>
    <w:rsid w:val="00D8364E"/>
    <w:pPr>
      <w:overflowPunct w:val="0"/>
      <w:autoSpaceDE w:val="0"/>
      <w:autoSpaceDN w:val="0"/>
      <w:adjustRightInd w:val="0"/>
      <w:spacing w:before="120" w:after="120"/>
      <w:ind w:left="360"/>
      <w:jc w:val="both"/>
      <w:textAlignment w:val="baseline"/>
    </w:pPr>
    <w:rPr>
      <w:rFonts w:ascii="Garamond" w:eastAsia="MS PGothic" w:hAnsi="Garamond" w:cs="Arial"/>
      <w:szCs w:val="12"/>
    </w:rPr>
  </w:style>
  <w:style w:type="character" w:customStyle="1" w:styleId="BodyTextIndentChar">
    <w:name w:val="Body Text Indent Char"/>
    <w:basedOn w:val="DefaultParagraphFont"/>
    <w:link w:val="BodyTextIndent"/>
    <w:rsid w:val="00D8364E"/>
    <w:rPr>
      <w:rFonts w:ascii="Garamond" w:eastAsia="MS PGothic" w:hAnsi="Garamond" w:cs="Arial"/>
      <w:sz w:val="22"/>
      <w:szCs w:val="12"/>
      <w:lang w:eastAsia="en-US"/>
    </w:rPr>
  </w:style>
  <w:style w:type="paragraph" w:styleId="BodyTextFirstIndent2">
    <w:name w:val="Body Text First Indent 2"/>
    <w:basedOn w:val="BodyTextIndent"/>
    <w:link w:val="BodyTextFirstIndent2Char"/>
    <w:rsid w:val="00D8364E"/>
    <w:pPr>
      <w:ind w:left="283"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D8364E"/>
    <w:rPr>
      <w:rFonts w:ascii="Times New Roman" w:eastAsia="MS Mincho" w:hAnsi="Times New Roman" w:cs="Arial"/>
      <w:sz w:val="22"/>
      <w:szCs w:val="12"/>
      <w:lang w:eastAsia="en-US"/>
    </w:rPr>
  </w:style>
  <w:style w:type="paragraph" w:styleId="BodyTextIndent2">
    <w:name w:val="Body Text Indent 2"/>
    <w:basedOn w:val="Normal"/>
    <w:link w:val="BodyTextIndent2Char"/>
    <w:rsid w:val="00D8364E"/>
    <w:pPr>
      <w:overflowPunct w:val="0"/>
      <w:autoSpaceDE w:val="0"/>
      <w:autoSpaceDN w:val="0"/>
      <w:adjustRightInd w:val="0"/>
      <w:spacing w:before="120" w:after="120"/>
      <w:ind w:left="360"/>
      <w:jc w:val="both"/>
      <w:textAlignment w:val="baseline"/>
    </w:pPr>
    <w:rPr>
      <w:rFonts w:eastAsia="MS Mincho" w:cs="Arial"/>
      <w:sz w:val="21"/>
      <w:szCs w:val="20"/>
      <w:lang w:val="en-US"/>
    </w:rPr>
  </w:style>
  <w:style w:type="character" w:customStyle="1" w:styleId="BodyTextIndent2Char">
    <w:name w:val="Body Text Indent 2 Char"/>
    <w:basedOn w:val="DefaultParagraphFont"/>
    <w:link w:val="BodyTextIndent2"/>
    <w:rsid w:val="00D8364E"/>
    <w:rPr>
      <w:rFonts w:eastAsia="MS Mincho" w:cs="Arial"/>
      <w:sz w:val="21"/>
      <w:lang w:val="en-US" w:eastAsia="en-US"/>
    </w:rPr>
  </w:style>
  <w:style w:type="paragraph" w:styleId="BodyTextIndent3">
    <w:name w:val="Body Text Indent 3"/>
    <w:basedOn w:val="Normal"/>
    <w:link w:val="BodyTextIndent3Char"/>
    <w:rsid w:val="00D8364E"/>
    <w:pPr>
      <w:spacing w:before="120" w:after="120"/>
      <w:ind w:left="720"/>
      <w:jc w:val="both"/>
    </w:pPr>
    <w:rPr>
      <w:rFonts w:ascii="Garamond" w:eastAsia="MS Mincho" w:hAnsi="Garamond" w:cs="Arial"/>
      <w:color w:val="333333"/>
    </w:rPr>
  </w:style>
  <w:style w:type="character" w:customStyle="1" w:styleId="BodyTextIndent3Char">
    <w:name w:val="Body Text Indent 3 Char"/>
    <w:basedOn w:val="DefaultParagraphFont"/>
    <w:link w:val="BodyTextIndent3"/>
    <w:rsid w:val="00D8364E"/>
    <w:rPr>
      <w:rFonts w:ascii="Garamond" w:eastAsia="MS Mincho" w:hAnsi="Garamond" w:cs="Arial"/>
      <w:color w:val="333333"/>
      <w:sz w:val="22"/>
      <w:szCs w:val="22"/>
      <w:lang w:eastAsia="en-US"/>
    </w:rPr>
  </w:style>
  <w:style w:type="character" w:customStyle="1" w:styleId="CharChar1">
    <w:name w:val="Char Char1"/>
    <w:rsid w:val="00D8364E"/>
    <w:rPr>
      <w:rFonts w:ascii="Times New Roman" w:eastAsia="MS Mincho" w:hAnsi="Times New Roman" w:cs="Times New Roman"/>
      <w:szCs w:val="20"/>
      <w:lang w:eastAsia="en-US"/>
    </w:rPr>
  </w:style>
  <w:style w:type="paragraph" w:customStyle="1" w:styleId="ColorfulList-Accent11">
    <w:name w:val="Colorful List - Accent 11"/>
    <w:basedOn w:val="Normal"/>
    <w:qFormat/>
    <w:rsid w:val="00D8364E"/>
    <w:pPr>
      <w:overflowPunct w:val="0"/>
      <w:autoSpaceDE w:val="0"/>
      <w:autoSpaceDN w:val="0"/>
      <w:adjustRightInd w:val="0"/>
      <w:spacing w:before="120" w:after="120"/>
      <w:ind w:left="720"/>
      <w:jc w:val="both"/>
      <w:textAlignment w:val="baseline"/>
    </w:pPr>
    <w:rPr>
      <w:rFonts w:eastAsia="MS Mincho" w:cs="Arial"/>
      <w:szCs w:val="20"/>
    </w:rPr>
  </w:style>
  <w:style w:type="paragraph" w:styleId="Date">
    <w:name w:val="Date"/>
    <w:basedOn w:val="Normal"/>
    <w:next w:val="Normal"/>
    <w:link w:val="DateChar"/>
    <w:rsid w:val="00D8364E"/>
    <w:pPr>
      <w:overflowPunct w:val="0"/>
      <w:autoSpaceDE w:val="0"/>
      <w:autoSpaceDN w:val="0"/>
      <w:adjustRightInd w:val="0"/>
      <w:spacing w:before="120" w:after="120"/>
      <w:jc w:val="both"/>
      <w:textAlignment w:val="baseline"/>
    </w:pPr>
    <w:rPr>
      <w:rFonts w:eastAsia="MS Mincho" w:cs="Arial"/>
      <w:szCs w:val="20"/>
    </w:rPr>
  </w:style>
  <w:style w:type="character" w:customStyle="1" w:styleId="DateChar">
    <w:name w:val="Date Char"/>
    <w:basedOn w:val="DefaultParagraphFont"/>
    <w:link w:val="Date"/>
    <w:rsid w:val="00D8364E"/>
    <w:rPr>
      <w:rFonts w:eastAsia="MS Mincho" w:cs="Arial"/>
      <w:sz w:val="22"/>
      <w:lang w:eastAsia="en-US"/>
    </w:rPr>
  </w:style>
  <w:style w:type="paragraph" w:customStyle="1" w:styleId="Default">
    <w:name w:val="Default"/>
    <w:rsid w:val="00D8364E"/>
    <w:pPr>
      <w:autoSpaceDE w:val="0"/>
      <w:autoSpaceDN w:val="0"/>
      <w:adjustRightInd w:val="0"/>
    </w:pPr>
    <w:rPr>
      <w:rFonts w:ascii="Times New Roman" w:eastAsia="MS Mincho" w:hAnsi="Times New Roman"/>
      <w:color w:val="000000"/>
      <w:sz w:val="24"/>
      <w:szCs w:val="24"/>
      <w:lang w:eastAsia="ja-JP"/>
    </w:rPr>
  </w:style>
  <w:style w:type="paragraph" w:customStyle="1" w:styleId="DELHeading2">
    <w:name w:val="DEL Heading 2"/>
    <w:basedOn w:val="Normal"/>
    <w:rsid w:val="00D8364E"/>
    <w:pPr>
      <w:keepNext/>
      <w:spacing w:before="240" w:after="120"/>
    </w:pPr>
    <w:rPr>
      <w:rFonts w:eastAsia="Times New Roman" w:cs="Arial"/>
      <w:b/>
      <w:caps/>
      <w:sz w:val="24"/>
      <w:szCs w:val="20"/>
    </w:rPr>
  </w:style>
  <w:style w:type="character" w:customStyle="1" w:styleId="EmailStyle120">
    <w:name w:val="EmailStyle120"/>
    <w:semiHidden/>
    <w:rsid w:val="00D8364E"/>
    <w:rPr>
      <w:rFonts w:ascii="Arial" w:hAnsi="Arial" w:cs="Arial"/>
      <w:color w:val="000000"/>
      <w:sz w:val="20"/>
      <w:szCs w:val="20"/>
    </w:rPr>
  </w:style>
  <w:style w:type="character" w:customStyle="1" w:styleId="EmailStyle121">
    <w:name w:val="EmailStyle121"/>
    <w:rsid w:val="00D8364E"/>
    <w:rPr>
      <w:rFonts w:ascii="Arial" w:hAnsi="Arial" w:cs="Arial"/>
      <w:color w:val="auto"/>
      <w:sz w:val="20"/>
      <w:szCs w:val="20"/>
    </w:rPr>
  </w:style>
  <w:style w:type="character" w:customStyle="1" w:styleId="EmailStyle1221">
    <w:name w:val="EmailStyle1221"/>
    <w:semiHidden/>
    <w:rsid w:val="00D8364E"/>
    <w:rPr>
      <w:rFonts w:ascii="Arial" w:hAnsi="Arial" w:cs="Arial"/>
      <w:color w:val="000000"/>
      <w:sz w:val="20"/>
      <w:szCs w:val="20"/>
    </w:rPr>
  </w:style>
  <w:style w:type="character" w:customStyle="1" w:styleId="EmailStyle1231">
    <w:name w:val="EmailStyle1231"/>
    <w:rsid w:val="00D8364E"/>
    <w:rPr>
      <w:rFonts w:ascii="Arial" w:hAnsi="Arial" w:cs="Arial"/>
      <w:color w:val="auto"/>
      <w:sz w:val="20"/>
      <w:szCs w:val="20"/>
    </w:rPr>
  </w:style>
  <w:style w:type="character" w:customStyle="1" w:styleId="EmailStyle381">
    <w:name w:val="EmailStyle381"/>
    <w:semiHidden/>
    <w:rsid w:val="00D8364E"/>
    <w:rPr>
      <w:rFonts w:ascii="Arial" w:hAnsi="Arial" w:cs="Arial"/>
      <w:color w:val="000000"/>
      <w:sz w:val="20"/>
      <w:szCs w:val="20"/>
    </w:rPr>
  </w:style>
  <w:style w:type="character" w:customStyle="1" w:styleId="EmailStyle431">
    <w:name w:val="EmailStyle431"/>
    <w:rsid w:val="00D8364E"/>
    <w:rPr>
      <w:rFonts w:ascii="Arial" w:hAnsi="Arial" w:cs="Arial"/>
      <w:color w:val="auto"/>
      <w:sz w:val="20"/>
      <w:szCs w:val="20"/>
    </w:rPr>
  </w:style>
  <w:style w:type="character" w:styleId="EndnoteReference">
    <w:name w:val="endnote reference"/>
    <w:rsid w:val="00D8364E"/>
    <w:rPr>
      <w:vertAlign w:val="superscript"/>
    </w:rPr>
  </w:style>
  <w:style w:type="paragraph" w:styleId="EndnoteText">
    <w:name w:val="endnote text"/>
    <w:basedOn w:val="Normal"/>
    <w:link w:val="EndnoteTextChar"/>
    <w:rsid w:val="00D8364E"/>
    <w:pPr>
      <w:overflowPunct w:val="0"/>
      <w:autoSpaceDE w:val="0"/>
      <w:autoSpaceDN w:val="0"/>
      <w:adjustRightInd w:val="0"/>
      <w:spacing w:before="120" w:after="0"/>
      <w:jc w:val="both"/>
      <w:textAlignment w:val="baseline"/>
    </w:pPr>
    <w:rPr>
      <w:rFonts w:eastAsia="MS Mincho" w:cs="Arial"/>
      <w:szCs w:val="20"/>
    </w:rPr>
  </w:style>
  <w:style w:type="character" w:customStyle="1" w:styleId="EndnoteTextChar">
    <w:name w:val="Endnote Text Char"/>
    <w:basedOn w:val="DefaultParagraphFont"/>
    <w:link w:val="EndnoteText"/>
    <w:rsid w:val="00D8364E"/>
    <w:rPr>
      <w:rFonts w:eastAsia="MS Mincho" w:cs="Arial"/>
      <w:sz w:val="22"/>
      <w:lang w:eastAsia="en-US"/>
    </w:rPr>
  </w:style>
  <w:style w:type="paragraph" w:customStyle="1" w:styleId="Heading1Calibri">
    <w:name w:val="Heading 1 + Calibri"/>
    <w:aliases w:val="10 pt"/>
    <w:basedOn w:val="Normal"/>
    <w:link w:val="Heading1CalibriChar"/>
    <w:rsid w:val="00D8364E"/>
    <w:pPr>
      <w:numPr>
        <w:numId w:val="6"/>
      </w:numPr>
      <w:spacing w:before="120"/>
    </w:pPr>
    <w:rPr>
      <w:rFonts w:eastAsia="Times New Roman"/>
      <w:szCs w:val="20"/>
    </w:rPr>
  </w:style>
  <w:style w:type="character" w:customStyle="1" w:styleId="Heading1CalibriChar">
    <w:name w:val="Heading 1 + Calibri Char"/>
    <w:aliases w:val="10 pt Char"/>
    <w:link w:val="Heading1Calibri"/>
    <w:locked/>
    <w:rsid w:val="00D8364E"/>
    <w:rPr>
      <w:rFonts w:eastAsia="Times New Roman"/>
      <w:sz w:val="22"/>
      <w:lang w:eastAsia="en-US"/>
    </w:rPr>
  </w:style>
  <w:style w:type="paragraph" w:customStyle="1" w:styleId="Heading2ax">
    <w:name w:val="Heading 2ax"/>
    <w:basedOn w:val="Heading2"/>
    <w:rsid w:val="00D8364E"/>
    <w:pPr>
      <w:widowControl w:val="0"/>
      <w:numPr>
        <w:ilvl w:val="0"/>
        <w:numId w:val="0"/>
      </w:numPr>
      <w:tabs>
        <w:tab w:val="left" w:pos="709"/>
      </w:tabs>
      <w:ind w:left="1"/>
      <w:outlineLvl w:val="9"/>
    </w:pPr>
    <w:rPr>
      <w:rFonts w:ascii="Times New Roman" w:eastAsia="MS Mincho" w:hAnsi="Times New Roman"/>
      <w:b w:val="0"/>
      <w:bCs w:val="0"/>
      <w:color w:val="0000FF"/>
    </w:rPr>
  </w:style>
  <w:style w:type="paragraph" w:customStyle="1" w:styleId="HeadingBase">
    <w:name w:val="Heading Base"/>
    <w:basedOn w:val="Normal"/>
    <w:next w:val="Normal"/>
    <w:rsid w:val="00D8364E"/>
    <w:pPr>
      <w:keepNext/>
      <w:keepLines/>
      <w:tabs>
        <w:tab w:val="left" w:pos="8505"/>
      </w:tabs>
      <w:spacing w:before="240" w:after="120" w:line="360" w:lineRule="exact"/>
      <w:ind w:right="96"/>
    </w:pPr>
    <w:rPr>
      <w:rFonts w:eastAsia="Times New Roman" w:cs="Arial"/>
      <w:b/>
      <w:snapToGrid w:val="0"/>
      <w:color w:val="000000"/>
      <w:kern w:val="28"/>
      <w:sz w:val="28"/>
      <w:szCs w:val="20"/>
    </w:rPr>
  </w:style>
  <w:style w:type="paragraph" w:customStyle="1" w:styleId="Heading1AX">
    <w:name w:val="Heading1AX"/>
    <w:basedOn w:val="Heading1"/>
    <w:next w:val="Normal"/>
    <w:link w:val="Heading1AXChar"/>
    <w:qFormat/>
    <w:rsid w:val="00D8364E"/>
    <w:pPr>
      <w:pageBreakBefore/>
      <w:numPr>
        <w:numId w:val="7"/>
      </w:numPr>
      <w:pBdr>
        <w:bottom w:val="single" w:sz="6" w:space="1" w:color="auto"/>
      </w:pBdr>
      <w:overflowPunct w:val="0"/>
      <w:autoSpaceDE w:val="0"/>
      <w:autoSpaceDN w:val="0"/>
      <w:adjustRightInd w:val="0"/>
      <w:spacing w:before="120" w:after="0"/>
      <w:textAlignment w:val="baseline"/>
    </w:pPr>
    <w:rPr>
      <w:rFonts w:eastAsia="MS Mincho"/>
      <w:b w:val="0"/>
      <w:bCs/>
      <w:color w:val="auto"/>
      <w:kern w:val="32"/>
      <w:sz w:val="28"/>
      <w:szCs w:val="24"/>
    </w:rPr>
  </w:style>
  <w:style w:type="character" w:customStyle="1" w:styleId="Heading1AXChar">
    <w:name w:val="Heading1AX Char"/>
    <w:link w:val="Heading1AX"/>
    <w:rsid w:val="00D8364E"/>
    <w:rPr>
      <w:rFonts w:eastAsia="MS Mincho" w:cs="Arial"/>
      <w:bCs/>
      <w:kern w:val="32"/>
      <w:sz w:val="28"/>
      <w:szCs w:val="24"/>
      <w:lang w:eastAsia="en-US"/>
    </w:rPr>
  </w:style>
  <w:style w:type="paragraph" w:styleId="Index1">
    <w:name w:val="index 1"/>
    <w:basedOn w:val="Normal"/>
    <w:next w:val="Normal"/>
    <w:autoRedefine/>
    <w:rsid w:val="00D8364E"/>
    <w:pPr>
      <w:overflowPunct w:val="0"/>
      <w:autoSpaceDE w:val="0"/>
      <w:autoSpaceDN w:val="0"/>
      <w:adjustRightInd w:val="0"/>
      <w:spacing w:before="120" w:after="120"/>
      <w:ind w:left="200" w:hanging="200"/>
      <w:jc w:val="both"/>
      <w:textAlignment w:val="baseline"/>
    </w:pPr>
    <w:rPr>
      <w:rFonts w:eastAsia="MS Mincho" w:cs="Arial"/>
      <w:szCs w:val="20"/>
    </w:rPr>
  </w:style>
  <w:style w:type="paragraph" w:styleId="IndexHeading">
    <w:name w:val="index heading"/>
    <w:basedOn w:val="Normal"/>
    <w:next w:val="Index1"/>
    <w:rsid w:val="00D8364E"/>
    <w:pPr>
      <w:overflowPunct w:val="0"/>
      <w:autoSpaceDE w:val="0"/>
      <w:autoSpaceDN w:val="0"/>
      <w:adjustRightInd w:val="0"/>
      <w:spacing w:before="120" w:after="120"/>
      <w:jc w:val="both"/>
      <w:textAlignment w:val="baseline"/>
    </w:pPr>
    <w:rPr>
      <w:rFonts w:ascii="Cambria" w:eastAsia="MS Gothic" w:hAnsi="Cambria"/>
      <w:b/>
      <w:bCs/>
      <w:szCs w:val="20"/>
    </w:rPr>
  </w:style>
  <w:style w:type="paragraph" w:customStyle="1" w:styleId="InsideAddress">
    <w:name w:val="Inside Address"/>
    <w:basedOn w:val="Normal"/>
    <w:rsid w:val="00D8364E"/>
    <w:pPr>
      <w:overflowPunct w:val="0"/>
      <w:autoSpaceDE w:val="0"/>
      <w:autoSpaceDN w:val="0"/>
      <w:adjustRightInd w:val="0"/>
      <w:spacing w:before="120" w:after="120"/>
      <w:jc w:val="both"/>
      <w:textAlignment w:val="baseline"/>
    </w:pPr>
    <w:rPr>
      <w:rFonts w:eastAsia="MS Mincho" w:cs="Arial"/>
      <w:szCs w:val="20"/>
    </w:rPr>
  </w:style>
  <w:style w:type="paragraph" w:styleId="List">
    <w:name w:val="List"/>
    <w:basedOn w:val="Normal"/>
    <w:rsid w:val="00D8364E"/>
    <w:pPr>
      <w:overflowPunct w:val="0"/>
      <w:autoSpaceDE w:val="0"/>
      <w:autoSpaceDN w:val="0"/>
      <w:adjustRightInd w:val="0"/>
      <w:spacing w:before="120" w:after="120"/>
      <w:ind w:left="283" w:hanging="283"/>
      <w:jc w:val="both"/>
      <w:textAlignment w:val="baseline"/>
    </w:pPr>
    <w:rPr>
      <w:rFonts w:eastAsia="MS Mincho" w:cs="Arial"/>
      <w:szCs w:val="20"/>
    </w:rPr>
  </w:style>
  <w:style w:type="paragraph" w:styleId="ListBullet2">
    <w:name w:val="List Bullet 2"/>
    <w:basedOn w:val="Normal"/>
    <w:rsid w:val="00D8364E"/>
    <w:pPr>
      <w:numPr>
        <w:numId w:val="8"/>
      </w:numPr>
      <w:overflowPunct w:val="0"/>
      <w:autoSpaceDE w:val="0"/>
      <w:autoSpaceDN w:val="0"/>
      <w:adjustRightInd w:val="0"/>
      <w:spacing w:before="120" w:after="120"/>
      <w:jc w:val="both"/>
      <w:textAlignment w:val="baseline"/>
    </w:pPr>
    <w:rPr>
      <w:rFonts w:eastAsia="MS Mincho" w:cs="Arial"/>
      <w:szCs w:val="20"/>
    </w:rPr>
  </w:style>
  <w:style w:type="paragraph" w:styleId="ListContinue">
    <w:name w:val="List Continue"/>
    <w:basedOn w:val="Normal"/>
    <w:rsid w:val="00D8364E"/>
    <w:pPr>
      <w:overflowPunct w:val="0"/>
      <w:autoSpaceDE w:val="0"/>
      <w:autoSpaceDN w:val="0"/>
      <w:adjustRightInd w:val="0"/>
      <w:spacing w:before="120" w:after="120"/>
      <w:ind w:left="283"/>
      <w:jc w:val="both"/>
      <w:textAlignment w:val="baseline"/>
    </w:pPr>
    <w:rPr>
      <w:rFonts w:eastAsia="MS Mincho" w:cs="Arial"/>
      <w:szCs w:val="20"/>
    </w:rPr>
  </w:style>
  <w:style w:type="character" w:customStyle="1" w:styleId="me">
    <w:name w:val="me"/>
    <w:rsid w:val="00D8364E"/>
  </w:style>
  <w:style w:type="paragraph" w:customStyle="1" w:styleId="Normal10pt">
    <w:name w:val="Normal + 10 pt"/>
    <w:basedOn w:val="Normal"/>
    <w:rsid w:val="00D8364E"/>
    <w:pPr>
      <w:spacing w:before="120"/>
      <w:ind w:left="720"/>
    </w:pPr>
    <w:rPr>
      <w:rFonts w:eastAsia="Times New Roman"/>
      <w:b/>
      <w:i/>
      <w:szCs w:val="20"/>
    </w:rPr>
  </w:style>
  <w:style w:type="paragraph" w:customStyle="1" w:styleId="NormalIndent1">
    <w:name w:val="Normal Indent 1"/>
    <w:basedOn w:val="Normal"/>
    <w:link w:val="NormalIndent1Char"/>
    <w:qFormat/>
    <w:rsid w:val="00D8364E"/>
    <w:pPr>
      <w:overflowPunct w:val="0"/>
      <w:autoSpaceDE w:val="0"/>
      <w:autoSpaceDN w:val="0"/>
      <w:adjustRightInd w:val="0"/>
      <w:spacing w:before="120" w:after="120"/>
      <w:ind w:left="284"/>
      <w:jc w:val="both"/>
      <w:textAlignment w:val="baseline"/>
    </w:pPr>
    <w:rPr>
      <w:rFonts w:eastAsia="MS Mincho" w:cs="Arial"/>
      <w:szCs w:val="20"/>
    </w:rPr>
  </w:style>
  <w:style w:type="character" w:customStyle="1" w:styleId="NormalIndent1Char">
    <w:name w:val="Normal Indent 1 Char"/>
    <w:link w:val="NormalIndent1"/>
    <w:rsid w:val="00D8364E"/>
    <w:rPr>
      <w:rFonts w:eastAsia="MS Mincho" w:cs="Arial"/>
      <w:sz w:val="22"/>
      <w:lang w:eastAsia="en-US"/>
    </w:rPr>
  </w:style>
  <w:style w:type="paragraph" w:customStyle="1" w:styleId="NormalIndent2">
    <w:name w:val="Normal Indent 2"/>
    <w:basedOn w:val="NormalIndent1"/>
    <w:link w:val="NormalIndent2Char"/>
    <w:qFormat/>
    <w:rsid w:val="00D8364E"/>
    <w:pPr>
      <w:ind w:left="720"/>
    </w:pPr>
  </w:style>
  <w:style w:type="character" w:customStyle="1" w:styleId="NormalIndent2Char">
    <w:name w:val="Normal Indent 2 Char"/>
    <w:link w:val="NormalIndent2"/>
    <w:rsid w:val="00D8364E"/>
    <w:rPr>
      <w:rFonts w:eastAsia="MS Mincho" w:cs="Arial"/>
      <w:sz w:val="22"/>
      <w:lang w:eastAsia="en-US"/>
    </w:rPr>
  </w:style>
  <w:style w:type="paragraph" w:styleId="PlainText">
    <w:name w:val="Plain Text"/>
    <w:basedOn w:val="Normal"/>
    <w:link w:val="PlainTextChar"/>
    <w:rsid w:val="00D8364E"/>
    <w:pPr>
      <w:spacing w:before="120" w:after="120"/>
    </w:pPr>
    <w:rPr>
      <w:rFonts w:ascii="Courier New" w:eastAsia="MS Mincho" w:hAnsi="Courier New" w:cs="Courier New"/>
      <w:szCs w:val="20"/>
      <w:lang w:eastAsia="ja-JP"/>
    </w:rPr>
  </w:style>
  <w:style w:type="character" w:customStyle="1" w:styleId="PlainTextChar">
    <w:name w:val="Plain Text Char"/>
    <w:basedOn w:val="DefaultParagraphFont"/>
    <w:link w:val="PlainText"/>
    <w:rsid w:val="00D8364E"/>
    <w:rPr>
      <w:rFonts w:ascii="Courier New" w:eastAsia="MS Mincho" w:hAnsi="Courier New" w:cs="Courier New"/>
      <w:sz w:val="22"/>
      <w:lang w:eastAsia="ja-JP"/>
    </w:rPr>
  </w:style>
  <w:style w:type="character" w:styleId="Strong">
    <w:name w:val="Strong"/>
    <w:qFormat/>
    <w:rsid w:val="00D8364E"/>
    <w:rPr>
      <w:b/>
      <w:bCs/>
    </w:rPr>
  </w:style>
  <w:style w:type="character" w:customStyle="1" w:styleId="subparatext">
    <w:name w:val="subparatext"/>
    <w:rsid w:val="00D8364E"/>
  </w:style>
  <w:style w:type="character" w:styleId="SubtleReference">
    <w:name w:val="Subtle Reference"/>
    <w:uiPriority w:val="31"/>
    <w:qFormat/>
    <w:rsid w:val="00D8364E"/>
    <w:rPr>
      <w:smallCaps/>
      <w:color w:val="C0504D"/>
      <w:u w:val="single"/>
    </w:rPr>
  </w:style>
  <w:style w:type="paragraph" w:styleId="TableofFigures">
    <w:name w:val="table of figures"/>
    <w:basedOn w:val="Normal"/>
    <w:next w:val="Normal"/>
    <w:uiPriority w:val="99"/>
    <w:rsid w:val="00B4218A"/>
    <w:pPr>
      <w:overflowPunct w:val="0"/>
      <w:autoSpaceDE w:val="0"/>
      <w:autoSpaceDN w:val="0"/>
      <w:adjustRightInd w:val="0"/>
      <w:spacing w:before="120" w:after="0"/>
      <w:jc w:val="both"/>
      <w:textAlignment w:val="baseline"/>
    </w:pPr>
    <w:rPr>
      <w:rFonts w:eastAsia="MS Mincho" w:cs="Arial"/>
      <w:sz w:val="20"/>
      <w:szCs w:val="20"/>
    </w:rPr>
  </w:style>
  <w:style w:type="paragraph" w:styleId="TOCHeading">
    <w:name w:val="TOC Heading"/>
    <w:basedOn w:val="Heading1"/>
    <w:next w:val="Normal"/>
    <w:uiPriority w:val="39"/>
    <w:qFormat/>
    <w:rsid w:val="00D8364E"/>
    <w:pPr>
      <w:keepLines/>
      <w:pageBreakBefore/>
      <w:numPr>
        <w:numId w:val="0"/>
      </w:numPr>
      <w:spacing w:before="480" w:after="0"/>
      <w:jc w:val="left"/>
      <w:outlineLvl w:val="9"/>
    </w:pPr>
    <w:rPr>
      <w:rFonts w:ascii="Cambria" w:eastAsia="MS Gothic" w:hAnsi="Cambria" w:cs="Times New Roman"/>
      <w:b w:val="0"/>
      <w:color w:val="365F91"/>
      <w:sz w:val="28"/>
      <w:szCs w:val="28"/>
      <w:lang w:val="en-US"/>
    </w:rPr>
  </w:style>
  <w:style w:type="character" w:customStyle="1" w:styleId="FootnoteChar">
    <w:name w:val="Footnote Char"/>
    <w:link w:val="Footnote"/>
    <w:locked/>
    <w:rsid w:val="00DA09F2"/>
    <w:rPr>
      <w:i/>
      <w:iCs/>
      <w:sz w:val="18"/>
    </w:rPr>
  </w:style>
  <w:style w:type="paragraph" w:customStyle="1" w:styleId="Footnote">
    <w:name w:val="Footnote"/>
    <w:basedOn w:val="Normal"/>
    <w:link w:val="FootnoteChar"/>
    <w:rsid w:val="00DA09F2"/>
    <w:pPr>
      <w:overflowPunct w:val="0"/>
      <w:autoSpaceDE w:val="0"/>
      <w:autoSpaceDN w:val="0"/>
      <w:spacing w:after="0" w:line="240" w:lineRule="auto"/>
      <w:ind w:left="284" w:hanging="284"/>
      <w:jc w:val="both"/>
    </w:pPr>
    <w:rPr>
      <w:i/>
      <w:iCs/>
      <w:sz w:val="18"/>
      <w:szCs w:val="20"/>
      <w:lang w:eastAsia="en-GB"/>
    </w:rPr>
  </w:style>
  <w:style w:type="paragraph" w:styleId="Revision">
    <w:name w:val="Revision"/>
    <w:hidden/>
    <w:uiPriority w:val="99"/>
    <w:semiHidden/>
    <w:rsid w:val="00D8364E"/>
    <w:rPr>
      <w:rFonts w:eastAsia="MS Mincho" w:cs="Arial"/>
      <w:sz w:val="22"/>
      <w:lang w:eastAsia="en-US"/>
    </w:rPr>
  </w:style>
  <w:style w:type="paragraph" w:styleId="ListNumber">
    <w:name w:val="List Number"/>
    <w:basedOn w:val="Normal"/>
    <w:uiPriority w:val="99"/>
    <w:semiHidden/>
    <w:unhideWhenUsed/>
    <w:rsid w:val="0097048D"/>
    <w:pPr>
      <w:numPr>
        <w:numId w:val="10"/>
      </w:numPr>
      <w:contextualSpacing/>
    </w:pPr>
  </w:style>
  <w:style w:type="table" w:styleId="LightShading-Accent1">
    <w:name w:val="Light Shading Accent 1"/>
    <w:basedOn w:val="TableNormal"/>
    <w:uiPriority w:val="60"/>
    <w:rsid w:val="00BF01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CE3E11"/>
    <w:rPr>
      <w:rFonts w:ascii="Arial" w:hAnsi="Arial" w:cs="Arial"/>
      <w:noProof/>
      <w:sz w:val="22"/>
      <w:szCs w:val="22"/>
      <w:lang w:eastAsia="ja-JP"/>
    </w:rPr>
  </w:style>
  <w:style w:type="paragraph" w:customStyle="1" w:styleId="Marginalnumber">
    <w:name w:val="Marginal number"/>
    <w:basedOn w:val="Normal"/>
    <w:qFormat/>
    <w:rsid w:val="00CE3E11"/>
    <w:pPr>
      <w:numPr>
        <w:numId w:val="11"/>
      </w:numPr>
      <w:tabs>
        <w:tab w:val="left" w:pos="0"/>
      </w:tabs>
    </w:pPr>
    <w:rPr>
      <w:rFonts w:asciiTheme="minorHAnsi" w:eastAsiaTheme="minorEastAsia" w:hAnsiTheme="minorHAnsi" w:cstheme="minorBidi"/>
      <w:szCs w:val="20"/>
      <w:lang w:eastAsia="ja-JP"/>
    </w:rPr>
  </w:style>
  <w:style w:type="paragraph" w:customStyle="1" w:styleId="TableParagraph">
    <w:name w:val="Table Paragraph"/>
    <w:basedOn w:val="Normal"/>
    <w:uiPriority w:val="1"/>
    <w:qFormat/>
    <w:rsid w:val="00D465CD"/>
    <w:pPr>
      <w:autoSpaceDE w:val="0"/>
      <w:autoSpaceDN w:val="0"/>
      <w:adjustRightInd w:val="0"/>
      <w:spacing w:after="0" w:line="240" w:lineRule="auto"/>
    </w:pPr>
    <w:rPr>
      <w:rFonts w:cs="Calibri"/>
      <w:sz w:val="24"/>
      <w:szCs w:val="24"/>
      <w:lang w:eastAsia="en-GB"/>
    </w:rPr>
  </w:style>
  <w:style w:type="character" w:customStyle="1" w:styleId="xrefout">
    <w:name w:val="xrefout"/>
    <w:basedOn w:val="DefaultParagraphFont"/>
    <w:rsid w:val="006B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122">
      <w:bodyDiv w:val="1"/>
      <w:marLeft w:val="0"/>
      <w:marRight w:val="0"/>
      <w:marTop w:val="0"/>
      <w:marBottom w:val="0"/>
      <w:divBdr>
        <w:top w:val="none" w:sz="0" w:space="0" w:color="auto"/>
        <w:left w:val="none" w:sz="0" w:space="0" w:color="auto"/>
        <w:bottom w:val="none" w:sz="0" w:space="0" w:color="auto"/>
        <w:right w:val="none" w:sz="0" w:space="0" w:color="auto"/>
      </w:divBdr>
    </w:div>
    <w:div w:id="17970192">
      <w:bodyDiv w:val="1"/>
      <w:marLeft w:val="0"/>
      <w:marRight w:val="0"/>
      <w:marTop w:val="0"/>
      <w:marBottom w:val="0"/>
      <w:divBdr>
        <w:top w:val="none" w:sz="0" w:space="0" w:color="auto"/>
        <w:left w:val="none" w:sz="0" w:space="0" w:color="auto"/>
        <w:bottom w:val="none" w:sz="0" w:space="0" w:color="auto"/>
        <w:right w:val="none" w:sz="0" w:space="0" w:color="auto"/>
      </w:divBdr>
    </w:div>
    <w:div w:id="19942753">
      <w:bodyDiv w:val="1"/>
      <w:marLeft w:val="0"/>
      <w:marRight w:val="0"/>
      <w:marTop w:val="0"/>
      <w:marBottom w:val="0"/>
      <w:divBdr>
        <w:top w:val="none" w:sz="0" w:space="0" w:color="auto"/>
        <w:left w:val="none" w:sz="0" w:space="0" w:color="auto"/>
        <w:bottom w:val="none" w:sz="0" w:space="0" w:color="auto"/>
        <w:right w:val="none" w:sz="0" w:space="0" w:color="auto"/>
      </w:divBdr>
    </w:div>
    <w:div w:id="21447162">
      <w:bodyDiv w:val="1"/>
      <w:marLeft w:val="0"/>
      <w:marRight w:val="0"/>
      <w:marTop w:val="0"/>
      <w:marBottom w:val="0"/>
      <w:divBdr>
        <w:top w:val="none" w:sz="0" w:space="0" w:color="auto"/>
        <w:left w:val="none" w:sz="0" w:space="0" w:color="auto"/>
        <w:bottom w:val="none" w:sz="0" w:space="0" w:color="auto"/>
        <w:right w:val="none" w:sz="0" w:space="0" w:color="auto"/>
      </w:divBdr>
    </w:div>
    <w:div w:id="32461518">
      <w:bodyDiv w:val="1"/>
      <w:marLeft w:val="0"/>
      <w:marRight w:val="0"/>
      <w:marTop w:val="0"/>
      <w:marBottom w:val="0"/>
      <w:divBdr>
        <w:top w:val="none" w:sz="0" w:space="0" w:color="auto"/>
        <w:left w:val="none" w:sz="0" w:space="0" w:color="auto"/>
        <w:bottom w:val="none" w:sz="0" w:space="0" w:color="auto"/>
        <w:right w:val="none" w:sz="0" w:space="0" w:color="auto"/>
      </w:divBdr>
      <w:divsChild>
        <w:div w:id="2121147964">
          <w:marLeft w:val="0"/>
          <w:marRight w:val="0"/>
          <w:marTop w:val="0"/>
          <w:marBottom w:val="0"/>
          <w:divBdr>
            <w:top w:val="none" w:sz="0" w:space="0" w:color="auto"/>
            <w:left w:val="none" w:sz="0" w:space="0" w:color="auto"/>
            <w:bottom w:val="none" w:sz="0" w:space="0" w:color="auto"/>
            <w:right w:val="none" w:sz="0" w:space="0" w:color="auto"/>
          </w:divBdr>
          <w:divsChild>
            <w:div w:id="1036658380">
              <w:marLeft w:val="0"/>
              <w:marRight w:val="0"/>
              <w:marTop w:val="0"/>
              <w:marBottom w:val="0"/>
              <w:divBdr>
                <w:top w:val="none" w:sz="0" w:space="0" w:color="auto"/>
                <w:left w:val="none" w:sz="0" w:space="0" w:color="auto"/>
                <w:bottom w:val="none" w:sz="0" w:space="0" w:color="auto"/>
                <w:right w:val="none" w:sz="0" w:space="0" w:color="auto"/>
              </w:divBdr>
            </w:div>
          </w:divsChild>
        </w:div>
        <w:div w:id="1525556736">
          <w:marLeft w:val="0"/>
          <w:marRight w:val="0"/>
          <w:marTop w:val="0"/>
          <w:marBottom w:val="0"/>
          <w:divBdr>
            <w:top w:val="none" w:sz="0" w:space="0" w:color="auto"/>
            <w:left w:val="none" w:sz="0" w:space="0" w:color="auto"/>
            <w:bottom w:val="none" w:sz="0" w:space="0" w:color="auto"/>
            <w:right w:val="none" w:sz="0" w:space="0" w:color="auto"/>
          </w:divBdr>
          <w:divsChild>
            <w:div w:id="1748262567">
              <w:marLeft w:val="0"/>
              <w:marRight w:val="0"/>
              <w:marTop w:val="0"/>
              <w:marBottom w:val="0"/>
              <w:divBdr>
                <w:top w:val="none" w:sz="0" w:space="0" w:color="auto"/>
                <w:left w:val="none" w:sz="0" w:space="0" w:color="auto"/>
                <w:bottom w:val="none" w:sz="0" w:space="0" w:color="auto"/>
                <w:right w:val="none" w:sz="0" w:space="0" w:color="auto"/>
              </w:divBdr>
            </w:div>
          </w:divsChild>
        </w:div>
        <w:div w:id="732242669">
          <w:marLeft w:val="0"/>
          <w:marRight w:val="0"/>
          <w:marTop w:val="0"/>
          <w:marBottom w:val="0"/>
          <w:divBdr>
            <w:top w:val="none" w:sz="0" w:space="0" w:color="auto"/>
            <w:left w:val="none" w:sz="0" w:space="0" w:color="auto"/>
            <w:bottom w:val="none" w:sz="0" w:space="0" w:color="auto"/>
            <w:right w:val="none" w:sz="0" w:space="0" w:color="auto"/>
          </w:divBdr>
          <w:divsChild>
            <w:div w:id="16506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9517">
      <w:bodyDiv w:val="1"/>
      <w:marLeft w:val="0"/>
      <w:marRight w:val="0"/>
      <w:marTop w:val="0"/>
      <w:marBottom w:val="0"/>
      <w:divBdr>
        <w:top w:val="none" w:sz="0" w:space="0" w:color="auto"/>
        <w:left w:val="none" w:sz="0" w:space="0" w:color="auto"/>
        <w:bottom w:val="none" w:sz="0" w:space="0" w:color="auto"/>
        <w:right w:val="none" w:sz="0" w:space="0" w:color="auto"/>
      </w:divBdr>
    </w:div>
    <w:div w:id="52824427">
      <w:bodyDiv w:val="1"/>
      <w:marLeft w:val="0"/>
      <w:marRight w:val="0"/>
      <w:marTop w:val="0"/>
      <w:marBottom w:val="0"/>
      <w:divBdr>
        <w:top w:val="none" w:sz="0" w:space="0" w:color="auto"/>
        <w:left w:val="none" w:sz="0" w:space="0" w:color="auto"/>
        <w:bottom w:val="none" w:sz="0" w:space="0" w:color="auto"/>
        <w:right w:val="none" w:sz="0" w:space="0" w:color="auto"/>
      </w:divBdr>
    </w:div>
    <w:div w:id="52851979">
      <w:bodyDiv w:val="1"/>
      <w:marLeft w:val="0"/>
      <w:marRight w:val="0"/>
      <w:marTop w:val="0"/>
      <w:marBottom w:val="0"/>
      <w:divBdr>
        <w:top w:val="none" w:sz="0" w:space="0" w:color="auto"/>
        <w:left w:val="none" w:sz="0" w:space="0" w:color="auto"/>
        <w:bottom w:val="none" w:sz="0" w:space="0" w:color="auto"/>
        <w:right w:val="none" w:sz="0" w:space="0" w:color="auto"/>
      </w:divBdr>
    </w:div>
    <w:div w:id="59443808">
      <w:bodyDiv w:val="1"/>
      <w:marLeft w:val="0"/>
      <w:marRight w:val="0"/>
      <w:marTop w:val="0"/>
      <w:marBottom w:val="0"/>
      <w:divBdr>
        <w:top w:val="none" w:sz="0" w:space="0" w:color="auto"/>
        <w:left w:val="none" w:sz="0" w:space="0" w:color="auto"/>
        <w:bottom w:val="none" w:sz="0" w:space="0" w:color="auto"/>
        <w:right w:val="none" w:sz="0" w:space="0" w:color="auto"/>
      </w:divBdr>
    </w:div>
    <w:div w:id="76707466">
      <w:bodyDiv w:val="1"/>
      <w:marLeft w:val="0"/>
      <w:marRight w:val="0"/>
      <w:marTop w:val="0"/>
      <w:marBottom w:val="0"/>
      <w:divBdr>
        <w:top w:val="none" w:sz="0" w:space="0" w:color="auto"/>
        <w:left w:val="none" w:sz="0" w:space="0" w:color="auto"/>
        <w:bottom w:val="none" w:sz="0" w:space="0" w:color="auto"/>
        <w:right w:val="none" w:sz="0" w:space="0" w:color="auto"/>
      </w:divBdr>
    </w:div>
    <w:div w:id="96601823">
      <w:bodyDiv w:val="1"/>
      <w:marLeft w:val="0"/>
      <w:marRight w:val="0"/>
      <w:marTop w:val="0"/>
      <w:marBottom w:val="0"/>
      <w:divBdr>
        <w:top w:val="none" w:sz="0" w:space="0" w:color="auto"/>
        <w:left w:val="none" w:sz="0" w:space="0" w:color="auto"/>
        <w:bottom w:val="none" w:sz="0" w:space="0" w:color="auto"/>
        <w:right w:val="none" w:sz="0" w:space="0" w:color="auto"/>
      </w:divBdr>
    </w:div>
    <w:div w:id="106855602">
      <w:bodyDiv w:val="1"/>
      <w:marLeft w:val="0"/>
      <w:marRight w:val="0"/>
      <w:marTop w:val="0"/>
      <w:marBottom w:val="0"/>
      <w:divBdr>
        <w:top w:val="none" w:sz="0" w:space="0" w:color="auto"/>
        <w:left w:val="none" w:sz="0" w:space="0" w:color="auto"/>
        <w:bottom w:val="none" w:sz="0" w:space="0" w:color="auto"/>
        <w:right w:val="none" w:sz="0" w:space="0" w:color="auto"/>
      </w:divBdr>
    </w:div>
    <w:div w:id="109132351">
      <w:bodyDiv w:val="1"/>
      <w:marLeft w:val="0"/>
      <w:marRight w:val="0"/>
      <w:marTop w:val="0"/>
      <w:marBottom w:val="0"/>
      <w:divBdr>
        <w:top w:val="none" w:sz="0" w:space="0" w:color="auto"/>
        <w:left w:val="none" w:sz="0" w:space="0" w:color="auto"/>
        <w:bottom w:val="none" w:sz="0" w:space="0" w:color="auto"/>
        <w:right w:val="none" w:sz="0" w:space="0" w:color="auto"/>
      </w:divBdr>
    </w:div>
    <w:div w:id="110826926">
      <w:bodyDiv w:val="1"/>
      <w:marLeft w:val="0"/>
      <w:marRight w:val="0"/>
      <w:marTop w:val="0"/>
      <w:marBottom w:val="0"/>
      <w:divBdr>
        <w:top w:val="none" w:sz="0" w:space="0" w:color="auto"/>
        <w:left w:val="none" w:sz="0" w:space="0" w:color="auto"/>
        <w:bottom w:val="none" w:sz="0" w:space="0" w:color="auto"/>
        <w:right w:val="none" w:sz="0" w:space="0" w:color="auto"/>
      </w:divBdr>
    </w:div>
    <w:div w:id="112986717">
      <w:bodyDiv w:val="1"/>
      <w:marLeft w:val="0"/>
      <w:marRight w:val="0"/>
      <w:marTop w:val="0"/>
      <w:marBottom w:val="0"/>
      <w:divBdr>
        <w:top w:val="none" w:sz="0" w:space="0" w:color="auto"/>
        <w:left w:val="none" w:sz="0" w:space="0" w:color="auto"/>
        <w:bottom w:val="none" w:sz="0" w:space="0" w:color="auto"/>
        <w:right w:val="none" w:sz="0" w:space="0" w:color="auto"/>
      </w:divBdr>
    </w:div>
    <w:div w:id="128672152">
      <w:bodyDiv w:val="1"/>
      <w:marLeft w:val="0"/>
      <w:marRight w:val="0"/>
      <w:marTop w:val="0"/>
      <w:marBottom w:val="0"/>
      <w:divBdr>
        <w:top w:val="none" w:sz="0" w:space="0" w:color="auto"/>
        <w:left w:val="none" w:sz="0" w:space="0" w:color="auto"/>
        <w:bottom w:val="none" w:sz="0" w:space="0" w:color="auto"/>
        <w:right w:val="none" w:sz="0" w:space="0" w:color="auto"/>
      </w:divBdr>
    </w:div>
    <w:div w:id="132213122">
      <w:bodyDiv w:val="1"/>
      <w:marLeft w:val="0"/>
      <w:marRight w:val="0"/>
      <w:marTop w:val="0"/>
      <w:marBottom w:val="0"/>
      <w:divBdr>
        <w:top w:val="none" w:sz="0" w:space="0" w:color="auto"/>
        <w:left w:val="none" w:sz="0" w:space="0" w:color="auto"/>
        <w:bottom w:val="none" w:sz="0" w:space="0" w:color="auto"/>
        <w:right w:val="none" w:sz="0" w:space="0" w:color="auto"/>
      </w:divBdr>
    </w:div>
    <w:div w:id="138307030">
      <w:bodyDiv w:val="1"/>
      <w:marLeft w:val="0"/>
      <w:marRight w:val="0"/>
      <w:marTop w:val="0"/>
      <w:marBottom w:val="0"/>
      <w:divBdr>
        <w:top w:val="none" w:sz="0" w:space="0" w:color="auto"/>
        <w:left w:val="none" w:sz="0" w:space="0" w:color="auto"/>
        <w:bottom w:val="none" w:sz="0" w:space="0" w:color="auto"/>
        <w:right w:val="none" w:sz="0" w:space="0" w:color="auto"/>
      </w:divBdr>
    </w:div>
    <w:div w:id="158351229">
      <w:bodyDiv w:val="1"/>
      <w:marLeft w:val="0"/>
      <w:marRight w:val="0"/>
      <w:marTop w:val="0"/>
      <w:marBottom w:val="0"/>
      <w:divBdr>
        <w:top w:val="none" w:sz="0" w:space="0" w:color="auto"/>
        <w:left w:val="none" w:sz="0" w:space="0" w:color="auto"/>
        <w:bottom w:val="none" w:sz="0" w:space="0" w:color="auto"/>
        <w:right w:val="none" w:sz="0" w:space="0" w:color="auto"/>
      </w:divBdr>
    </w:div>
    <w:div w:id="166673172">
      <w:bodyDiv w:val="1"/>
      <w:marLeft w:val="0"/>
      <w:marRight w:val="0"/>
      <w:marTop w:val="0"/>
      <w:marBottom w:val="0"/>
      <w:divBdr>
        <w:top w:val="none" w:sz="0" w:space="0" w:color="auto"/>
        <w:left w:val="none" w:sz="0" w:space="0" w:color="auto"/>
        <w:bottom w:val="none" w:sz="0" w:space="0" w:color="auto"/>
        <w:right w:val="none" w:sz="0" w:space="0" w:color="auto"/>
      </w:divBdr>
    </w:div>
    <w:div w:id="185675956">
      <w:bodyDiv w:val="1"/>
      <w:marLeft w:val="0"/>
      <w:marRight w:val="0"/>
      <w:marTop w:val="0"/>
      <w:marBottom w:val="0"/>
      <w:divBdr>
        <w:top w:val="none" w:sz="0" w:space="0" w:color="auto"/>
        <w:left w:val="none" w:sz="0" w:space="0" w:color="auto"/>
        <w:bottom w:val="none" w:sz="0" w:space="0" w:color="auto"/>
        <w:right w:val="none" w:sz="0" w:space="0" w:color="auto"/>
      </w:divBdr>
    </w:div>
    <w:div w:id="188301681">
      <w:bodyDiv w:val="1"/>
      <w:marLeft w:val="0"/>
      <w:marRight w:val="0"/>
      <w:marTop w:val="0"/>
      <w:marBottom w:val="0"/>
      <w:divBdr>
        <w:top w:val="none" w:sz="0" w:space="0" w:color="auto"/>
        <w:left w:val="none" w:sz="0" w:space="0" w:color="auto"/>
        <w:bottom w:val="none" w:sz="0" w:space="0" w:color="auto"/>
        <w:right w:val="none" w:sz="0" w:space="0" w:color="auto"/>
      </w:divBdr>
    </w:div>
    <w:div w:id="208303207">
      <w:bodyDiv w:val="1"/>
      <w:marLeft w:val="0"/>
      <w:marRight w:val="0"/>
      <w:marTop w:val="0"/>
      <w:marBottom w:val="0"/>
      <w:divBdr>
        <w:top w:val="none" w:sz="0" w:space="0" w:color="auto"/>
        <w:left w:val="none" w:sz="0" w:space="0" w:color="auto"/>
        <w:bottom w:val="none" w:sz="0" w:space="0" w:color="auto"/>
        <w:right w:val="none" w:sz="0" w:space="0" w:color="auto"/>
      </w:divBdr>
    </w:div>
    <w:div w:id="214702727">
      <w:bodyDiv w:val="1"/>
      <w:marLeft w:val="0"/>
      <w:marRight w:val="0"/>
      <w:marTop w:val="0"/>
      <w:marBottom w:val="0"/>
      <w:divBdr>
        <w:top w:val="none" w:sz="0" w:space="0" w:color="auto"/>
        <w:left w:val="none" w:sz="0" w:space="0" w:color="auto"/>
        <w:bottom w:val="none" w:sz="0" w:space="0" w:color="auto"/>
        <w:right w:val="none" w:sz="0" w:space="0" w:color="auto"/>
      </w:divBdr>
    </w:div>
    <w:div w:id="215819911">
      <w:bodyDiv w:val="1"/>
      <w:marLeft w:val="0"/>
      <w:marRight w:val="0"/>
      <w:marTop w:val="0"/>
      <w:marBottom w:val="0"/>
      <w:divBdr>
        <w:top w:val="none" w:sz="0" w:space="0" w:color="auto"/>
        <w:left w:val="none" w:sz="0" w:space="0" w:color="auto"/>
        <w:bottom w:val="none" w:sz="0" w:space="0" w:color="auto"/>
        <w:right w:val="none" w:sz="0" w:space="0" w:color="auto"/>
      </w:divBdr>
    </w:div>
    <w:div w:id="222133683">
      <w:bodyDiv w:val="1"/>
      <w:marLeft w:val="0"/>
      <w:marRight w:val="0"/>
      <w:marTop w:val="0"/>
      <w:marBottom w:val="0"/>
      <w:divBdr>
        <w:top w:val="none" w:sz="0" w:space="0" w:color="auto"/>
        <w:left w:val="none" w:sz="0" w:space="0" w:color="auto"/>
        <w:bottom w:val="none" w:sz="0" w:space="0" w:color="auto"/>
        <w:right w:val="none" w:sz="0" w:space="0" w:color="auto"/>
      </w:divBdr>
    </w:div>
    <w:div w:id="227618247">
      <w:bodyDiv w:val="1"/>
      <w:marLeft w:val="0"/>
      <w:marRight w:val="0"/>
      <w:marTop w:val="0"/>
      <w:marBottom w:val="0"/>
      <w:divBdr>
        <w:top w:val="none" w:sz="0" w:space="0" w:color="auto"/>
        <w:left w:val="none" w:sz="0" w:space="0" w:color="auto"/>
        <w:bottom w:val="none" w:sz="0" w:space="0" w:color="auto"/>
        <w:right w:val="none" w:sz="0" w:space="0" w:color="auto"/>
      </w:divBdr>
    </w:div>
    <w:div w:id="230115153">
      <w:bodyDiv w:val="1"/>
      <w:marLeft w:val="0"/>
      <w:marRight w:val="0"/>
      <w:marTop w:val="0"/>
      <w:marBottom w:val="0"/>
      <w:divBdr>
        <w:top w:val="none" w:sz="0" w:space="0" w:color="auto"/>
        <w:left w:val="none" w:sz="0" w:space="0" w:color="auto"/>
        <w:bottom w:val="none" w:sz="0" w:space="0" w:color="auto"/>
        <w:right w:val="none" w:sz="0" w:space="0" w:color="auto"/>
      </w:divBdr>
    </w:div>
    <w:div w:id="238633982">
      <w:bodyDiv w:val="1"/>
      <w:marLeft w:val="0"/>
      <w:marRight w:val="0"/>
      <w:marTop w:val="0"/>
      <w:marBottom w:val="0"/>
      <w:divBdr>
        <w:top w:val="none" w:sz="0" w:space="0" w:color="auto"/>
        <w:left w:val="none" w:sz="0" w:space="0" w:color="auto"/>
        <w:bottom w:val="none" w:sz="0" w:space="0" w:color="auto"/>
        <w:right w:val="none" w:sz="0" w:space="0" w:color="auto"/>
      </w:divBdr>
    </w:div>
    <w:div w:id="265426962">
      <w:bodyDiv w:val="1"/>
      <w:marLeft w:val="0"/>
      <w:marRight w:val="0"/>
      <w:marTop w:val="0"/>
      <w:marBottom w:val="0"/>
      <w:divBdr>
        <w:top w:val="none" w:sz="0" w:space="0" w:color="auto"/>
        <w:left w:val="none" w:sz="0" w:space="0" w:color="auto"/>
        <w:bottom w:val="none" w:sz="0" w:space="0" w:color="auto"/>
        <w:right w:val="none" w:sz="0" w:space="0" w:color="auto"/>
      </w:divBdr>
    </w:div>
    <w:div w:id="268241147">
      <w:bodyDiv w:val="1"/>
      <w:marLeft w:val="0"/>
      <w:marRight w:val="0"/>
      <w:marTop w:val="0"/>
      <w:marBottom w:val="0"/>
      <w:divBdr>
        <w:top w:val="none" w:sz="0" w:space="0" w:color="auto"/>
        <w:left w:val="none" w:sz="0" w:space="0" w:color="auto"/>
        <w:bottom w:val="none" w:sz="0" w:space="0" w:color="auto"/>
        <w:right w:val="none" w:sz="0" w:space="0" w:color="auto"/>
      </w:divBdr>
    </w:div>
    <w:div w:id="270092329">
      <w:bodyDiv w:val="1"/>
      <w:marLeft w:val="0"/>
      <w:marRight w:val="0"/>
      <w:marTop w:val="0"/>
      <w:marBottom w:val="0"/>
      <w:divBdr>
        <w:top w:val="none" w:sz="0" w:space="0" w:color="auto"/>
        <w:left w:val="none" w:sz="0" w:space="0" w:color="auto"/>
        <w:bottom w:val="none" w:sz="0" w:space="0" w:color="auto"/>
        <w:right w:val="none" w:sz="0" w:space="0" w:color="auto"/>
      </w:divBdr>
    </w:div>
    <w:div w:id="290869021">
      <w:bodyDiv w:val="1"/>
      <w:marLeft w:val="0"/>
      <w:marRight w:val="0"/>
      <w:marTop w:val="0"/>
      <w:marBottom w:val="0"/>
      <w:divBdr>
        <w:top w:val="none" w:sz="0" w:space="0" w:color="auto"/>
        <w:left w:val="none" w:sz="0" w:space="0" w:color="auto"/>
        <w:bottom w:val="none" w:sz="0" w:space="0" w:color="auto"/>
        <w:right w:val="none" w:sz="0" w:space="0" w:color="auto"/>
      </w:divBdr>
    </w:div>
    <w:div w:id="292172281">
      <w:bodyDiv w:val="1"/>
      <w:marLeft w:val="0"/>
      <w:marRight w:val="0"/>
      <w:marTop w:val="0"/>
      <w:marBottom w:val="0"/>
      <w:divBdr>
        <w:top w:val="none" w:sz="0" w:space="0" w:color="auto"/>
        <w:left w:val="none" w:sz="0" w:space="0" w:color="auto"/>
        <w:bottom w:val="none" w:sz="0" w:space="0" w:color="auto"/>
        <w:right w:val="none" w:sz="0" w:space="0" w:color="auto"/>
      </w:divBdr>
    </w:div>
    <w:div w:id="307176689">
      <w:bodyDiv w:val="1"/>
      <w:marLeft w:val="0"/>
      <w:marRight w:val="0"/>
      <w:marTop w:val="0"/>
      <w:marBottom w:val="0"/>
      <w:divBdr>
        <w:top w:val="none" w:sz="0" w:space="0" w:color="auto"/>
        <w:left w:val="none" w:sz="0" w:space="0" w:color="auto"/>
        <w:bottom w:val="none" w:sz="0" w:space="0" w:color="auto"/>
        <w:right w:val="none" w:sz="0" w:space="0" w:color="auto"/>
      </w:divBdr>
      <w:divsChild>
        <w:div w:id="1061946148">
          <w:marLeft w:val="0"/>
          <w:marRight w:val="0"/>
          <w:marTop w:val="0"/>
          <w:marBottom w:val="300"/>
          <w:divBdr>
            <w:top w:val="none" w:sz="0" w:space="0" w:color="auto"/>
            <w:left w:val="none" w:sz="0" w:space="0" w:color="auto"/>
            <w:bottom w:val="none" w:sz="0" w:space="0" w:color="auto"/>
            <w:right w:val="none" w:sz="0" w:space="0" w:color="auto"/>
          </w:divBdr>
          <w:divsChild>
            <w:div w:id="843545342">
              <w:marLeft w:val="0"/>
              <w:marRight w:val="0"/>
              <w:marTop w:val="0"/>
              <w:marBottom w:val="300"/>
              <w:divBdr>
                <w:top w:val="none" w:sz="0" w:space="0" w:color="auto"/>
                <w:left w:val="none" w:sz="0" w:space="0" w:color="auto"/>
                <w:bottom w:val="none" w:sz="0" w:space="0" w:color="auto"/>
                <w:right w:val="none" w:sz="0" w:space="0" w:color="auto"/>
              </w:divBdr>
            </w:div>
            <w:div w:id="184949567">
              <w:marLeft w:val="0"/>
              <w:marRight w:val="0"/>
              <w:marTop w:val="0"/>
              <w:marBottom w:val="0"/>
              <w:divBdr>
                <w:top w:val="none" w:sz="0" w:space="0" w:color="auto"/>
                <w:left w:val="none" w:sz="0" w:space="0" w:color="auto"/>
                <w:bottom w:val="none" w:sz="0" w:space="0" w:color="auto"/>
                <w:right w:val="none" w:sz="0" w:space="0" w:color="auto"/>
              </w:divBdr>
              <w:divsChild>
                <w:div w:id="645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7676">
      <w:bodyDiv w:val="1"/>
      <w:marLeft w:val="0"/>
      <w:marRight w:val="0"/>
      <w:marTop w:val="0"/>
      <w:marBottom w:val="0"/>
      <w:divBdr>
        <w:top w:val="none" w:sz="0" w:space="0" w:color="auto"/>
        <w:left w:val="none" w:sz="0" w:space="0" w:color="auto"/>
        <w:bottom w:val="none" w:sz="0" w:space="0" w:color="auto"/>
        <w:right w:val="none" w:sz="0" w:space="0" w:color="auto"/>
      </w:divBdr>
    </w:div>
    <w:div w:id="329529015">
      <w:bodyDiv w:val="1"/>
      <w:marLeft w:val="0"/>
      <w:marRight w:val="0"/>
      <w:marTop w:val="0"/>
      <w:marBottom w:val="0"/>
      <w:divBdr>
        <w:top w:val="none" w:sz="0" w:space="0" w:color="auto"/>
        <w:left w:val="none" w:sz="0" w:space="0" w:color="auto"/>
        <w:bottom w:val="none" w:sz="0" w:space="0" w:color="auto"/>
        <w:right w:val="none" w:sz="0" w:space="0" w:color="auto"/>
      </w:divBdr>
    </w:div>
    <w:div w:id="353267340">
      <w:bodyDiv w:val="1"/>
      <w:marLeft w:val="0"/>
      <w:marRight w:val="0"/>
      <w:marTop w:val="0"/>
      <w:marBottom w:val="0"/>
      <w:divBdr>
        <w:top w:val="none" w:sz="0" w:space="0" w:color="auto"/>
        <w:left w:val="none" w:sz="0" w:space="0" w:color="auto"/>
        <w:bottom w:val="none" w:sz="0" w:space="0" w:color="auto"/>
        <w:right w:val="none" w:sz="0" w:space="0" w:color="auto"/>
      </w:divBdr>
    </w:div>
    <w:div w:id="355808417">
      <w:bodyDiv w:val="1"/>
      <w:marLeft w:val="0"/>
      <w:marRight w:val="0"/>
      <w:marTop w:val="0"/>
      <w:marBottom w:val="0"/>
      <w:divBdr>
        <w:top w:val="none" w:sz="0" w:space="0" w:color="auto"/>
        <w:left w:val="none" w:sz="0" w:space="0" w:color="auto"/>
        <w:bottom w:val="none" w:sz="0" w:space="0" w:color="auto"/>
        <w:right w:val="none" w:sz="0" w:space="0" w:color="auto"/>
      </w:divBdr>
    </w:div>
    <w:div w:id="382096052">
      <w:bodyDiv w:val="1"/>
      <w:marLeft w:val="0"/>
      <w:marRight w:val="0"/>
      <w:marTop w:val="0"/>
      <w:marBottom w:val="0"/>
      <w:divBdr>
        <w:top w:val="none" w:sz="0" w:space="0" w:color="auto"/>
        <w:left w:val="none" w:sz="0" w:space="0" w:color="auto"/>
        <w:bottom w:val="none" w:sz="0" w:space="0" w:color="auto"/>
        <w:right w:val="none" w:sz="0" w:space="0" w:color="auto"/>
      </w:divBdr>
    </w:div>
    <w:div w:id="393967719">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23502391">
      <w:bodyDiv w:val="1"/>
      <w:marLeft w:val="0"/>
      <w:marRight w:val="0"/>
      <w:marTop w:val="0"/>
      <w:marBottom w:val="0"/>
      <w:divBdr>
        <w:top w:val="none" w:sz="0" w:space="0" w:color="auto"/>
        <w:left w:val="none" w:sz="0" w:space="0" w:color="auto"/>
        <w:bottom w:val="none" w:sz="0" w:space="0" w:color="auto"/>
        <w:right w:val="none" w:sz="0" w:space="0" w:color="auto"/>
      </w:divBdr>
    </w:div>
    <w:div w:id="430587707">
      <w:bodyDiv w:val="1"/>
      <w:marLeft w:val="0"/>
      <w:marRight w:val="0"/>
      <w:marTop w:val="0"/>
      <w:marBottom w:val="0"/>
      <w:divBdr>
        <w:top w:val="none" w:sz="0" w:space="0" w:color="auto"/>
        <w:left w:val="none" w:sz="0" w:space="0" w:color="auto"/>
        <w:bottom w:val="none" w:sz="0" w:space="0" w:color="auto"/>
        <w:right w:val="none" w:sz="0" w:space="0" w:color="auto"/>
      </w:divBdr>
    </w:div>
    <w:div w:id="438725408">
      <w:bodyDiv w:val="1"/>
      <w:marLeft w:val="0"/>
      <w:marRight w:val="0"/>
      <w:marTop w:val="0"/>
      <w:marBottom w:val="0"/>
      <w:divBdr>
        <w:top w:val="none" w:sz="0" w:space="0" w:color="auto"/>
        <w:left w:val="none" w:sz="0" w:space="0" w:color="auto"/>
        <w:bottom w:val="none" w:sz="0" w:space="0" w:color="auto"/>
        <w:right w:val="none" w:sz="0" w:space="0" w:color="auto"/>
      </w:divBdr>
    </w:div>
    <w:div w:id="451368425">
      <w:bodyDiv w:val="1"/>
      <w:marLeft w:val="0"/>
      <w:marRight w:val="0"/>
      <w:marTop w:val="0"/>
      <w:marBottom w:val="0"/>
      <w:divBdr>
        <w:top w:val="none" w:sz="0" w:space="0" w:color="auto"/>
        <w:left w:val="none" w:sz="0" w:space="0" w:color="auto"/>
        <w:bottom w:val="none" w:sz="0" w:space="0" w:color="auto"/>
        <w:right w:val="none" w:sz="0" w:space="0" w:color="auto"/>
      </w:divBdr>
    </w:div>
    <w:div w:id="456685930">
      <w:bodyDiv w:val="1"/>
      <w:marLeft w:val="0"/>
      <w:marRight w:val="0"/>
      <w:marTop w:val="0"/>
      <w:marBottom w:val="0"/>
      <w:divBdr>
        <w:top w:val="none" w:sz="0" w:space="0" w:color="auto"/>
        <w:left w:val="none" w:sz="0" w:space="0" w:color="auto"/>
        <w:bottom w:val="none" w:sz="0" w:space="0" w:color="auto"/>
        <w:right w:val="none" w:sz="0" w:space="0" w:color="auto"/>
      </w:divBdr>
    </w:div>
    <w:div w:id="465045278">
      <w:bodyDiv w:val="1"/>
      <w:marLeft w:val="0"/>
      <w:marRight w:val="0"/>
      <w:marTop w:val="0"/>
      <w:marBottom w:val="0"/>
      <w:divBdr>
        <w:top w:val="none" w:sz="0" w:space="0" w:color="auto"/>
        <w:left w:val="none" w:sz="0" w:space="0" w:color="auto"/>
        <w:bottom w:val="none" w:sz="0" w:space="0" w:color="auto"/>
        <w:right w:val="none" w:sz="0" w:space="0" w:color="auto"/>
      </w:divBdr>
    </w:div>
    <w:div w:id="470095975">
      <w:bodyDiv w:val="1"/>
      <w:marLeft w:val="0"/>
      <w:marRight w:val="0"/>
      <w:marTop w:val="0"/>
      <w:marBottom w:val="0"/>
      <w:divBdr>
        <w:top w:val="none" w:sz="0" w:space="0" w:color="auto"/>
        <w:left w:val="none" w:sz="0" w:space="0" w:color="auto"/>
        <w:bottom w:val="none" w:sz="0" w:space="0" w:color="auto"/>
        <w:right w:val="none" w:sz="0" w:space="0" w:color="auto"/>
      </w:divBdr>
    </w:div>
    <w:div w:id="496310745">
      <w:bodyDiv w:val="1"/>
      <w:marLeft w:val="0"/>
      <w:marRight w:val="0"/>
      <w:marTop w:val="0"/>
      <w:marBottom w:val="0"/>
      <w:divBdr>
        <w:top w:val="none" w:sz="0" w:space="0" w:color="auto"/>
        <w:left w:val="none" w:sz="0" w:space="0" w:color="auto"/>
        <w:bottom w:val="none" w:sz="0" w:space="0" w:color="auto"/>
        <w:right w:val="none" w:sz="0" w:space="0" w:color="auto"/>
      </w:divBdr>
    </w:div>
    <w:div w:id="508064001">
      <w:bodyDiv w:val="1"/>
      <w:marLeft w:val="0"/>
      <w:marRight w:val="0"/>
      <w:marTop w:val="0"/>
      <w:marBottom w:val="0"/>
      <w:divBdr>
        <w:top w:val="none" w:sz="0" w:space="0" w:color="auto"/>
        <w:left w:val="none" w:sz="0" w:space="0" w:color="auto"/>
        <w:bottom w:val="none" w:sz="0" w:space="0" w:color="auto"/>
        <w:right w:val="none" w:sz="0" w:space="0" w:color="auto"/>
      </w:divBdr>
    </w:div>
    <w:div w:id="535436300">
      <w:bodyDiv w:val="1"/>
      <w:marLeft w:val="0"/>
      <w:marRight w:val="0"/>
      <w:marTop w:val="0"/>
      <w:marBottom w:val="0"/>
      <w:divBdr>
        <w:top w:val="none" w:sz="0" w:space="0" w:color="auto"/>
        <w:left w:val="none" w:sz="0" w:space="0" w:color="auto"/>
        <w:bottom w:val="none" w:sz="0" w:space="0" w:color="auto"/>
        <w:right w:val="none" w:sz="0" w:space="0" w:color="auto"/>
      </w:divBdr>
    </w:div>
    <w:div w:id="538855194">
      <w:bodyDiv w:val="1"/>
      <w:marLeft w:val="0"/>
      <w:marRight w:val="0"/>
      <w:marTop w:val="0"/>
      <w:marBottom w:val="0"/>
      <w:divBdr>
        <w:top w:val="none" w:sz="0" w:space="0" w:color="auto"/>
        <w:left w:val="none" w:sz="0" w:space="0" w:color="auto"/>
        <w:bottom w:val="none" w:sz="0" w:space="0" w:color="auto"/>
        <w:right w:val="none" w:sz="0" w:space="0" w:color="auto"/>
      </w:divBdr>
    </w:div>
    <w:div w:id="541526733">
      <w:bodyDiv w:val="1"/>
      <w:marLeft w:val="0"/>
      <w:marRight w:val="0"/>
      <w:marTop w:val="0"/>
      <w:marBottom w:val="0"/>
      <w:divBdr>
        <w:top w:val="none" w:sz="0" w:space="0" w:color="auto"/>
        <w:left w:val="none" w:sz="0" w:space="0" w:color="auto"/>
        <w:bottom w:val="none" w:sz="0" w:space="0" w:color="auto"/>
        <w:right w:val="none" w:sz="0" w:space="0" w:color="auto"/>
      </w:divBdr>
    </w:div>
    <w:div w:id="566917018">
      <w:bodyDiv w:val="1"/>
      <w:marLeft w:val="0"/>
      <w:marRight w:val="0"/>
      <w:marTop w:val="0"/>
      <w:marBottom w:val="0"/>
      <w:divBdr>
        <w:top w:val="none" w:sz="0" w:space="0" w:color="auto"/>
        <w:left w:val="none" w:sz="0" w:space="0" w:color="auto"/>
        <w:bottom w:val="none" w:sz="0" w:space="0" w:color="auto"/>
        <w:right w:val="none" w:sz="0" w:space="0" w:color="auto"/>
      </w:divBdr>
    </w:div>
    <w:div w:id="589461005">
      <w:bodyDiv w:val="1"/>
      <w:marLeft w:val="0"/>
      <w:marRight w:val="0"/>
      <w:marTop w:val="0"/>
      <w:marBottom w:val="0"/>
      <w:divBdr>
        <w:top w:val="none" w:sz="0" w:space="0" w:color="auto"/>
        <w:left w:val="none" w:sz="0" w:space="0" w:color="auto"/>
        <w:bottom w:val="none" w:sz="0" w:space="0" w:color="auto"/>
        <w:right w:val="none" w:sz="0" w:space="0" w:color="auto"/>
      </w:divBdr>
    </w:div>
    <w:div w:id="614992045">
      <w:bodyDiv w:val="1"/>
      <w:marLeft w:val="0"/>
      <w:marRight w:val="0"/>
      <w:marTop w:val="0"/>
      <w:marBottom w:val="0"/>
      <w:divBdr>
        <w:top w:val="none" w:sz="0" w:space="0" w:color="auto"/>
        <w:left w:val="none" w:sz="0" w:space="0" w:color="auto"/>
        <w:bottom w:val="none" w:sz="0" w:space="0" w:color="auto"/>
        <w:right w:val="none" w:sz="0" w:space="0" w:color="auto"/>
      </w:divBdr>
    </w:div>
    <w:div w:id="634410772">
      <w:bodyDiv w:val="1"/>
      <w:marLeft w:val="0"/>
      <w:marRight w:val="0"/>
      <w:marTop w:val="0"/>
      <w:marBottom w:val="0"/>
      <w:divBdr>
        <w:top w:val="none" w:sz="0" w:space="0" w:color="auto"/>
        <w:left w:val="none" w:sz="0" w:space="0" w:color="auto"/>
        <w:bottom w:val="none" w:sz="0" w:space="0" w:color="auto"/>
        <w:right w:val="none" w:sz="0" w:space="0" w:color="auto"/>
      </w:divBdr>
    </w:div>
    <w:div w:id="635719310">
      <w:bodyDiv w:val="1"/>
      <w:marLeft w:val="0"/>
      <w:marRight w:val="0"/>
      <w:marTop w:val="0"/>
      <w:marBottom w:val="0"/>
      <w:divBdr>
        <w:top w:val="none" w:sz="0" w:space="0" w:color="auto"/>
        <w:left w:val="none" w:sz="0" w:space="0" w:color="auto"/>
        <w:bottom w:val="none" w:sz="0" w:space="0" w:color="auto"/>
        <w:right w:val="none" w:sz="0" w:space="0" w:color="auto"/>
      </w:divBdr>
    </w:div>
    <w:div w:id="638263993">
      <w:bodyDiv w:val="1"/>
      <w:marLeft w:val="0"/>
      <w:marRight w:val="0"/>
      <w:marTop w:val="0"/>
      <w:marBottom w:val="0"/>
      <w:divBdr>
        <w:top w:val="none" w:sz="0" w:space="0" w:color="auto"/>
        <w:left w:val="none" w:sz="0" w:space="0" w:color="auto"/>
        <w:bottom w:val="none" w:sz="0" w:space="0" w:color="auto"/>
        <w:right w:val="none" w:sz="0" w:space="0" w:color="auto"/>
      </w:divBdr>
    </w:div>
    <w:div w:id="638416853">
      <w:bodyDiv w:val="1"/>
      <w:marLeft w:val="0"/>
      <w:marRight w:val="0"/>
      <w:marTop w:val="0"/>
      <w:marBottom w:val="0"/>
      <w:divBdr>
        <w:top w:val="none" w:sz="0" w:space="0" w:color="auto"/>
        <w:left w:val="none" w:sz="0" w:space="0" w:color="auto"/>
        <w:bottom w:val="none" w:sz="0" w:space="0" w:color="auto"/>
        <w:right w:val="none" w:sz="0" w:space="0" w:color="auto"/>
      </w:divBdr>
    </w:div>
    <w:div w:id="650403525">
      <w:bodyDiv w:val="1"/>
      <w:marLeft w:val="0"/>
      <w:marRight w:val="0"/>
      <w:marTop w:val="0"/>
      <w:marBottom w:val="0"/>
      <w:divBdr>
        <w:top w:val="none" w:sz="0" w:space="0" w:color="auto"/>
        <w:left w:val="none" w:sz="0" w:space="0" w:color="auto"/>
        <w:bottom w:val="none" w:sz="0" w:space="0" w:color="auto"/>
        <w:right w:val="none" w:sz="0" w:space="0" w:color="auto"/>
      </w:divBdr>
    </w:div>
    <w:div w:id="677001276">
      <w:bodyDiv w:val="1"/>
      <w:marLeft w:val="0"/>
      <w:marRight w:val="0"/>
      <w:marTop w:val="0"/>
      <w:marBottom w:val="0"/>
      <w:divBdr>
        <w:top w:val="none" w:sz="0" w:space="0" w:color="auto"/>
        <w:left w:val="none" w:sz="0" w:space="0" w:color="auto"/>
        <w:bottom w:val="none" w:sz="0" w:space="0" w:color="auto"/>
        <w:right w:val="none" w:sz="0" w:space="0" w:color="auto"/>
      </w:divBdr>
    </w:div>
    <w:div w:id="684791808">
      <w:bodyDiv w:val="1"/>
      <w:marLeft w:val="0"/>
      <w:marRight w:val="0"/>
      <w:marTop w:val="0"/>
      <w:marBottom w:val="0"/>
      <w:divBdr>
        <w:top w:val="none" w:sz="0" w:space="0" w:color="auto"/>
        <w:left w:val="none" w:sz="0" w:space="0" w:color="auto"/>
        <w:bottom w:val="none" w:sz="0" w:space="0" w:color="auto"/>
        <w:right w:val="none" w:sz="0" w:space="0" w:color="auto"/>
      </w:divBdr>
    </w:div>
    <w:div w:id="716246102">
      <w:bodyDiv w:val="1"/>
      <w:marLeft w:val="0"/>
      <w:marRight w:val="0"/>
      <w:marTop w:val="0"/>
      <w:marBottom w:val="0"/>
      <w:divBdr>
        <w:top w:val="none" w:sz="0" w:space="0" w:color="auto"/>
        <w:left w:val="none" w:sz="0" w:space="0" w:color="auto"/>
        <w:bottom w:val="none" w:sz="0" w:space="0" w:color="auto"/>
        <w:right w:val="none" w:sz="0" w:space="0" w:color="auto"/>
      </w:divBdr>
    </w:div>
    <w:div w:id="732700140">
      <w:bodyDiv w:val="1"/>
      <w:marLeft w:val="0"/>
      <w:marRight w:val="0"/>
      <w:marTop w:val="0"/>
      <w:marBottom w:val="0"/>
      <w:divBdr>
        <w:top w:val="none" w:sz="0" w:space="0" w:color="auto"/>
        <w:left w:val="none" w:sz="0" w:space="0" w:color="auto"/>
        <w:bottom w:val="none" w:sz="0" w:space="0" w:color="auto"/>
        <w:right w:val="none" w:sz="0" w:space="0" w:color="auto"/>
      </w:divBdr>
    </w:div>
    <w:div w:id="733049700">
      <w:bodyDiv w:val="1"/>
      <w:marLeft w:val="0"/>
      <w:marRight w:val="0"/>
      <w:marTop w:val="0"/>
      <w:marBottom w:val="0"/>
      <w:divBdr>
        <w:top w:val="none" w:sz="0" w:space="0" w:color="auto"/>
        <w:left w:val="none" w:sz="0" w:space="0" w:color="auto"/>
        <w:bottom w:val="none" w:sz="0" w:space="0" w:color="auto"/>
        <w:right w:val="none" w:sz="0" w:space="0" w:color="auto"/>
      </w:divBdr>
    </w:div>
    <w:div w:id="790589968">
      <w:bodyDiv w:val="1"/>
      <w:marLeft w:val="0"/>
      <w:marRight w:val="0"/>
      <w:marTop w:val="0"/>
      <w:marBottom w:val="0"/>
      <w:divBdr>
        <w:top w:val="none" w:sz="0" w:space="0" w:color="auto"/>
        <w:left w:val="none" w:sz="0" w:space="0" w:color="auto"/>
        <w:bottom w:val="none" w:sz="0" w:space="0" w:color="auto"/>
        <w:right w:val="none" w:sz="0" w:space="0" w:color="auto"/>
      </w:divBdr>
    </w:div>
    <w:div w:id="793016246">
      <w:bodyDiv w:val="1"/>
      <w:marLeft w:val="0"/>
      <w:marRight w:val="0"/>
      <w:marTop w:val="0"/>
      <w:marBottom w:val="0"/>
      <w:divBdr>
        <w:top w:val="none" w:sz="0" w:space="0" w:color="auto"/>
        <w:left w:val="none" w:sz="0" w:space="0" w:color="auto"/>
        <w:bottom w:val="none" w:sz="0" w:space="0" w:color="auto"/>
        <w:right w:val="none" w:sz="0" w:space="0" w:color="auto"/>
      </w:divBdr>
    </w:div>
    <w:div w:id="810097391">
      <w:bodyDiv w:val="1"/>
      <w:marLeft w:val="0"/>
      <w:marRight w:val="0"/>
      <w:marTop w:val="0"/>
      <w:marBottom w:val="0"/>
      <w:divBdr>
        <w:top w:val="none" w:sz="0" w:space="0" w:color="auto"/>
        <w:left w:val="none" w:sz="0" w:space="0" w:color="auto"/>
        <w:bottom w:val="none" w:sz="0" w:space="0" w:color="auto"/>
        <w:right w:val="none" w:sz="0" w:space="0" w:color="auto"/>
      </w:divBdr>
    </w:div>
    <w:div w:id="822158764">
      <w:bodyDiv w:val="1"/>
      <w:marLeft w:val="0"/>
      <w:marRight w:val="0"/>
      <w:marTop w:val="0"/>
      <w:marBottom w:val="0"/>
      <w:divBdr>
        <w:top w:val="none" w:sz="0" w:space="0" w:color="auto"/>
        <w:left w:val="none" w:sz="0" w:space="0" w:color="auto"/>
        <w:bottom w:val="none" w:sz="0" w:space="0" w:color="auto"/>
        <w:right w:val="none" w:sz="0" w:space="0" w:color="auto"/>
      </w:divBdr>
    </w:div>
    <w:div w:id="841702718">
      <w:bodyDiv w:val="1"/>
      <w:marLeft w:val="0"/>
      <w:marRight w:val="0"/>
      <w:marTop w:val="0"/>
      <w:marBottom w:val="0"/>
      <w:divBdr>
        <w:top w:val="none" w:sz="0" w:space="0" w:color="auto"/>
        <w:left w:val="none" w:sz="0" w:space="0" w:color="auto"/>
        <w:bottom w:val="none" w:sz="0" w:space="0" w:color="auto"/>
        <w:right w:val="none" w:sz="0" w:space="0" w:color="auto"/>
      </w:divBdr>
    </w:div>
    <w:div w:id="879131645">
      <w:bodyDiv w:val="1"/>
      <w:marLeft w:val="0"/>
      <w:marRight w:val="0"/>
      <w:marTop w:val="0"/>
      <w:marBottom w:val="0"/>
      <w:divBdr>
        <w:top w:val="none" w:sz="0" w:space="0" w:color="auto"/>
        <w:left w:val="none" w:sz="0" w:space="0" w:color="auto"/>
        <w:bottom w:val="none" w:sz="0" w:space="0" w:color="auto"/>
        <w:right w:val="none" w:sz="0" w:space="0" w:color="auto"/>
      </w:divBdr>
    </w:div>
    <w:div w:id="886726011">
      <w:bodyDiv w:val="1"/>
      <w:marLeft w:val="0"/>
      <w:marRight w:val="0"/>
      <w:marTop w:val="0"/>
      <w:marBottom w:val="0"/>
      <w:divBdr>
        <w:top w:val="none" w:sz="0" w:space="0" w:color="auto"/>
        <w:left w:val="none" w:sz="0" w:space="0" w:color="auto"/>
        <w:bottom w:val="none" w:sz="0" w:space="0" w:color="auto"/>
        <w:right w:val="none" w:sz="0" w:space="0" w:color="auto"/>
      </w:divBdr>
    </w:div>
    <w:div w:id="888033488">
      <w:bodyDiv w:val="1"/>
      <w:marLeft w:val="0"/>
      <w:marRight w:val="0"/>
      <w:marTop w:val="0"/>
      <w:marBottom w:val="0"/>
      <w:divBdr>
        <w:top w:val="none" w:sz="0" w:space="0" w:color="auto"/>
        <w:left w:val="none" w:sz="0" w:space="0" w:color="auto"/>
        <w:bottom w:val="none" w:sz="0" w:space="0" w:color="auto"/>
        <w:right w:val="none" w:sz="0" w:space="0" w:color="auto"/>
      </w:divBdr>
    </w:div>
    <w:div w:id="899100335">
      <w:bodyDiv w:val="1"/>
      <w:marLeft w:val="0"/>
      <w:marRight w:val="0"/>
      <w:marTop w:val="0"/>
      <w:marBottom w:val="0"/>
      <w:divBdr>
        <w:top w:val="none" w:sz="0" w:space="0" w:color="auto"/>
        <w:left w:val="none" w:sz="0" w:space="0" w:color="auto"/>
        <w:bottom w:val="none" w:sz="0" w:space="0" w:color="auto"/>
        <w:right w:val="none" w:sz="0" w:space="0" w:color="auto"/>
      </w:divBdr>
    </w:div>
    <w:div w:id="904145421">
      <w:bodyDiv w:val="1"/>
      <w:marLeft w:val="0"/>
      <w:marRight w:val="0"/>
      <w:marTop w:val="0"/>
      <w:marBottom w:val="0"/>
      <w:divBdr>
        <w:top w:val="none" w:sz="0" w:space="0" w:color="auto"/>
        <w:left w:val="none" w:sz="0" w:space="0" w:color="auto"/>
        <w:bottom w:val="none" w:sz="0" w:space="0" w:color="auto"/>
        <w:right w:val="none" w:sz="0" w:space="0" w:color="auto"/>
      </w:divBdr>
    </w:div>
    <w:div w:id="912932623">
      <w:bodyDiv w:val="1"/>
      <w:marLeft w:val="0"/>
      <w:marRight w:val="0"/>
      <w:marTop w:val="0"/>
      <w:marBottom w:val="0"/>
      <w:divBdr>
        <w:top w:val="none" w:sz="0" w:space="0" w:color="auto"/>
        <w:left w:val="none" w:sz="0" w:space="0" w:color="auto"/>
        <w:bottom w:val="none" w:sz="0" w:space="0" w:color="auto"/>
        <w:right w:val="none" w:sz="0" w:space="0" w:color="auto"/>
      </w:divBdr>
    </w:div>
    <w:div w:id="930622589">
      <w:bodyDiv w:val="1"/>
      <w:marLeft w:val="0"/>
      <w:marRight w:val="0"/>
      <w:marTop w:val="0"/>
      <w:marBottom w:val="0"/>
      <w:divBdr>
        <w:top w:val="none" w:sz="0" w:space="0" w:color="auto"/>
        <w:left w:val="none" w:sz="0" w:space="0" w:color="auto"/>
        <w:bottom w:val="none" w:sz="0" w:space="0" w:color="auto"/>
        <w:right w:val="none" w:sz="0" w:space="0" w:color="auto"/>
      </w:divBdr>
    </w:div>
    <w:div w:id="946306924">
      <w:bodyDiv w:val="1"/>
      <w:marLeft w:val="0"/>
      <w:marRight w:val="0"/>
      <w:marTop w:val="0"/>
      <w:marBottom w:val="0"/>
      <w:divBdr>
        <w:top w:val="none" w:sz="0" w:space="0" w:color="auto"/>
        <w:left w:val="none" w:sz="0" w:space="0" w:color="auto"/>
        <w:bottom w:val="none" w:sz="0" w:space="0" w:color="auto"/>
        <w:right w:val="none" w:sz="0" w:space="0" w:color="auto"/>
      </w:divBdr>
    </w:div>
    <w:div w:id="957685119">
      <w:bodyDiv w:val="1"/>
      <w:marLeft w:val="0"/>
      <w:marRight w:val="0"/>
      <w:marTop w:val="0"/>
      <w:marBottom w:val="0"/>
      <w:divBdr>
        <w:top w:val="none" w:sz="0" w:space="0" w:color="auto"/>
        <w:left w:val="none" w:sz="0" w:space="0" w:color="auto"/>
        <w:bottom w:val="none" w:sz="0" w:space="0" w:color="auto"/>
        <w:right w:val="none" w:sz="0" w:space="0" w:color="auto"/>
      </w:divBdr>
      <w:divsChild>
        <w:div w:id="1418014751">
          <w:marLeft w:val="274"/>
          <w:marRight w:val="0"/>
          <w:marTop w:val="0"/>
          <w:marBottom w:val="0"/>
          <w:divBdr>
            <w:top w:val="none" w:sz="0" w:space="0" w:color="auto"/>
            <w:left w:val="none" w:sz="0" w:space="0" w:color="auto"/>
            <w:bottom w:val="none" w:sz="0" w:space="0" w:color="auto"/>
            <w:right w:val="none" w:sz="0" w:space="0" w:color="auto"/>
          </w:divBdr>
        </w:div>
      </w:divsChild>
    </w:div>
    <w:div w:id="968820044">
      <w:bodyDiv w:val="1"/>
      <w:marLeft w:val="0"/>
      <w:marRight w:val="0"/>
      <w:marTop w:val="0"/>
      <w:marBottom w:val="0"/>
      <w:divBdr>
        <w:top w:val="none" w:sz="0" w:space="0" w:color="auto"/>
        <w:left w:val="none" w:sz="0" w:space="0" w:color="auto"/>
        <w:bottom w:val="none" w:sz="0" w:space="0" w:color="auto"/>
        <w:right w:val="none" w:sz="0" w:space="0" w:color="auto"/>
      </w:divBdr>
    </w:div>
    <w:div w:id="980231427">
      <w:bodyDiv w:val="1"/>
      <w:marLeft w:val="0"/>
      <w:marRight w:val="0"/>
      <w:marTop w:val="0"/>
      <w:marBottom w:val="0"/>
      <w:divBdr>
        <w:top w:val="none" w:sz="0" w:space="0" w:color="auto"/>
        <w:left w:val="none" w:sz="0" w:space="0" w:color="auto"/>
        <w:bottom w:val="none" w:sz="0" w:space="0" w:color="auto"/>
        <w:right w:val="none" w:sz="0" w:space="0" w:color="auto"/>
      </w:divBdr>
    </w:div>
    <w:div w:id="1018192019">
      <w:bodyDiv w:val="1"/>
      <w:marLeft w:val="0"/>
      <w:marRight w:val="0"/>
      <w:marTop w:val="0"/>
      <w:marBottom w:val="0"/>
      <w:divBdr>
        <w:top w:val="none" w:sz="0" w:space="0" w:color="auto"/>
        <w:left w:val="none" w:sz="0" w:space="0" w:color="auto"/>
        <w:bottom w:val="none" w:sz="0" w:space="0" w:color="auto"/>
        <w:right w:val="none" w:sz="0" w:space="0" w:color="auto"/>
      </w:divBdr>
    </w:div>
    <w:div w:id="1020665762">
      <w:bodyDiv w:val="1"/>
      <w:marLeft w:val="0"/>
      <w:marRight w:val="0"/>
      <w:marTop w:val="0"/>
      <w:marBottom w:val="0"/>
      <w:divBdr>
        <w:top w:val="none" w:sz="0" w:space="0" w:color="auto"/>
        <w:left w:val="none" w:sz="0" w:space="0" w:color="auto"/>
        <w:bottom w:val="none" w:sz="0" w:space="0" w:color="auto"/>
        <w:right w:val="none" w:sz="0" w:space="0" w:color="auto"/>
      </w:divBdr>
    </w:div>
    <w:div w:id="1081172099">
      <w:bodyDiv w:val="1"/>
      <w:marLeft w:val="0"/>
      <w:marRight w:val="0"/>
      <w:marTop w:val="0"/>
      <w:marBottom w:val="0"/>
      <w:divBdr>
        <w:top w:val="none" w:sz="0" w:space="0" w:color="auto"/>
        <w:left w:val="none" w:sz="0" w:space="0" w:color="auto"/>
        <w:bottom w:val="none" w:sz="0" w:space="0" w:color="auto"/>
        <w:right w:val="none" w:sz="0" w:space="0" w:color="auto"/>
      </w:divBdr>
    </w:div>
    <w:div w:id="1098478367">
      <w:bodyDiv w:val="1"/>
      <w:marLeft w:val="0"/>
      <w:marRight w:val="0"/>
      <w:marTop w:val="0"/>
      <w:marBottom w:val="0"/>
      <w:divBdr>
        <w:top w:val="none" w:sz="0" w:space="0" w:color="auto"/>
        <w:left w:val="none" w:sz="0" w:space="0" w:color="auto"/>
        <w:bottom w:val="none" w:sz="0" w:space="0" w:color="auto"/>
        <w:right w:val="none" w:sz="0" w:space="0" w:color="auto"/>
      </w:divBdr>
    </w:div>
    <w:div w:id="1100373587">
      <w:bodyDiv w:val="1"/>
      <w:marLeft w:val="0"/>
      <w:marRight w:val="0"/>
      <w:marTop w:val="0"/>
      <w:marBottom w:val="0"/>
      <w:divBdr>
        <w:top w:val="none" w:sz="0" w:space="0" w:color="auto"/>
        <w:left w:val="none" w:sz="0" w:space="0" w:color="auto"/>
        <w:bottom w:val="none" w:sz="0" w:space="0" w:color="auto"/>
        <w:right w:val="none" w:sz="0" w:space="0" w:color="auto"/>
      </w:divBdr>
    </w:div>
    <w:div w:id="1101070929">
      <w:bodyDiv w:val="1"/>
      <w:marLeft w:val="0"/>
      <w:marRight w:val="0"/>
      <w:marTop w:val="0"/>
      <w:marBottom w:val="0"/>
      <w:divBdr>
        <w:top w:val="none" w:sz="0" w:space="0" w:color="auto"/>
        <w:left w:val="none" w:sz="0" w:space="0" w:color="auto"/>
        <w:bottom w:val="none" w:sz="0" w:space="0" w:color="auto"/>
        <w:right w:val="none" w:sz="0" w:space="0" w:color="auto"/>
      </w:divBdr>
    </w:div>
    <w:div w:id="1102457573">
      <w:bodyDiv w:val="1"/>
      <w:marLeft w:val="0"/>
      <w:marRight w:val="0"/>
      <w:marTop w:val="0"/>
      <w:marBottom w:val="0"/>
      <w:divBdr>
        <w:top w:val="none" w:sz="0" w:space="0" w:color="auto"/>
        <w:left w:val="none" w:sz="0" w:space="0" w:color="auto"/>
        <w:bottom w:val="none" w:sz="0" w:space="0" w:color="auto"/>
        <w:right w:val="none" w:sz="0" w:space="0" w:color="auto"/>
      </w:divBdr>
    </w:div>
    <w:div w:id="1125540418">
      <w:bodyDiv w:val="1"/>
      <w:marLeft w:val="0"/>
      <w:marRight w:val="0"/>
      <w:marTop w:val="0"/>
      <w:marBottom w:val="0"/>
      <w:divBdr>
        <w:top w:val="none" w:sz="0" w:space="0" w:color="auto"/>
        <w:left w:val="none" w:sz="0" w:space="0" w:color="auto"/>
        <w:bottom w:val="none" w:sz="0" w:space="0" w:color="auto"/>
        <w:right w:val="none" w:sz="0" w:space="0" w:color="auto"/>
      </w:divBdr>
    </w:div>
    <w:div w:id="1165366737">
      <w:bodyDiv w:val="1"/>
      <w:marLeft w:val="0"/>
      <w:marRight w:val="0"/>
      <w:marTop w:val="0"/>
      <w:marBottom w:val="0"/>
      <w:divBdr>
        <w:top w:val="none" w:sz="0" w:space="0" w:color="auto"/>
        <w:left w:val="none" w:sz="0" w:space="0" w:color="auto"/>
        <w:bottom w:val="none" w:sz="0" w:space="0" w:color="auto"/>
        <w:right w:val="none" w:sz="0" w:space="0" w:color="auto"/>
      </w:divBdr>
    </w:div>
    <w:div w:id="1170489559">
      <w:bodyDiv w:val="1"/>
      <w:marLeft w:val="0"/>
      <w:marRight w:val="0"/>
      <w:marTop w:val="0"/>
      <w:marBottom w:val="0"/>
      <w:divBdr>
        <w:top w:val="none" w:sz="0" w:space="0" w:color="auto"/>
        <w:left w:val="none" w:sz="0" w:space="0" w:color="auto"/>
        <w:bottom w:val="none" w:sz="0" w:space="0" w:color="auto"/>
        <w:right w:val="none" w:sz="0" w:space="0" w:color="auto"/>
      </w:divBdr>
    </w:div>
    <w:div w:id="1177380686">
      <w:bodyDiv w:val="1"/>
      <w:marLeft w:val="0"/>
      <w:marRight w:val="0"/>
      <w:marTop w:val="0"/>
      <w:marBottom w:val="0"/>
      <w:divBdr>
        <w:top w:val="none" w:sz="0" w:space="0" w:color="auto"/>
        <w:left w:val="none" w:sz="0" w:space="0" w:color="auto"/>
        <w:bottom w:val="none" w:sz="0" w:space="0" w:color="auto"/>
        <w:right w:val="none" w:sz="0" w:space="0" w:color="auto"/>
      </w:divBdr>
    </w:div>
    <w:div w:id="1188906917">
      <w:bodyDiv w:val="1"/>
      <w:marLeft w:val="0"/>
      <w:marRight w:val="0"/>
      <w:marTop w:val="0"/>
      <w:marBottom w:val="0"/>
      <w:divBdr>
        <w:top w:val="none" w:sz="0" w:space="0" w:color="auto"/>
        <w:left w:val="none" w:sz="0" w:space="0" w:color="auto"/>
        <w:bottom w:val="none" w:sz="0" w:space="0" w:color="auto"/>
        <w:right w:val="none" w:sz="0" w:space="0" w:color="auto"/>
      </w:divBdr>
    </w:div>
    <w:div w:id="1203863012">
      <w:bodyDiv w:val="1"/>
      <w:marLeft w:val="0"/>
      <w:marRight w:val="0"/>
      <w:marTop w:val="0"/>
      <w:marBottom w:val="0"/>
      <w:divBdr>
        <w:top w:val="none" w:sz="0" w:space="0" w:color="auto"/>
        <w:left w:val="none" w:sz="0" w:space="0" w:color="auto"/>
        <w:bottom w:val="none" w:sz="0" w:space="0" w:color="auto"/>
        <w:right w:val="none" w:sz="0" w:space="0" w:color="auto"/>
      </w:divBdr>
    </w:div>
    <w:div w:id="1229654878">
      <w:bodyDiv w:val="1"/>
      <w:marLeft w:val="0"/>
      <w:marRight w:val="0"/>
      <w:marTop w:val="0"/>
      <w:marBottom w:val="0"/>
      <w:divBdr>
        <w:top w:val="none" w:sz="0" w:space="0" w:color="auto"/>
        <w:left w:val="none" w:sz="0" w:space="0" w:color="auto"/>
        <w:bottom w:val="none" w:sz="0" w:space="0" w:color="auto"/>
        <w:right w:val="none" w:sz="0" w:space="0" w:color="auto"/>
      </w:divBdr>
    </w:div>
    <w:div w:id="1244417062">
      <w:bodyDiv w:val="1"/>
      <w:marLeft w:val="0"/>
      <w:marRight w:val="0"/>
      <w:marTop w:val="0"/>
      <w:marBottom w:val="0"/>
      <w:divBdr>
        <w:top w:val="none" w:sz="0" w:space="0" w:color="auto"/>
        <w:left w:val="none" w:sz="0" w:space="0" w:color="auto"/>
        <w:bottom w:val="none" w:sz="0" w:space="0" w:color="auto"/>
        <w:right w:val="none" w:sz="0" w:space="0" w:color="auto"/>
      </w:divBdr>
    </w:div>
    <w:div w:id="1254632209">
      <w:bodyDiv w:val="1"/>
      <w:marLeft w:val="0"/>
      <w:marRight w:val="0"/>
      <w:marTop w:val="0"/>
      <w:marBottom w:val="0"/>
      <w:divBdr>
        <w:top w:val="none" w:sz="0" w:space="0" w:color="auto"/>
        <w:left w:val="none" w:sz="0" w:space="0" w:color="auto"/>
        <w:bottom w:val="none" w:sz="0" w:space="0" w:color="auto"/>
        <w:right w:val="none" w:sz="0" w:space="0" w:color="auto"/>
      </w:divBdr>
    </w:div>
    <w:div w:id="1279798803">
      <w:bodyDiv w:val="1"/>
      <w:marLeft w:val="0"/>
      <w:marRight w:val="0"/>
      <w:marTop w:val="0"/>
      <w:marBottom w:val="0"/>
      <w:divBdr>
        <w:top w:val="none" w:sz="0" w:space="0" w:color="auto"/>
        <w:left w:val="none" w:sz="0" w:space="0" w:color="auto"/>
        <w:bottom w:val="none" w:sz="0" w:space="0" w:color="auto"/>
        <w:right w:val="none" w:sz="0" w:space="0" w:color="auto"/>
      </w:divBdr>
    </w:div>
    <w:div w:id="1284309252">
      <w:bodyDiv w:val="1"/>
      <w:marLeft w:val="0"/>
      <w:marRight w:val="0"/>
      <w:marTop w:val="0"/>
      <w:marBottom w:val="0"/>
      <w:divBdr>
        <w:top w:val="none" w:sz="0" w:space="0" w:color="auto"/>
        <w:left w:val="none" w:sz="0" w:space="0" w:color="auto"/>
        <w:bottom w:val="none" w:sz="0" w:space="0" w:color="auto"/>
        <w:right w:val="none" w:sz="0" w:space="0" w:color="auto"/>
      </w:divBdr>
    </w:div>
    <w:div w:id="1294561258">
      <w:bodyDiv w:val="1"/>
      <w:marLeft w:val="0"/>
      <w:marRight w:val="0"/>
      <w:marTop w:val="0"/>
      <w:marBottom w:val="0"/>
      <w:divBdr>
        <w:top w:val="none" w:sz="0" w:space="0" w:color="auto"/>
        <w:left w:val="none" w:sz="0" w:space="0" w:color="auto"/>
        <w:bottom w:val="none" w:sz="0" w:space="0" w:color="auto"/>
        <w:right w:val="none" w:sz="0" w:space="0" w:color="auto"/>
      </w:divBdr>
    </w:div>
    <w:div w:id="1309941692">
      <w:bodyDiv w:val="1"/>
      <w:marLeft w:val="0"/>
      <w:marRight w:val="0"/>
      <w:marTop w:val="0"/>
      <w:marBottom w:val="0"/>
      <w:divBdr>
        <w:top w:val="none" w:sz="0" w:space="0" w:color="auto"/>
        <w:left w:val="none" w:sz="0" w:space="0" w:color="auto"/>
        <w:bottom w:val="none" w:sz="0" w:space="0" w:color="auto"/>
        <w:right w:val="none" w:sz="0" w:space="0" w:color="auto"/>
      </w:divBdr>
    </w:div>
    <w:div w:id="1314675931">
      <w:bodyDiv w:val="1"/>
      <w:marLeft w:val="0"/>
      <w:marRight w:val="0"/>
      <w:marTop w:val="0"/>
      <w:marBottom w:val="0"/>
      <w:divBdr>
        <w:top w:val="none" w:sz="0" w:space="0" w:color="auto"/>
        <w:left w:val="none" w:sz="0" w:space="0" w:color="auto"/>
        <w:bottom w:val="none" w:sz="0" w:space="0" w:color="auto"/>
        <w:right w:val="none" w:sz="0" w:space="0" w:color="auto"/>
      </w:divBdr>
    </w:div>
    <w:div w:id="1317610261">
      <w:bodyDiv w:val="1"/>
      <w:marLeft w:val="0"/>
      <w:marRight w:val="0"/>
      <w:marTop w:val="0"/>
      <w:marBottom w:val="0"/>
      <w:divBdr>
        <w:top w:val="none" w:sz="0" w:space="0" w:color="auto"/>
        <w:left w:val="none" w:sz="0" w:space="0" w:color="auto"/>
        <w:bottom w:val="none" w:sz="0" w:space="0" w:color="auto"/>
        <w:right w:val="none" w:sz="0" w:space="0" w:color="auto"/>
      </w:divBdr>
    </w:div>
    <w:div w:id="1360201482">
      <w:bodyDiv w:val="1"/>
      <w:marLeft w:val="0"/>
      <w:marRight w:val="0"/>
      <w:marTop w:val="0"/>
      <w:marBottom w:val="0"/>
      <w:divBdr>
        <w:top w:val="none" w:sz="0" w:space="0" w:color="auto"/>
        <w:left w:val="none" w:sz="0" w:space="0" w:color="auto"/>
        <w:bottom w:val="none" w:sz="0" w:space="0" w:color="auto"/>
        <w:right w:val="none" w:sz="0" w:space="0" w:color="auto"/>
      </w:divBdr>
    </w:div>
    <w:div w:id="1365212442">
      <w:bodyDiv w:val="1"/>
      <w:marLeft w:val="0"/>
      <w:marRight w:val="0"/>
      <w:marTop w:val="0"/>
      <w:marBottom w:val="0"/>
      <w:divBdr>
        <w:top w:val="none" w:sz="0" w:space="0" w:color="auto"/>
        <w:left w:val="none" w:sz="0" w:space="0" w:color="auto"/>
        <w:bottom w:val="none" w:sz="0" w:space="0" w:color="auto"/>
        <w:right w:val="none" w:sz="0" w:space="0" w:color="auto"/>
      </w:divBdr>
    </w:div>
    <w:div w:id="1370032875">
      <w:bodyDiv w:val="1"/>
      <w:marLeft w:val="0"/>
      <w:marRight w:val="0"/>
      <w:marTop w:val="0"/>
      <w:marBottom w:val="0"/>
      <w:divBdr>
        <w:top w:val="none" w:sz="0" w:space="0" w:color="auto"/>
        <w:left w:val="none" w:sz="0" w:space="0" w:color="auto"/>
        <w:bottom w:val="none" w:sz="0" w:space="0" w:color="auto"/>
        <w:right w:val="none" w:sz="0" w:space="0" w:color="auto"/>
      </w:divBdr>
    </w:div>
    <w:div w:id="1381586854">
      <w:bodyDiv w:val="1"/>
      <w:marLeft w:val="0"/>
      <w:marRight w:val="0"/>
      <w:marTop w:val="0"/>
      <w:marBottom w:val="0"/>
      <w:divBdr>
        <w:top w:val="none" w:sz="0" w:space="0" w:color="auto"/>
        <w:left w:val="none" w:sz="0" w:space="0" w:color="auto"/>
        <w:bottom w:val="none" w:sz="0" w:space="0" w:color="auto"/>
        <w:right w:val="none" w:sz="0" w:space="0" w:color="auto"/>
      </w:divBdr>
    </w:div>
    <w:div w:id="1393649620">
      <w:bodyDiv w:val="1"/>
      <w:marLeft w:val="0"/>
      <w:marRight w:val="0"/>
      <w:marTop w:val="0"/>
      <w:marBottom w:val="0"/>
      <w:divBdr>
        <w:top w:val="none" w:sz="0" w:space="0" w:color="auto"/>
        <w:left w:val="none" w:sz="0" w:space="0" w:color="auto"/>
        <w:bottom w:val="none" w:sz="0" w:space="0" w:color="auto"/>
        <w:right w:val="none" w:sz="0" w:space="0" w:color="auto"/>
      </w:divBdr>
    </w:div>
    <w:div w:id="1402752330">
      <w:bodyDiv w:val="1"/>
      <w:marLeft w:val="0"/>
      <w:marRight w:val="0"/>
      <w:marTop w:val="0"/>
      <w:marBottom w:val="0"/>
      <w:divBdr>
        <w:top w:val="none" w:sz="0" w:space="0" w:color="auto"/>
        <w:left w:val="none" w:sz="0" w:space="0" w:color="auto"/>
        <w:bottom w:val="none" w:sz="0" w:space="0" w:color="auto"/>
        <w:right w:val="none" w:sz="0" w:space="0" w:color="auto"/>
      </w:divBdr>
    </w:div>
    <w:div w:id="1404596256">
      <w:bodyDiv w:val="1"/>
      <w:marLeft w:val="0"/>
      <w:marRight w:val="0"/>
      <w:marTop w:val="0"/>
      <w:marBottom w:val="0"/>
      <w:divBdr>
        <w:top w:val="none" w:sz="0" w:space="0" w:color="auto"/>
        <w:left w:val="none" w:sz="0" w:space="0" w:color="auto"/>
        <w:bottom w:val="none" w:sz="0" w:space="0" w:color="auto"/>
        <w:right w:val="none" w:sz="0" w:space="0" w:color="auto"/>
      </w:divBdr>
    </w:div>
    <w:div w:id="1406681694">
      <w:bodyDiv w:val="1"/>
      <w:marLeft w:val="0"/>
      <w:marRight w:val="0"/>
      <w:marTop w:val="0"/>
      <w:marBottom w:val="0"/>
      <w:divBdr>
        <w:top w:val="none" w:sz="0" w:space="0" w:color="auto"/>
        <w:left w:val="none" w:sz="0" w:space="0" w:color="auto"/>
        <w:bottom w:val="none" w:sz="0" w:space="0" w:color="auto"/>
        <w:right w:val="none" w:sz="0" w:space="0" w:color="auto"/>
      </w:divBdr>
    </w:div>
    <w:div w:id="1419671588">
      <w:bodyDiv w:val="1"/>
      <w:marLeft w:val="0"/>
      <w:marRight w:val="0"/>
      <w:marTop w:val="0"/>
      <w:marBottom w:val="0"/>
      <w:divBdr>
        <w:top w:val="none" w:sz="0" w:space="0" w:color="auto"/>
        <w:left w:val="none" w:sz="0" w:space="0" w:color="auto"/>
        <w:bottom w:val="none" w:sz="0" w:space="0" w:color="auto"/>
        <w:right w:val="none" w:sz="0" w:space="0" w:color="auto"/>
      </w:divBdr>
    </w:div>
    <w:div w:id="1425342930">
      <w:bodyDiv w:val="1"/>
      <w:marLeft w:val="0"/>
      <w:marRight w:val="0"/>
      <w:marTop w:val="0"/>
      <w:marBottom w:val="0"/>
      <w:divBdr>
        <w:top w:val="none" w:sz="0" w:space="0" w:color="auto"/>
        <w:left w:val="none" w:sz="0" w:space="0" w:color="auto"/>
        <w:bottom w:val="none" w:sz="0" w:space="0" w:color="auto"/>
        <w:right w:val="none" w:sz="0" w:space="0" w:color="auto"/>
      </w:divBdr>
    </w:div>
    <w:div w:id="1436634705">
      <w:bodyDiv w:val="1"/>
      <w:marLeft w:val="0"/>
      <w:marRight w:val="0"/>
      <w:marTop w:val="0"/>
      <w:marBottom w:val="0"/>
      <w:divBdr>
        <w:top w:val="none" w:sz="0" w:space="0" w:color="auto"/>
        <w:left w:val="none" w:sz="0" w:space="0" w:color="auto"/>
        <w:bottom w:val="none" w:sz="0" w:space="0" w:color="auto"/>
        <w:right w:val="none" w:sz="0" w:space="0" w:color="auto"/>
      </w:divBdr>
    </w:div>
    <w:div w:id="1444153406">
      <w:bodyDiv w:val="1"/>
      <w:marLeft w:val="0"/>
      <w:marRight w:val="0"/>
      <w:marTop w:val="0"/>
      <w:marBottom w:val="0"/>
      <w:divBdr>
        <w:top w:val="none" w:sz="0" w:space="0" w:color="auto"/>
        <w:left w:val="none" w:sz="0" w:space="0" w:color="auto"/>
        <w:bottom w:val="none" w:sz="0" w:space="0" w:color="auto"/>
        <w:right w:val="none" w:sz="0" w:space="0" w:color="auto"/>
      </w:divBdr>
    </w:div>
    <w:div w:id="1481770193">
      <w:bodyDiv w:val="1"/>
      <w:marLeft w:val="0"/>
      <w:marRight w:val="0"/>
      <w:marTop w:val="0"/>
      <w:marBottom w:val="0"/>
      <w:divBdr>
        <w:top w:val="none" w:sz="0" w:space="0" w:color="auto"/>
        <w:left w:val="none" w:sz="0" w:space="0" w:color="auto"/>
        <w:bottom w:val="none" w:sz="0" w:space="0" w:color="auto"/>
        <w:right w:val="none" w:sz="0" w:space="0" w:color="auto"/>
      </w:divBdr>
    </w:div>
    <w:div w:id="1492453512">
      <w:bodyDiv w:val="1"/>
      <w:marLeft w:val="0"/>
      <w:marRight w:val="0"/>
      <w:marTop w:val="0"/>
      <w:marBottom w:val="0"/>
      <w:divBdr>
        <w:top w:val="none" w:sz="0" w:space="0" w:color="auto"/>
        <w:left w:val="none" w:sz="0" w:space="0" w:color="auto"/>
        <w:bottom w:val="none" w:sz="0" w:space="0" w:color="auto"/>
        <w:right w:val="none" w:sz="0" w:space="0" w:color="auto"/>
      </w:divBdr>
    </w:div>
    <w:div w:id="1495760279">
      <w:bodyDiv w:val="1"/>
      <w:marLeft w:val="0"/>
      <w:marRight w:val="0"/>
      <w:marTop w:val="0"/>
      <w:marBottom w:val="0"/>
      <w:divBdr>
        <w:top w:val="none" w:sz="0" w:space="0" w:color="auto"/>
        <w:left w:val="none" w:sz="0" w:space="0" w:color="auto"/>
        <w:bottom w:val="none" w:sz="0" w:space="0" w:color="auto"/>
        <w:right w:val="none" w:sz="0" w:space="0" w:color="auto"/>
      </w:divBdr>
    </w:div>
    <w:div w:id="1530407791">
      <w:bodyDiv w:val="1"/>
      <w:marLeft w:val="0"/>
      <w:marRight w:val="0"/>
      <w:marTop w:val="0"/>
      <w:marBottom w:val="0"/>
      <w:divBdr>
        <w:top w:val="none" w:sz="0" w:space="0" w:color="auto"/>
        <w:left w:val="none" w:sz="0" w:space="0" w:color="auto"/>
        <w:bottom w:val="none" w:sz="0" w:space="0" w:color="auto"/>
        <w:right w:val="none" w:sz="0" w:space="0" w:color="auto"/>
      </w:divBdr>
    </w:div>
    <w:div w:id="1559780393">
      <w:bodyDiv w:val="1"/>
      <w:marLeft w:val="0"/>
      <w:marRight w:val="0"/>
      <w:marTop w:val="0"/>
      <w:marBottom w:val="0"/>
      <w:divBdr>
        <w:top w:val="none" w:sz="0" w:space="0" w:color="auto"/>
        <w:left w:val="none" w:sz="0" w:space="0" w:color="auto"/>
        <w:bottom w:val="none" w:sz="0" w:space="0" w:color="auto"/>
        <w:right w:val="none" w:sz="0" w:space="0" w:color="auto"/>
      </w:divBdr>
    </w:div>
    <w:div w:id="1567063699">
      <w:bodyDiv w:val="1"/>
      <w:marLeft w:val="0"/>
      <w:marRight w:val="0"/>
      <w:marTop w:val="0"/>
      <w:marBottom w:val="0"/>
      <w:divBdr>
        <w:top w:val="none" w:sz="0" w:space="0" w:color="auto"/>
        <w:left w:val="none" w:sz="0" w:space="0" w:color="auto"/>
        <w:bottom w:val="none" w:sz="0" w:space="0" w:color="auto"/>
        <w:right w:val="none" w:sz="0" w:space="0" w:color="auto"/>
      </w:divBdr>
    </w:div>
    <w:div w:id="1575117953">
      <w:bodyDiv w:val="1"/>
      <w:marLeft w:val="0"/>
      <w:marRight w:val="0"/>
      <w:marTop w:val="0"/>
      <w:marBottom w:val="0"/>
      <w:divBdr>
        <w:top w:val="none" w:sz="0" w:space="0" w:color="auto"/>
        <w:left w:val="none" w:sz="0" w:space="0" w:color="auto"/>
        <w:bottom w:val="none" w:sz="0" w:space="0" w:color="auto"/>
        <w:right w:val="none" w:sz="0" w:space="0" w:color="auto"/>
      </w:divBdr>
    </w:div>
    <w:div w:id="1606500332">
      <w:bodyDiv w:val="1"/>
      <w:marLeft w:val="0"/>
      <w:marRight w:val="0"/>
      <w:marTop w:val="0"/>
      <w:marBottom w:val="0"/>
      <w:divBdr>
        <w:top w:val="none" w:sz="0" w:space="0" w:color="auto"/>
        <w:left w:val="none" w:sz="0" w:space="0" w:color="auto"/>
        <w:bottom w:val="none" w:sz="0" w:space="0" w:color="auto"/>
        <w:right w:val="none" w:sz="0" w:space="0" w:color="auto"/>
      </w:divBdr>
    </w:div>
    <w:div w:id="1616407594">
      <w:bodyDiv w:val="1"/>
      <w:marLeft w:val="0"/>
      <w:marRight w:val="0"/>
      <w:marTop w:val="0"/>
      <w:marBottom w:val="0"/>
      <w:divBdr>
        <w:top w:val="none" w:sz="0" w:space="0" w:color="auto"/>
        <w:left w:val="none" w:sz="0" w:space="0" w:color="auto"/>
        <w:bottom w:val="none" w:sz="0" w:space="0" w:color="auto"/>
        <w:right w:val="none" w:sz="0" w:space="0" w:color="auto"/>
      </w:divBdr>
    </w:div>
    <w:div w:id="1624070331">
      <w:bodyDiv w:val="1"/>
      <w:marLeft w:val="0"/>
      <w:marRight w:val="0"/>
      <w:marTop w:val="0"/>
      <w:marBottom w:val="0"/>
      <w:divBdr>
        <w:top w:val="none" w:sz="0" w:space="0" w:color="auto"/>
        <w:left w:val="none" w:sz="0" w:space="0" w:color="auto"/>
        <w:bottom w:val="none" w:sz="0" w:space="0" w:color="auto"/>
        <w:right w:val="none" w:sz="0" w:space="0" w:color="auto"/>
      </w:divBdr>
    </w:div>
    <w:div w:id="1624312488">
      <w:bodyDiv w:val="1"/>
      <w:marLeft w:val="0"/>
      <w:marRight w:val="0"/>
      <w:marTop w:val="0"/>
      <w:marBottom w:val="0"/>
      <w:divBdr>
        <w:top w:val="none" w:sz="0" w:space="0" w:color="auto"/>
        <w:left w:val="none" w:sz="0" w:space="0" w:color="auto"/>
        <w:bottom w:val="none" w:sz="0" w:space="0" w:color="auto"/>
        <w:right w:val="none" w:sz="0" w:space="0" w:color="auto"/>
      </w:divBdr>
    </w:div>
    <w:div w:id="1641956591">
      <w:bodyDiv w:val="1"/>
      <w:marLeft w:val="0"/>
      <w:marRight w:val="0"/>
      <w:marTop w:val="0"/>
      <w:marBottom w:val="0"/>
      <w:divBdr>
        <w:top w:val="none" w:sz="0" w:space="0" w:color="auto"/>
        <w:left w:val="none" w:sz="0" w:space="0" w:color="auto"/>
        <w:bottom w:val="none" w:sz="0" w:space="0" w:color="auto"/>
        <w:right w:val="none" w:sz="0" w:space="0" w:color="auto"/>
      </w:divBdr>
    </w:div>
    <w:div w:id="1672491552">
      <w:bodyDiv w:val="1"/>
      <w:marLeft w:val="0"/>
      <w:marRight w:val="0"/>
      <w:marTop w:val="0"/>
      <w:marBottom w:val="0"/>
      <w:divBdr>
        <w:top w:val="none" w:sz="0" w:space="0" w:color="auto"/>
        <w:left w:val="none" w:sz="0" w:space="0" w:color="auto"/>
        <w:bottom w:val="none" w:sz="0" w:space="0" w:color="auto"/>
        <w:right w:val="none" w:sz="0" w:space="0" w:color="auto"/>
      </w:divBdr>
    </w:div>
    <w:div w:id="1692947221">
      <w:bodyDiv w:val="1"/>
      <w:marLeft w:val="0"/>
      <w:marRight w:val="0"/>
      <w:marTop w:val="0"/>
      <w:marBottom w:val="0"/>
      <w:divBdr>
        <w:top w:val="none" w:sz="0" w:space="0" w:color="auto"/>
        <w:left w:val="none" w:sz="0" w:space="0" w:color="auto"/>
        <w:bottom w:val="none" w:sz="0" w:space="0" w:color="auto"/>
        <w:right w:val="none" w:sz="0" w:space="0" w:color="auto"/>
      </w:divBdr>
    </w:div>
    <w:div w:id="1696735097">
      <w:bodyDiv w:val="1"/>
      <w:marLeft w:val="0"/>
      <w:marRight w:val="0"/>
      <w:marTop w:val="0"/>
      <w:marBottom w:val="0"/>
      <w:divBdr>
        <w:top w:val="none" w:sz="0" w:space="0" w:color="auto"/>
        <w:left w:val="none" w:sz="0" w:space="0" w:color="auto"/>
        <w:bottom w:val="none" w:sz="0" w:space="0" w:color="auto"/>
        <w:right w:val="none" w:sz="0" w:space="0" w:color="auto"/>
      </w:divBdr>
      <w:divsChild>
        <w:div w:id="1214543596">
          <w:marLeft w:val="274"/>
          <w:marRight w:val="0"/>
          <w:marTop w:val="0"/>
          <w:marBottom w:val="0"/>
          <w:divBdr>
            <w:top w:val="none" w:sz="0" w:space="0" w:color="auto"/>
            <w:left w:val="none" w:sz="0" w:space="0" w:color="auto"/>
            <w:bottom w:val="none" w:sz="0" w:space="0" w:color="auto"/>
            <w:right w:val="none" w:sz="0" w:space="0" w:color="auto"/>
          </w:divBdr>
        </w:div>
      </w:divsChild>
    </w:div>
    <w:div w:id="1706977998">
      <w:bodyDiv w:val="1"/>
      <w:marLeft w:val="0"/>
      <w:marRight w:val="0"/>
      <w:marTop w:val="0"/>
      <w:marBottom w:val="0"/>
      <w:divBdr>
        <w:top w:val="none" w:sz="0" w:space="0" w:color="auto"/>
        <w:left w:val="none" w:sz="0" w:space="0" w:color="auto"/>
        <w:bottom w:val="none" w:sz="0" w:space="0" w:color="auto"/>
        <w:right w:val="none" w:sz="0" w:space="0" w:color="auto"/>
      </w:divBdr>
    </w:div>
    <w:div w:id="1715077698">
      <w:bodyDiv w:val="1"/>
      <w:marLeft w:val="0"/>
      <w:marRight w:val="0"/>
      <w:marTop w:val="0"/>
      <w:marBottom w:val="0"/>
      <w:divBdr>
        <w:top w:val="none" w:sz="0" w:space="0" w:color="auto"/>
        <w:left w:val="none" w:sz="0" w:space="0" w:color="auto"/>
        <w:bottom w:val="none" w:sz="0" w:space="0" w:color="auto"/>
        <w:right w:val="none" w:sz="0" w:space="0" w:color="auto"/>
      </w:divBdr>
    </w:div>
    <w:div w:id="1720084852">
      <w:bodyDiv w:val="1"/>
      <w:marLeft w:val="0"/>
      <w:marRight w:val="0"/>
      <w:marTop w:val="0"/>
      <w:marBottom w:val="0"/>
      <w:divBdr>
        <w:top w:val="none" w:sz="0" w:space="0" w:color="auto"/>
        <w:left w:val="none" w:sz="0" w:space="0" w:color="auto"/>
        <w:bottom w:val="none" w:sz="0" w:space="0" w:color="auto"/>
        <w:right w:val="none" w:sz="0" w:space="0" w:color="auto"/>
      </w:divBdr>
    </w:div>
    <w:div w:id="1720277391">
      <w:bodyDiv w:val="1"/>
      <w:marLeft w:val="0"/>
      <w:marRight w:val="0"/>
      <w:marTop w:val="0"/>
      <w:marBottom w:val="0"/>
      <w:divBdr>
        <w:top w:val="none" w:sz="0" w:space="0" w:color="auto"/>
        <w:left w:val="none" w:sz="0" w:space="0" w:color="auto"/>
        <w:bottom w:val="none" w:sz="0" w:space="0" w:color="auto"/>
        <w:right w:val="none" w:sz="0" w:space="0" w:color="auto"/>
      </w:divBdr>
    </w:div>
    <w:div w:id="1720788076">
      <w:bodyDiv w:val="1"/>
      <w:marLeft w:val="0"/>
      <w:marRight w:val="0"/>
      <w:marTop w:val="0"/>
      <w:marBottom w:val="0"/>
      <w:divBdr>
        <w:top w:val="none" w:sz="0" w:space="0" w:color="auto"/>
        <w:left w:val="none" w:sz="0" w:space="0" w:color="auto"/>
        <w:bottom w:val="none" w:sz="0" w:space="0" w:color="auto"/>
        <w:right w:val="none" w:sz="0" w:space="0" w:color="auto"/>
      </w:divBdr>
    </w:div>
    <w:div w:id="1721438970">
      <w:bodyDiv w:val="1"/>
      <w:marLeft w:val="0"/>
      <w:marRight w:val="0"/>
      <w:marTop w:val="0"/>
      <w:marBottom w:val="0"/>
      <w:divBdr>
        <w:top w:val="none" w:sz="0" w:space="0" w:color="auto"/>
        <w:left w:val="none" w:sz="0" w:space="0" w:color="auto"/>
        <w:bottom w:val="none" w:sz="0" w:space="0" w:color="auto"/>
        <w:right w:val="none" w:sz="0" w:space="0" w:color="auto"/>
      </w:divBdr>
    </w:div>
    <w:div w:id="1729842191">
      <w:bodyDiv w:val="1"/>
      <w:marLeft w:val="0"/>
      <w:marRight w:val="0"/>
      <w:marTop w:val="0"/>
      <w:marBottom w:val="0"/>
      <w:divBdr>
        <w:top w:val="none" w:sz="0" w:space="0" w:color="auto"/>
        <w:left w:val="none" w:sz="0" w:space="0" w:color="auto"/>
        <w:bottom w:val="none" w:sz="0" w:space="0" w:color="auto"/>
        <w:right w:val="none" w:sz="0" w:space="0" w:color="auto"/>
      </w:divBdr>
    </w:div>
    <w:div w:id="1736925364">
      <w:bodyDiv w:val="1"/>
      <w:marLeft w:val="0"/>
      <w:marRight w:val="0"/>
      <w:marTop w:val="0"/>
      <w:marBottom w:val="0"/>
      <w:divBdr>
        <w:top w:val="none" w:sz="0" w:space="0" w:color="auto"/>
        <w:left w:val="none" w:sz="0" w:space="0" w:color="auto"/>
        <w:bottom w:val="none" w:sz="0" w:space="0" w:color="auto"/>
        <w:right w:val="none" w:sz="0" w:space="0" w:color="auto"/>
      </w:divBdr>
    </w:div>
    <w:div w:id="1759403767">
      <w:bodyDiv w:val="1"/>
      <w:marLeft w:val="0"/>
      <w:marRight w:val="0"/>
      <w:marTop w:val="0"/>
      <w:marBottom w:val="0"/>
      <w:divBdr>
        <w:top w:val="none" w:sz="0" w:space="0" w:color="auto"/>
        <w:left w:val="none" w:sz="0" w:space="0" w:color="auto"/>
        <w:bottom w:val="none" w:sz="0" w:space="0" w:color="auto"/>
        <w:right w:val="none" w:sz="0" w:space="0" w:color="auto"/>
      </w:divBdr>
    </w:div>
    <w:div w:id="1762526254">
      <w:bodyDiv w:val="1"/>
      <w:marLeft w:val="0"/>
      <w:marRight w:val="0"/>
      <w:marTop w:val="0"/>
      <w:marBottom w:val="0"/>
      <w:divBdr>
        <w:top w:val="none" w:sz="0" w:space="0" w:color="auto"/>
        <w:left w:val="none" w:sz="0" w:space="0" w:color="auto"/>
        <w:bottom w:val="none" w:sz="0" w:space="0" w:color="auto"/>
        <w:right w:val="none" w:sz="0" w:space="0" w:color="auto"/>
      </w:divBdr>
    </w:div>
    <w:div w:id="1768649403">
      <w:bodyDiv w:val="1"/>
      <w:marLeft w:val="0"/>
      <w:marRight w:val="0"/>
      <w:marTop w:val="0"/>
      <w:marBottom w:val="0"/>
      <w:divBdr>
        <w:top w:val="none" w:sz="0" w:space="0" w:color="auto"/>
        <w:left w:val="none" w:sz="0" w:space="0" w:color="auto"/>
        <w:bottom w:val="none" w:sz="0" w:space="0" w:color="auto"/>
        <w:right w:val="none" w:sz="0" w:space="0" w:color="auto"/>
      </w:divBdr>
    </w:div>
    <w:div w:id="1781413528">
      <w:bodyDiv w:val="1"/>
      <w:marLeft w:val="0"/>
      <w:marRight w:val="0"/>
      <w:marTop w:val="0"/>
      <w:marBottom w:val="0"/>
      <w:divBdr>
        <w:top w:val="none" w:sz="0" w:space="0" w:color="auto"/>
        <w:left w:val="none" w:sz="0" w:space="0" w:color="auto"/>
        <w:bottom w:val="none" w:sz="0" w:space="0" w:color="auto"/>
        <w:right w:val="none" w:sz="0" w:space="0" w:color="auto"/>
      </w:divBdr>
    </w:div>
    <w:div w:id="1795362163">
      <w:bodyDiv w:val="1"/>
      <w:marLeft w:val="0"/>
      <w:marRight w:val="0"/>
      <w:marTop w:val="0"/>
      <w:marBottom w:val="0"/>
      <w:divBdr>
        <w:top w:val="none" w:sz="0" w:space="0" w:color="auto"/>
        <w:left w:val="none" w:sz="0" w:space="0" w:color="auto"/>
        <w:bottom w:val="none" w:sz="0" w:space="0" w:color="auto"/>
        <w:right w:val="none" w:sz="0" w:space="0" w:color="auto"/>
      </w:divBdr>
    </w:div>
    <w:div w:id="1795903723">
      <w:bodyDiv w:val="1"/>
      <w:marLeft w:val="0"/>
      <w:marRight w:val="0"/>
      <w:marTop w:val="0"/>
      <w:marBottom w:val="0"/>
      <w:divBdr>
        <w:top w:val="none" w:sz="0" w:space="0" w:color="auto"/>
        <w:left w:val="none" w:sz="0" w:space="0" w:color="auto"/>
        <w:bottom w:val="none" w:sz="0" w:space="0" w:color="auto"/>
        <w:right w:val="none" w:sz="0" w:space="0" w:color="auto"/>
      </w:divBdr>
    </w:div>
    <w:div w:id="1804930382">
      <w:bodyDiv w:val="1"/>
      <w:marLeft w:val="0"/>
      <w:marRight w:val="0"/>
      <w:marTop w:val="0"/>
      <w:marBottom w:val="0"/>
      <w:divBdr>
        <w:top w:val="none" w:sz="0" w:space="0" w:color="auto"/>
        <w:left w:val="none" w:sz="0" w:space="0" w:color="auto"/>
        <w:bottom w:val="none" w:sz="0" w:space="0" w:color="auto"/>
        <w:right w:val="none" w:sz="0" w:space="0" w:color="auto"/>
      </w:divBdr>
    </w:div>
    <w:div w:id="1806658654">
      <w:bodyDiv w:val="1"/>
      <w:marLeft w:val="0"/>
      <w:marRight w:val="0"/>
      <w:marTop w:val="0"/>
      <w:marBottom w:val="0"/>
      <w:divBdr>
        <w:top w:val="none" w:sz="0" w:space="0" w:color="auto"/>
        <w:left w:val="none" w:sz="0" w:space="0" w:color="auto"/>
        <w:bottom w:val="none" w:sz="0" w:space="0" w:color="auto"/>
        <w:right w:val="none" w:sz="0" w:space="0" w:color="auto"/>
      </w:divBdr>
    </w:div>
    <w:div w:id="1809123448">
      <w:bodyDiv w:val="1"/>
      <w:marLeft w:val="0"/>
      <w:marRight w:val="0"/>
      <w:marTop w:val="0"/>
      <w:marBottom w:val="0"/>
      <w:divBdr>
        <w:top w:val="none" w:sz="0" w:space="0" w:color="auto"/>
        <w:left w:val="none" w:sz="0" w:space="0" w:color="auto"/>
        <w:bottom w:val="none" w:sz="0" w:space="0" w:color="auto"/>
        <w:right w:val="none" w:sz="0" w:space="0" w:color="auto"/>
      </w:divBdr>
    </w:div>
    <w:div w:id="1810784596">
      <w:bodyDiv w:val="1"/>
      <w:marLeft w:val="0"/>
      <w:marRight w:val="0"/>
      <w:marTop w:val="0"/>
      <w:marBottom w:val="0"/>
      <w:divBdr>
        <w:top w:val="none" w:sz="0" w:space="0" w:color="auto"/>
        <w:left w:val="none" w:sz="0" w:space="0" w:color="auto"/>
        <w:bottom w:val="none" w:sz="0" w:space="0" w:color="auto"/>
        <w:right w:val="none" w:sz="0" w:space="0" w:color="auto"/>
      </w:divBdr>
    </w:div>
    <w:div w:id="1816607965">
      <w:bodyDiv w:val="1"/>
      <w:marLeft w:val="0"/>
      <w:marRight w:val="0"/>
      <w:marTop w:val="0"/>
      <w:marBottom w:val="0"/>
      <w:divBdr>
        <w:top w:val="none" w:sz="0" w:space="0" w:color="auto"/>
        <w:left w:val="none" w:sz="0" w:space="0" w:color="auto"/>
        <w:bottom w:val="none" w:sz="0" w:space="0" w:color="auto"/>
        <w:right w:val="none" w:sz="0" w:space="0" w:color="auto"/>
      </w:divBdr>
    </w:div>
    <w:div w:id="1864703194">
      <w:bodyDiv w:val="1"/>
      <w:marLeft w:val="0"/>
      <w:marRight w:val="0"/>
      <w:marTop w:val="0"/>
      <w:marBottom w:val="0"/>
      <w:divBdr>
        <w:top w:val="none" w:sz="0" w:space="0" w:color="auto"/>
        <w:left w:val="none" w:sz="0" w:space="0" w:color="auto"/>
        <w:bottom w:val="none" w:sz="0" w:space="0" w:color="auto"/>
        <w:right w:val="none" w:sz="0" w:space="0" w:color="auto"/>
      </w:divBdr>
    </w:div>
    <w:div w:id="1898933526">
      <w:bodyDiv w:val="1"/>
      <w:marLeft w:val="0"/>
      <w:marRight w:val="0"/>
      <w:marTop w:val="0"/>
      <w:marBottom w:val="0"/>
      <w:divBdr>
        <w:top w:val="none" w:sz="0" w:space="0" w:color="auto"/>
        <w:left w:val="none" w:sz="0" w:space="0" w:color="auto"/>
        <w:bottom w:val="none" w:sz="0" w:space="0" w:color="auto"/>
        <w:right w:val="none" w:sz="0" w:space="0" w:color="auto"/>
      </w:divBdr>
    </w:div>
    <w:div w:id="1935935177">
      <w:bodyDiv w:val="1"/>
      <w:marLeft w:val="0"/>
      <w:marRight w:val="0"/>
      <w:marTop w:val="0"/>
      <w:marBottom w:val="0"/>
      <w:divBdr>
        <w:top w:val="none" w:sz="0" w:space="0" w:color="auto"/>
        <w:left w:val="none" w:sz="0" w:space="0" w:color="auto"/>
        <w:bottom w:val="none" w:sz="0" w:space="0" w:color="auto"/>
        <w:right w:val="none" w:sz="0" w:space="0" w:color="auto"/>
      </w:divBdr>
    </w:div>
    <w:div w:id="194649551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1974603585">
      <w:bodyDiv w:val="1"/>
      <w:marLeft w:val="0"/>
      <w:marRight w:val="0"/>
      <w:marTop w:val="0"/>
      <w:marBottom w:val="0"/>
      <w:divBdr>
        <w:top w:val="none" w:sz="0" w:space="0" w:color="auto"/>
        <w:left w:val="none" w:sz="0" w:space="0" w:color="auto"/>
        <w:bottom w:val="none" w:sz="0" w:space="0" w:color="auto"/>
        <w:right w:val="none" w:sz="0" w:space="0" w:color="auto"/>
      </w:divBdr>
    </w:div>
    <w:div w:id="1991210415">
      <w:bodyDiv w:val="1"/>
      <w:marLeft w:val="0"/>
      <w:marRight w:val="0"/>
      <w:marTop w:val="0"/>
      <w:marBottom w:val="0"/>
      <w:divBdr>
        <w:top w:val="none" w:sz="0" w:space="0" w:color="auto"/>
        <w:left w:val="none" w:sz="0" w:space="0" w:color="auto"/>
        <w:bottom w:val="none" w:sz="0" w:space="0" w:color="auto"/>
        <w:right w:val="none" w:sz="0" w:space="0" w:color="auto"/>
      </w:divBdr>
    </w:div>
    <w:div w:id="1997343278">
      <w:bodyDiv w:val="1"/>
      <w:marLeft w:val="0"/>
      <w:marRight w:val="0"/>
      <w:marTop w:val="0"/>
      <w:marBottom w:val="0"/>
      <w:divBdr>
        <w:top w:val="none" w:sz="0" w:space="0" w:color="auto"/>
        <w:left w:val="none" w:sz="0" w:space="0" w:color="auto"/>
        <w:bottom w:val="none" w:sz="0" w:space="0" w:color="auto"/>
        <w:right w:val="none" w:sz="0" w:space="0" w:color="auto"/>
      </w:divBdr>
    </w:div>
    <w:div w:id="2000424353">
      <w:bodyDiv w:val="1"/>
      <w:marLeft w:val="0"/>
      <w:marRight w:val="0"/>
      <w:marTop w:val="0"/>
      <w:marBottom w:val="0"/>
      <w:divBdr>
        <w:top w:val="none" w:sz="0" w:space="0" w:color="auto"/>
        <w:left w:val="none" w:sz="0" w:space="0" w:color="auto"/>
        <w:bottom w:val="none" w:sz="0" w:space="0" w:color="auto"/>
        <w:right w:val="none" w:sz="0" w:space="0" w:color="auto"/>
      </w:divBdr>
    </w:div>
    <w:div w:id="2006470934">
      <w:bodyDiv w:val="1"/>
      <w:marLeft w:val="0"/>
      <w:marRight w:val="0"/>
      <w:marTop w:val="0"/>
      <w:marBottom w:val="0"/>
      <w:divBdr>
        <w:top w:val="none" w:sz="0" w:space="0" w:color="auto"/>
        <w:left w:val="none" w:sz="0" w:space="0" w:color="auto"/>
        <w:bottom w:val="none" w:sz="0" w:space="0" w:color="auto"/>
        <w:right w:val="none" w:sz="0" w:space="0" w:color="auto"/>
      </w:divBdr>
    </w:div>
    <w:div w:id="2021737426">
      <w:bodyDiv w:val="1"/>
      <w:marLeft w:val="0"/>
      <w:marRight w:val="0"/>
      <w:marTop w:val="0"/>
      <w:marBottom w:val="0"/>
      <w:divBdr>
        <w:top w:val="none" w:sz="0" w:space="0" w:color="auto"/>
        <w:left w:val="none" w:sz="0" w:space="0" w:color="auto"/>
        <w:bottom w:val="none" w:sz="0" w:space="0" w:color="auto"/>
        <w:right w:val="none" w:sz="0" w:space="0" w:color="auto"/>
      </w:divBdr>
    </w:div>
    <w:div w:id="2024478463">
      <w:bodyDiv w:val="1"/>
      <w:marLeft w:val="0"/>
      <w:marRight w:val="0"/>
      <w:marTop w:val="0"/>
      <w:marBottom w:val="0"/>
      <w:divBdr>
        <w:top w:val="none" w:sz="0" w:space="0" w:color="auto"/>
        <w:left w:val="none" w:sz="0" w:space="0" w:color="auto"/>
        <w:bottom w:val="none" w:sz="0" w:space="0" w:color="auto"/>
        <w:right w:val="none" w:sz="0" w:space="0" w:color="auto"/>
      </w:divBdr>
    </w:div>
    <w:div w:id="2054772665">
      <w:bodyDiv w:val="1"/>
      <w:marLeft w:val="0"/>
      <w:marRight w:val="0"/>
      <w:marTop w:val="0"/>
      <w:marBottom w:val="0"/>
      <w:divBdr>
        <w:top w:val="none" w:sz="0" w:space="0" w:color="auto"/>
        <w:left w:val="none" w:sz="0" w:space="0" w:color="auto"/>
        <w:bottom w:val="none" w:sz="0" w:space="0" w:color="auto"/>
        <w:right w:val="none" w:sz="0" w:space="0" w:color="auto"/>
      </w:divBdr>
    </w:div>
    <w:div w:id="2071491350">
      <w:bodyDiv w:val="1"/>
      <w:marLeft w:val="0"/>
      <w:marRight w:val="0"/>
      <w:marTop w:val="0"/>
      <w:marBottom w:val="0"/>
      <w:divBdr>
        <w:top w:val="none" w:sz="0" w:space="0" w:color="auto"/>
        <w:left w:val="none" w:sz="0" w:space="0" w:color="auto"/>
        <w:bottom w:val="none" w:sz="0" w:space="0" w:color="auto"/>
        <w:right w:val="none" w:sz="0" w:space="0" w:color="auto"/>
      </w:divBdr>
    </w:div>
    <w:div w:id="2076733109">
      <w:bodyDiv w:val="1"/>
      <w:marLeft w:val="0"/>
      <w:marRight w:val="0"/>
      <w:marTop w:val="0"/>
      <w:marBottom w:val="0"/>
      <w:divBdr>
        <w:top w:val="none" w:sz="0" w:space="0" w:color="auto"/>
        <w:left w:val="none" w:sz="0" w:space="0" w:color="auto"/>
        <w:bottom w:val="none" w:sz="0" w:space="0" w:color="auto"/>
        <w:right w:val="none" w:sz="0" w:space="0" w:color="auto"/>
      </w:divBdr>
    </w:div>
    <w:div w:id="2091847914">
      <w:bodyDiv w:val="1"/>
      <w:marLeft w:val="0"/>
      <w:marRight w:val="0"/>
      <w:marTop w:val="0"/>
      <w:marBottom w:val="0"/>
      <w:divBdr>
        <w:top w:val="none" w:sz="0" w:space="0" w:color="auto"/>
        <w:left w:val="none" w:sz="0" w:space="0" w:color="auto"/>
        <w:bottom w:val="none" w:sz="0" w:space="0" w:color="auto"/>
        <w:right w:val="none" w:sz="0" w:space="0" w:color="auto"/>
      </w:divBdr>
    </w:div>
    <w:div w:id="2108034680">
      <w:bodyDiv w:val="1"/>
      <w:marLeft w:val="0"/>
      <w:marRight w:val="0"/>
      <w:marTop w:val="0"/>
      <w:marBottom w:val="0"/>
      <w:divBdr>
        <w:top w:val="none" w:sz="0" w:space="0" w:color="auto"/>
        <w:left w:val="none" w:sz="0" w:space="0" w:color="auto"/>
        <w:bottom w:val="none" w:sz="0" w:space="0" w:color="auto"/>
        <w:right w:val="none" w:sz="0" w:space="0" w:color="auto"/>
      </w:divBdr>
    </w:div>
    <w:div w:id="2109083655">
      <w:bodyDiv w:val="1"/>
      <w:marLeft w:val="0"/>
      <w:marRight w:val="0"/>
      <w:marTop w:val="0"/>
      <w:marBottom w:val="0"/>
      <w:divBdr>
        <w:top w:val="none" w:sz="0" w:space="0" w:color="auto"/>
        <w:left w:val="none" w:sz="0" w:space="0" w:color="auto"/>
        <w:bottom w:val="none" w:sz="0" w:space="0" w:color="auto"/>
        <w:right w:val="none" w:sz="0" w:space="0" w:color="auto"/>
      </w:divBdr>
    </w:div>
    <w:div w:id="2123762370">
      <w:bodyDiv w:val="1"/>
      <w:marLeft w:val="0"/>
      <w:marRight w:val="0"/>
      <w:marTop w:val="0"/>
      <w:marBottom w:val="0"/>
      <w:divBdr>
        <w:top w:val="none" w:sz="0" w:space="0" w:color="auto"/>
        <w:left w:val="none" w:sz="0" w:space="0" w:color="auto"/>
        <w:bottom w:val="none" w:sz="0" w:space="0" w:color="auto"/>
        <w:right w:val="none" w:sz="0" w:space="0" w:color="auto"/>
      </w:divBdr>
    </w:div>
    <w:div w:id="2129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lex.europa.eu/legal-content/EN/TXT/?uri=CELEX:32019R20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2014L00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k.daiwacm.com/about-us/corporate-governance-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EN/TXT/?uri=CELEX%3A32019L2034R%2802%29" TargetMode="External"/></Relationships>
</file>

<file path=word/_rels/footer1.xml.rels><?xml version="1.0" encoding="UTF-8" standalone="yes"?>
<Relationships xmlns="http://schemas.openxmlformats.org/package/2006/relationships"><Relationship Id="rId3" Type="http://schemas.openxmlformats.org/officeDocument/2006/relationships/image" Target="../ppt/media/image8.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ppt/media/image80.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AD1C-F98F-48FF-95C2-2E6E0CFD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9795</Words>
  <Characters>55838</Characters>
  <Application>Microsoft Office Word</Application>
  <DocSecurity>8</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Manager>Christopher.Stockman@uk.daiwacm.com</Manager>
  <Company>Daiwa Capital Markets</Company>
  <LinksUpToDate>false</LinksUpToDate>
  <CharactersWithSpaces>65502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Ricardo.Melgarejo@uk.daiwacm.com</dc:creator>
  <cp:keywords/>
  <dc:description/>
  <cp:lastModifiedBy>Kramer, Uwe</cp:lastModifiedBy>
  <cp:revision>5</cp:revision>
  <cp:lastPrinted>2022-12-23T14:15:00Z</cp:lastPrinted>
  <dcterms:created xsi:type="dcterms:W3CDTF">2022-12-23T15:14:00Z</dcterms:created>
  <dcterms:modified xsi:type="dcterms:W3CDTF">2022-12-27T13:14:00Z</dcterms:modified>
</cp:coreProperties>
</file>