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22754607"/>
    <w:bookmarkStart w:id="1" w:name="_GoBack"/>
    <w:bookmarkEnd w:id="1"/>
    <w:p w14:paraId="2C99350D" w14:textId="3DF20BA1" w:rsidR="006A7EC2" w:rsidRPr="0040745F" w:rsidRDefault="007B3BC1" w:rsidP="00E360A0">
      <w:pPr>
        <w:spacing w:after="0"/>
        <w:jc w:val="both"/>
        <w:rPr>
          <w:rFonts w:asciiTheme="minorHAnsi" w:hAnsiTheme="minorHAnsi" w:cstheme="minorHAnsi"/>
          <w:color w:val="0F243E" w:themeColor="text2" w:themeShade="80"/>
          <w:highlight w:val="yellow"/>
          <w:lang w:val="de-DE"/>
        </w:rPr>
      </w:pPr>
      <w:r w:rsidRPr="0040745F">
        <w:rPr>
          <w:rFonts w:ascii="Georgia" w:hAnsi="Georgia" w:cstheme="minorHAnsi"/>
          <w:noProof/>
          <w:color w:val="0F243E" w:themeColor="text2" w:themeShade="80"/>
          <w:lang w:eastAsia="ja-JP"/>
        </w:rPr>
        <mc:AlternateContent>
          <mc:Choice Requires="wps">
            <w:drawing>
              <wp:anchor distT="0" distB="0" distL="114300" distR="114300" simplePos="0" relativeHeight="251719680" behindDoc="1" locked="0" layoutInCell="1" allowOverlap="1" wp14:anchorId="1FEA297B" wp14:editId="5AD27D24">
                <wp:simplePos x="0" y="0"/>
                <wp:positionH relativeFrom="margin">
                  <wp:posOffset>-916940</wp:posOffset>
                </wp:positionH>
                <wp:positionV relativeFrom="paragraph">
                  <wp:posOffset>371</wp:posOffset>
                </wp:positionV>
                <wp:extent cx="7562850" cy="10669905"/>
                <wp:effectExtent l="0" t="0" r="0" b="0"/>
                <wp:wrapNone/>
                <wp:docPr id="2" name="Rectangle 2"/>
                <wp:cNvGraphicFramePr/>
                <a:graphic xmlns:a="http://schemas.openxmlformats.org/drawingml/2006/main">
                  <a:graphicData uri="http://schemas.microsoft.com/office/word/2010/wordprocessingShape">
                    <wps:wsp>
                      <wps:cNvSpPr/>
                      <wps:spPr>
                        <a:xfrm>
                          <a:off x="0" y="0"/>
                          <a:ext cx="7562850" cy="10669905"/>
                        </a:xfrm>
                        <a:prstGeom prst="rect">
                          <a:avLst/>
                        </a:prstGeom>
                        <a:solidFill>
                          <a:srgbClr val="0043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FC1F5" id="Rectangle 2" o:spid="_x0000_s1026" style="position:absolute;margin-left:-72.2pt;margin-top:.05pt;width:595.5pt;height:840.1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" fillcolor="#00437c" stroked="f" strokeweight="2pt">
                <w10:wrap anchorx="margin"/>
              </v:rect>
            </w:pict>
          </mc:Fallback>
        </mc:AlternateContent>
      </w:r>
      <w:r w:rsidRPr="0040745F">
        <w:rPr>
          <w:rFonts w:ascii="Georgia" w:hAnsi="Georgia" w:cstheme="minorHAnsi"/>
          <w:i/>
          <w:noProof/>
          <w:color w:val="0F243E" w:themeColor="text2" w:themeShade="80"/>
          <w:lang w:eastAsia="ja-JP"/>
        </w:rPr>
        <w:drawing>
          <wp:anchor distT="0" distB="0" distL="114300" distR="114300" simplePos="0" relativeHeight="251720704" behindDoc="0" locked="0" layoutInCell="1" allowOverlap="1" wp14:anchorId="40A1C9C6" wp14:editId="30FE4DEB">
            <wp:simplePos x="0" y="0"/>
            <wp:positionH relativeFrom="column">
              <wp:posOffset>4565782</wp:posOffset>
            </wp:positionH>
            <wp:positionV relativeFrom="paragraph">
              <wp:posOffset>0</wp:posOffset>
            </wp:positionV>
            <wp:extent cx="1684431" cy="1146679"/>
            <wp:effectExtent l="0" t="0" r="0" b="0"/>
            <wp:wrapSquare wrapText="bothSides"/>
            <wp:docPr id="15" name="Graphic 14">
              <a:extLst xmlns:a="http://schemas.openxmlformats.org/drawingml/2006/main">
                <a:ext uri="{FF2B5EF4-FFF2-40B4-BE49-F238E27FC236}">
                  <a16:creationId xmlns:a16="http://schemas.microsoft.com/office/drawing/2014/main" id="{40CC665C-21A0-B541-9D9B-2F6476DF57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4">
                      <a:extLst>
                        <a:ext uri="{FF2B5EF4-FFF2-40B4-BE49-F238E27FC236}">
                          <a16:creationId xmlns:a16="http://schemas.microsoft.com/office/drawing/2014/main" id="{40CC665C-21A0-B541-9D9B-2F6476DF57D4}"/>
                        </a:ext>
                      </a:extLst>
                    </pic:cNvPr>
                    <pic:cNvPicPr>
                      <a:picLocks noChangeAspect="1"/>
                    </pic:cNvPicPr>
                  </pic:nvPicPr>
                  <pic:blipFill>
                    <a:blip r:embed="rId8" cstate="screen">
                      <a:extLst>
                        <a:ext uri="{28A0092B-C50C-407E-A947-70E740481C1C}">
                          <a14:useLocalDpi xmlns:a14="http://schemas.microsoft.com/office/drawing/2010/main"/>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13"/>
                        </a:ext>
                      </a:extLst>
                    </a:blip>
                    <a:srcRect/>
                    <a:stretch/>
                  </pic:blipFill>
                  <pic:spPr>
                    <a:xfrm>
                      <a:off x="0" y="0"/>
                      <a:ext cx="1684431" cy="1146679"/>
                    </a:xfrm>
                    <a:prstGeom prst="rect">
                      <a:avLst/>
                    </a:prstGeom>
                  </pic:spPr>
                </pic:pic>
              </a:graphicData>
            </a:graphic>
          </wp:anchor>
        </w:drawing>
      </w:r>
    </w:p>
    <w:p w14:paraId="0C950CD1" w14:textId="5AEC53BA" w:rsidR="006A7EC2" w:rsidRPr="0040745F" w:rsidRDefault="006A7EC2" w:rsidP="00E360A0">
      <w:pPr>
        <w:spacing w:after="0"/>
        <w:jc w:val="both"/>
        <w:rPr>
          <w:rFonts w:ascii="Georgia" w:hAnsi="Georgia" w:cstheme="minorHAnsi"/>
          <w:color w:val="0F243E" w:themeColor="text2" w:themeShade="80"/>
          <w:highlight w:val="yellow"/>
          <w:lang w:val="de-DE"/>
        </w:rPr>
      </w:pPr>
    </w:p>
    <w:p w14:paraId="4D196047" w14:textId="115FBF3C" w:rsidR="00404D74" w:rsidRPr="0040745F" w:rsidRDefault="00404D74" w:rsidP="00E360A0">
      <w:pPr>
        <w:tabs>
          <w:tab w:val="left" w:pos="1725"/>
        </w:tabs>
        <w:spacing w:after="0"/>
        <w:jc w:val="both"/>
        <w:rPr>
          <w:rFonts w:ascii="Georgia" w:hAnsi="Georgia" w:cstheme="minorHAnsi"/>
          <w:color w:val="0F243E" w:themeColor="text2" w:themeShade="80"/>
          <w:highlight w:val="yellow"/>
          <w:lang w:val="de-DE"/>
        </w:rPr>
      </w:pPr>
    </w:p>
    <w:p w14:paraId="549CBFB3" w14:textId="5CD6224E" w:rsidR="00404D74" w:rsidRPr="0040745F" w:rsidRDefault="00404D74" w:rsidP="00E360A0">
      <w:pPr>
        <w:jc w:val="both"/>
        <w:rPr>
          <w:rFonts w:ascii="Georgia" w:hAnsi="Georgia" w:cstheme="minorHAnsi"/>
          <w:color w:val="0F243E" w:themeColor="text2" w:themeShade="80"/>
          <w:highlight w:val="yellow"/>
          <w:lang w:val="de-DE"/>
        </w:rPr>
      </w:pPr>
    </w:p>
    <w:p w14:paraId="085C44FC" w14:textId="02A58345" w:rsidR="00404D74" w:rsidRPr="0040745F" w:rsidRDefault="00404D74" w:rsidP="00E360A0">
      <w:pPr>
        <w:jc w:val="both"/>
        <w:rPr>
          <w:rFonts w:ascii="Georgia" w:hAnsi="Georgia" w:cstheme="minorHAnsi"/>
          <w:color w:val="0F243E" w:themeColor="text2" w:themeShade="80"/>
          <w:highlight w:val="yellow"/>
          <w:lang w:val="de-DE"/>
        </w:rPr>
      </w:pPr>
    </w:p>
    <w:p w14:paraId="639003E9" w14:textId="68B0807A" w:rsidR="00404D74" w:rsidRPr="0040745F" w:rsidRDefault="00404D74" w:rsidP="00E360A0">
      <w:pPr>
        <w:jc w:val="both"/>
        <w:rPr>
          <w:rFonts w:ascii="Georgia" w:hAnsi="Georgia" w:cstheme="minorHAnsi"/>
          <w:color w:val="0F243E" w:themeColor="text2" w:themeShade="80"/>
          <w:highlight w:val="yellow"/>
          <w:lang w:val="de-DE"/>
        </w:rPr>
      </w:pPr>
    </w:p>
    <w:p w14:paraId="52AC1E3D" w14:textId="4E47ACC8" w:rsidR="00404D74" w:rsidRPr="0040745F" w:rsidRDefault="00404D74" w:rsidP="00E360A0">
      <w:pPr>
        <w:jc w:val="both"/>
        <w:rPr>
          <w:rFonts w:ascii="Georgia" w:hAnsi="Georgia" w:cstheme="minorHAnsi"/>
          <w:color w:val="0F243E" w:themeColor="text2" w:themeShade="80"/>
          <w:highlight w:val="yellow"/>
          <w:lang w:val="de-DE"/>
        </w:rPr>
      </w:pPr>
    </w:p>
    <w:p w14:paraId="127ACC03" w14:textId="7ED784F3" w:rsidR="00404D74" w:rsidRPr="0040745F" w:rsidRDefault="00404D74" w:rsidP="00E360A0">
      <w:pPr>
        <w:jc w:val="both"/>
        <w:rPr>
          <w:rFonts w:ascii="Georgia" w:hAnsi="Georgia" w:cstheme="minorHAnsi"/>
          <w:color w:val="0F243E" w:themeColor="text2" w:themeShade="80"/>
          <w:highlight w:val="yellow"/>
          <w:lang w:val="de-DE"/>
        </w:rPr>
      </w:pPr>
    </w:p>
    <w:p w14:paraId="430655AA" w14:textId="2E55B1B3" w:rsidR="00404D74" w:rsidRPr="0040745F" w:rsidRDefault="00404D74" w:rsidP="00E360A0">
      <w:pPr>
        <w:jc w:val="both"/>
        <w:rPr>
          <w:rFonts w:ascii="Georgia" w:hAnsi="Georgia" w:cstheme="minorHAnsi"/>
          <w:color w:val="0F243E" w:themeColor="text2" w:themeShade="80"/>
          <w:highlight w:val="yellow"/>
          <w:lang w:val="de-DE"/>
        </w:rPr>
      </w:pPr>
    </w:p>
    <w:p w14:paraId="23AEC82D" w14:textId="55887D46" w:rsidR="00404D74" w:rsidRPr="0040745F" w:rsidRDefault="00404D74" w:rsidP="00E360A0">
      <w:pPr>
        <w:ind w:firstLine="720"/>
        <w:jc w:val="both"/>
        <w:rPr>
          <w:rFonts w:ascii="Georgia" w:hAnsi="Georgia" w:cstheme="minorHAnsi"/>
          <w:color w:val="0F243E" w:themeColor="text2" w:themeShade="80"/>
          <w:highlight w:val="yellow"/>
          <w:lang w:val="de-DE"/>
        </w:rPr>
      </w:pPr>
    </w:p>
    <w:p w14:paraId="1CAE6541" w14:textId="7AEFDCD3" w:rsidR="00404D74" w:rsidRPr="0040745F" w:rsidRDefault="007B3BC1" w:rsidP="00E360A0">
      <w:pPr>
        <w:jc w:val="both"/>
        <w:rPr>
          <w:rFonts w:ascii="Georgia" w:hAnsi="Georgia" w:cstheme="minorHAnsi"/>
          <w:color w:val="0F243E" w:themeColor="text2" w:themeShade="80"/>
          <w:highlight w:val="yellow"/>
          <w:lang w:val="de-DE"/>
        </w:rPr>
      </w:pPr>
      <w:r w:rsidRPr="0040745F">
        <w:rPr>
          <w:rFonts w:ascii="Georgia" w:hAnsi="Georgia" w:cstheme="minorHAnsi"/>
          <w:noProof/>
          <w:color w:val="0F243E" w:themeColor="text2" w:themeShade="80"/>
          <w:highlight w:val="yellow"/>
          <w:lang w:eastAsia="ja-JP"/>
        </w:rPr>
        <mc:AlternateContent>
          <mc:Choice Requires="wps">
            <w:drawing>
              <wp:anchor distT="0" distB="0" distL="114300" distR="114300" simplePos="0" relativeHeight="251649024" behindDoc="0" locked="0" layoutInCell="1" allowOverlap="1" wp14:anchorId="34F3A3CE" wp14:editId="04AD9120">
                <wp:simplePos x="0" y="0"/>
                <wp:positionH relativeFrom="column">
                  <wp:posOffset>-258024</wp:posOffset>
                </wp:positionH>
                <wp:positionV relativeFrom="paragraph">
                  <wp:posOffset>300423</wp:posOffset>
                </wp:positionV>
                <wp:extent cx="6251418" cy="2204519"/>
                <wp:effectExtent l="0" t="0" r="1651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1418" cy="2204519"/>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3CE2A8" w14:textId="51486649" w:rsidR="00CA5252" w:rsidRPr="00F442FE" w:rsidRDefault="00CA5252" w:rsidP="006A7EC2">
                            <w:pPr>
                              <w:tabs>
                                <w:tab w:val="left" w:pos="1701"/>
                              </w:tabs>
                              <w:spacing w:after="120" w:line="240" w:lineRule="auto"/>
                              <w:rPr>
                                <w:rFonts w:ascii="Georgia" w:hAnsi="Georgia" w:cstheme="minorHAnsi"/>
                                <w:b/>
                                <w:color w:val="FFFFFF" w:themeColor="background1"/>
                                <w:sz w:val="72"/>
                                <w:szCs w:val="72"/>
                                <w:lang w:val="de-DE"/>
                              </w:rPr>
                            </w:pPr>
                            <w:r w:rsidRPr="00F442FE">
                              <w:rPr>
                                <w:rFonts w:ascii="Georgia" w:hAnsi="Georgia" w:cstheme="minorHAnsi"/>
                                <w:b/>
                                <w:color w:val="FFFFFF" w:themeColor="background1"/>
                                <w:sz w:val="72"/>
                                <w:szCs w:val="72"/>
                                <w:lang w:val="de-DE"/>
                              </w:rPr>
                              <w:t>IFR Offenlegung</w:t>
                            </w:r>
                          </w:p>
                          <w:p w14:paraId="7DD00358" w14:textId="015F6398" w:rsidR="00CA5252" w:rsidRPr="00F442FE" w:rsidRDefault="00CA5252" w:rsidP="006A7EC2">
                            <w:pPr>
                              <w:tabs>
                                <w:tab w:val="left" w:pos="1560"/>
                              </w:tabs>
                              <w:spacing w:after="120" w:line="240" w:lineRule="auto"/>
                              <w:rPr>
                                <w:rFonts w:ascii="Georgia" w:hAnsi="Georgia" w:cstheme="minorHAnsi"/>
                                <w:b/>
                                <w:color w:val="FFFFFF" w:themeColor="background1"/>
                                <w:sz w:val="40"/>
                                <w:szCs w:val="40"/>
                                <w:lang w:val="de-DE"/>
                              </w:rPr>
                            </w:pPr>
                            <w:r w:rsidRPr="00F442FE">
                              <w:rPr>
                                <w:rFonts w:ascii="Georgia" w:hAnsi="Georgia" w:cstheme="minorHAnsi"/>
                                <w:b/>
                                <w:color w:val="FFFFFF" w:themeColor="background1"/>
                                <w:sz w:val="40"/>
                                <w:szCs w:val="40"/>
                                <w:lang w:val="de-DE"/>
                              </w:rPr>
                              <w:t>zum 31</w:t>
                            </w:r>
                            <w:r>
                              <w:rPr>
                                <w:rFonts w:ascii="Georgia" w:hAnsi="Georgia" w:cstheme="minorHAnsi"/>
                                <w:b/>
                                <w:color w:val="FFFFFF" w:themeColor="background1"/>
                                <w:sz w:val="40"/>
                                <w:szCs w:val="40"/>
                                <w:lang w:val="de-DE"/>
                              </w:rPr>
                              <w:t>.</w:t>
                            </w:r>
                            <w:r w:rsidRPr="00F442FE">
                              <w:rPr>
                                <w:rFonts w:ascii="Georgia" w:hAnsi="Georgia" w:cstheme="minorHAnsi"/>
                                <w:b/>
                                <w:color w:val="FFFFFF" w:themeColor="background1"/>
                                <w:sz w:val="40"/>
                                <w:szCs w:val="40"/>
                                <w:lang w:val="de-DE"/>
                              </w:rPr>
                              <w:t xml:space="preserve"> März 2022</w:t>
                            </w:r>
                          </w:p>
                          <w:p w14:paraId="5AB9F1EC" w14:textId="77777777" w:rsidR="00CA5252" w:rsidRPr="00F442FE" w:rsidRDefault="00CA5252" w:rsidP="006A7EC2">
                            <w:pPr>
                              <w:tabs>
                                <w:tab w:val="left" w:pos="1560"/>
                              </w:tabs>
                              <w:spacing w:after="120" w:line="240" w:lineRule="auto"/>
                              <w:rPr>
                                <w:rFonts w:ascii="Georgia" w:hAnsi="Georgia" w:cstheme="minorHAnsi"/>
                                <w:b/>
                                <w:color w:val="DBB132"/>
                                <w:sz w:val="40"/>
                                <w:szCs w:val="40"/>
                                <w:lang w:val="de-DE"/>
                              </w:rPr>
                            </w:pPr>
                          </w:p>
                          <w:p w14:paraId="5D782855" w14:textId="39767393" w:rsidR="00CA5252" w:rsidRPr="00F442FE" w:rsidRDefault="00CA5252" w:rsidP="006A7EC2">
                            <w:pPr>
                              <w:tabs>
                                <w:tab w:val="left" w:pos="1560"/>
                              </w:tabs>
                              <w:spacing w:after="120" w:line="240" w:lineRule="auto"/>
                              <w:rPr>
                                <w:rFonts w:ascii="Georgia" w:hAnsi="Georgia" w:cstheme="minorHAnsi"/>
                                <w:b/>
                                <w:bCs/>
                                <w:color w:val="DBB132"/>
                                <w:sz w:val="40"/>
                                <w:szCs w:val="40"/>
                                <w:lang w:val="de-DE"/>
                              </w:rPr>
                            </w:pPr>
                            <w:r w:rsidRPr="00F442FE">
                              <w:rPr>
                                <w:rFonts w:ascii="Georgia" w:hAnsi="Georgia" w:cstheme="minorHAnsi"/>
                                <w:b/>
                                <w:color w:val="DBB132"/>
                                <w:sz w:val="40"/>
                                <w:szCs w:val="40"/>
                                <w:lang w:val="de-DE"/>
                              </w:rPr>
                              <w:t>Daiwa Capital Markets Deutschland GmbH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3A3CE" id="Rectangle 11" o:spid="_x0000_s1026" style="position:absolute;left:0;text-align:left;margin-left:-20.3pt;margin-top:23.65pt;width:492.25pt;height:17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" filled="f" fillcolor="#4f81bd" stroked="f">
                <v:textbox inset="0,0,0,0">
                  <w:txbxContent>
                    <w:p w14:paraId="1F3CE2A8" w14:textId="51486649" w:rsidR="00CA5252" w:rsidRPr="00F442FE" w:rsidRDefault="00CA5252" w:rsidP="006A7EC2">
                      <w:pPr>
                        <w:tabs>
                          <w:tab w:val="left" w:pos="1701"/>
                        </w:tabs>
                        <w:spacing w:after="120" w:line="240" w:lineRule="auto"/>
                        <w:rPr>
                          <w:rFonts w:ascii="Georgia" w:hAnsi="Georgia" w:cstheme="minorHAnsi"/>
                          <w:b/>
                          <w:color w:val="FFFFFF" w:themeColor="background1"/>
                          <w:sz w:val="72"/>
                          <w:szCs w:val="72"/>
                          <w:lang w:val="de-DE"/>
                        </w:rPr>
                      </w:pPr>
                      <w:r w:rsidRPr="00F442FE">
                        <w:rPr>
                          <w:rFonts w:ascii="Georgia" w:hAnsi="Georgia" w:cstheme="minorHAnsi"/>
                          <w:b/>
                          <w:color w:val="FFFFFF" w:themeColor="background1"/>
                          <w:sz w:val="72"/>
                          <w:szCs w:val="72"/>
                          <w:lang w:val="de-DE"/>
                        </w:rPr>
                        <w:t>IFR Offenlegung</w:t>
                      </w:r>
                    </w:p>
                    <w:p w14:paraId="7DD00358" w14:textId="015F6398" w:rsidR="00CA5252" w:rsidRPr="00F442FE" w:rsidRDefault="00CA5252" w:rsidP="006A7EC2">
                      <w:pPr>
                        <w:tabs>
                          <w:tab w:val="left" w:pos="1560"/>
                        </w:tabs>
                        <w:spacing w:after="120" w:line="240" w:lineRule="auto"/>
                        <w:rPr>
                          <w:rFonts w:ascii="Georgia" w:hAnsi="Georgia" w:cstheme="minorHAnsi"/>
                          <w:b/>
                          <w:color w:val="FFFFFF" w:themeColor="background1"/>
                          <w:sz w:val="40"/>
                          <w:szCs w:val="40"/>
                          <w:lang w:val="de-DE"/>
                        </w:rPr>
                      </w:pPr>
                      <w:r w:rsidRPr="00F442FE">
                        <w:rPr>
                          <w:rFonts w:ascii="Georgia" w:hAnsi="Georgia" w:cstheme="minorHAnsi"/>
                          <w:b/>
                          <w:color w:val="FFFFFF" w:themeColor="background1"/>
                          <w:sz w:val="40"/>
                          <w:szCs w:val="40"/>
                          <w:lang w:val="de-DE"/>
                        </w:rPr>
                        <w:t>zum 31</w:t>
                      </w:r>
                      <w:r>
                        <w:rPr>
                          <w:rFonts w:ascii="Georgia" w:hAnsi="Georgia" w:cstheme="minorHAnsi"/>
                          <w:b/>
                          <w:color w:val="FFFFFF" w:themeColor="background1"/>
                          <w:sz w:val="40"/>
                          <w:szCs w:val="40"/>
                          <w:lang w:val="de-DE"/>
                        </w:rPr>
                        <w:t>.</w:t>
                      </w:r>
                      <w:r w:rsidRPr="00F442FE">
                        <w:rPr>
                          <w:rFonts w:ascii="Georgia" w:hAnsi="Georgia" w:cstheme="minorHAnsi"/>
                          <w:b/>
                          <w:color w:val="FFFFFF" w:themeColor="background1"/>
                          <w:sz w:val="40"/>
                          <w:szCs w:val="40"/>
                          <w:lang w:val="de-DE"/>
                        </w:rPr>
                        <w:t xml:space="preserve"> März 2022</w:t>
                      </w:r>
                    </w:p>
                    <w:p w14:paraId="5AB9F1EC" w14:textId="77777777" w:rsidR="00CA5252" w:rsidRPr="00F442FE" w:rsidRDefault="00CA5252" w:rsidP="006A7EC2">
                      <w:pPr>
                        <w:tabs>
                          <w:tab w:val="left" w:pos="1560"/>
                        </w:tabs>
                        <w:spacing w:after="120" w:line="240" w:lineRule="auto"/>
                        <w:rPr>
                          <w:rFonts w:ascii="Georgia" w:hAnsi="Georgia" w:cstheme="minorHAnsi"/>
                          <w:b/>
                          <w:color w:val="DBB132"/>
                          <w:sz w:val="40"/>
                          <w:szCs w:val="40"/>
                          <w:lang w:val="de-DE"/>
                        </w:rPr>
                      </w:pPr>
                    </w:p>
                    <w:p w14:paraId="5D782855" w14:textId="39767393" w:rsidR="00CA5252" w:rsidRPr="00F442FE" w:rsidRDefault="00CA5252" w:rsidP="006A7EC2">
                      <w:pPr>
                        <w:tabs>
                          <w:tab w:val="left" w:pos="1560"/>
                        </w:tabs>
                        <w:spacing w:after="120" w:line="240" w:lineRule="auto"/>
                        <w:rPr>
                          <w:rFonts w:ascii="Georgia" w:hAnsi="Georgia" w:cstheme="minorHAnsi"/>
                          <w:b/>
                          <w:bCs/>
                          <w:color w:val="DBB132"/>
                          <w:sz w:val="40"/>
                          <w:szCs w:val="40"/>
                          <w:lang w:val="de-DE"/>
                        </w:rPr>
                      </w:pPr>
                      <w:r w:rsidRPr="00F442FE">
                        <w:rPr>
                          <w:rFonts w:ascii="Georgia" w:hAnsi="Georgia" w:cstheme="minorHAnsi"/>
                          <w:b/>
                          <w:color w:val="DBB132"/>
                          <w:sz w:val="40"/>
                          <w:szCs w:val="40"/>
                          <w:lang w:val="de-DE"/>
                        </w:rPr>
                        <w:t>Daiwa Capital Markets Deutschland GmbH</w:t>
                      </w:r>
                    </w:p>
                  </w:txbxContent>
                </v:textbox>
              </v:rect>
            </w:pict>
          </mc:Fallback>
        </mc:AlternateContent>
      </w:r>
    </w:p>
    <w:p w14:paraId="0C38D4F9" w14:textId="26E6813F" w:rsidR="00250B67" w:rsidRPr="0040745F" w:rsidRDefault="00250B67" w:rsidP="00E360A0">
      <w:pPr>
        <w:jc w:val="both"/>
        <w:rPr>
          <w:rFonts w:asciiTheme="minorHAnsi" w:hAnsiTheme="minorHAnsi" w:cstheme="minorHAnsi"/>
          <w:color w:val="0F243E" w:themeColor="text2" w:themeShade="80"/>
          <w:highlight w:val="yellow"/>
          <w:lang w:val="de-DE"/>
        </w:rPr>
      </w:pPr>
      <w:r w:rsidRPr="0040745F">
        <w:rPr>
          <w:rFonts w:asciiTheme="minorHAnsi" w:hAnsiTheme="minorHAnsi" w:cstheme="minorHAnsi"/>
          <w:noProof/>
          <w:color w:val="0F243E" w:themeColor="text2" w:themeShade="80"/>
          <w:highlight w:val="yellow"/>
          <w:lang w:eastAsia="ja-JP"/>
        </w:rPr>
        <w:drawing>
          <wp:anchor distT="0" distB="0" distL="114300" distR="114300" simplePos="0" relativeHeight="251721728" behindDoc="0" locked="0" layoutInCell="1" allowOverlap="1" wp14:anchorId="6C24D083" wp14:editId="10F6C77E">
            <wp:simplePos x="0" y="0"/>
            <wp:positionH relativeFrom="margin">
              <wp:align>right</wp:align>
            </wp:positionH>
            <wp:positionV relativeFrom="paragraph">
              <wp:posOffset>99060</wp:posOffset>
            </wp:positionV>
            <wp:extent cx="6645910" cy="421005"/>
            <wp:effectExtent l="7302" t="0" r="0" b="0"/>
            <wp:wrapSquare wrapText="bothSides"/>
            <wp:docPr id="30" name="Graphic 3">
              <a:extLst xmlns:a="http://schemas.openxmlformats.org/drawingml/2006/main">
                <a:ext uri="{FF2B5EF4-FFF2-40B4-BE49-F238E27FC236}">
                  <a16:creationId xmlns:a16="http://schemas.microsoft.com/office/drawing/2014/main" id="{D574DA4C-EBED-9146-B5B4-C2FF9135B1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id="{D574DA4C-EBED-9146-B5B4-C2FF9135B1E4}"/>
                        </a:ext>
                      </a:extLst>
                    </pic:cNvPr>
                    <pic:cNvPicPr>
                      <a:picLocks noChangeAspect="1"/>
                    </pic:cNvPicPr>
                  </pic:nvPicPr>
                  <pic:blipFill rotWithShape="1">
                    <a:blip r:embed="rId14" cstate="screen">
                      <a:extLst>
                        <a:ext uri="{28A0092B-C50C-407E-A947-70E740481C1C}">
                          <a14:useLocalDpi xmlns:a14="http://schemas.microsoft.com/office/drawing/2010/main"/>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15"/>
                        </a:ext>
                      </a:extLst>
                    </a:blip>
                    <a:srcRect/>
                    <a:stretch/>
                  </pic:blipFill>
                  <pic:spPr bwMode="auto">
                    <a:xfrm rot="5400000">
                      <a:off x="0" y="0"/>
                      <a:ext cx="6645910" cy="421005"/>
                    </a:xfrm>
                    <a:prstGeom prst="rect">
                      <a:avLst/>
                    </a:prstGeom>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24F093B" w14:textId="2C612C20" w:rsidR="00250B67" w:rsidRPr="0040745F" w:rsidRDefault="00250B67" w:rsidP="00E360A0">
      <w:pPr>
        <w:jc w:val="both"/>
        <w:rPr>
          <w:rFonts w:asciiTheme="minorHAnsi" w:hAnsiTheme="minorHAnsi" w:cstheme="minorHAnsi"/>
          <w:color w:val="0F243E" w:themeColor="text2" w:themeShade="80"/>
          <w:highlight w:val="yellow"/>
          <w:lang w:val="de-DE"/>
        </w:rPr>
      </w:pPr>
    </w:p>
    <w:p w14:paraId="27C151D5" w14:textId="15F3007B" w:rsidR="00250B67" w:rsidRPr="0040745F" w:rsidRDefault="00250B67" w:rsidP="00E360A0">
      <w:pPr>
        <w:jc w:val="both"/>
        <w:rPr>
          <w:rFonts w:asciiTheme="minorHAnsi" w:hAnsiTheme="minorHAnsi" w:cstheme="minorHAnsi"/>
          <w:color w:val="0F243E" w:themeColor="text2" w:themeShade="80"/>
          <w:highlight w:val="yellow"/>
          <w:lang w:val="de-DE"/>
        </w:rPr>
      </w:pPr>
    </w:p>
    <w:p w14:paraId="697B5E02" w14:textId="26A04759" w:rsidR="00404D74" w:rsidRPr="0040745F" w:rsidRDefault="00404D74" w:rsidP="00E360A0">
      <w:pPr>
        <w:jc w:val="both"/>
        <w:rPr>
          <w:rFonts w:ascii="Georgia" w:hAnsi="Georgia" w:cstheme="minorHAnsi"/>
          <w:color w:val="0F243E" w:themeColor="text2" w:themeShade="80"/>
          <w:highlight w:val="yellow"/>
          <w:lang w:val="de-DE"/>
        </w:rPr>
      </w:pPr>
    </w:p>
    <w:p w14:paraId="6E709E93" w14:textId="5090857D" w:rsidR="00404D74" w:rsidRPr="0040745F" w:rsidRDefault="00404D74" w:rsidP="00E360A0">
      <w:pPr>
        <w:jc w:val="both"/>
        <w:rPr>
          <w:rFonts w:ascii="Georgia" w:hAnsi="Georgia" w:cstheme="minorHAnsi"/>
          <w:color w:val="0F243E" w:themeColor="text2" w:themeShade="80"/>
          <w:highlight w:val="yellow"/>
          <w:lang w:val="de-DE"/>
        </w:rPr>
      </w:pPr>
    </w:p>
    <w:p w14:paraId="62E633ED" w14:textId="601DC917" w:rsidR="00404D74" w:rsidRPr="0040745F" w:rsidRDefault="00404D74" w:rsidP="00E360A0">
      <w:pPr>
        <w:jc w:val="both"/>
        <w:rPr>
          <w:rFonts w:ascii="Georgia" w:hAnsi="Georgia" w:cstheme="minorHAnsi"/>
          <w:color w:val="0F243E" w:themeColor="text2" w:themeShade="80"/>
          <w:highlight w:val="yellow"/>
          <w:lang w:val="de-DE"/>
        </w:rPr>
      </w:pPr>
    </w:p>
    <w:p w14:paraId="50DE9DE5" w14:textId="7210074C" w:rsidR="00404D74" w:rsidRPr="0040745F" w:rsidRDefault="00404D74" w:rsidP="00E360A0">
      <w:pPr>
        <w:jc w:val="both"/>
        <w:rPr>
          <w:rFonts w:ascii="Georgia" w:hAnsi="Georgia" w:cstheme="minorHAnsi"/>
          <w:color w:val="0F243E" w:themeColor="text2" w:themeShade="80"/>
          <w:highlight w:val="yellow"/>
          <w:lang w:val="de-DE"/>
        </w:rPr>
      </w:pPr>
    </w:p>
    <w:p w14:paraId="7664B2AA" w14:textId="0C27CC30" w:rsidR="00404D74" w:rsidRPr="0040745F" w:rsidRDefault="00404D74" w:rsidP="00E360A0">
      <w:pPr>
        <w:jc w:val="both"/>
        <w:rPr>
          <w:rFonts w:ascii="Georgia" w:hAnsi="Georgia" w:cstheme="minorHAnsi"/>
          <w:color w:val="0F243E" w:themeColor="text2" w:themeShade="80"/>
          <w:highlight w:val="yellow"/>
          <w:lang w:val="de-DE"/>
        </w:rPr>
      </w:pPr>
    </w:p>
    <w:p w14:paraId="3375771A" w14:textId="13DC98C9" w:rsidR="00404D74" w:rsidRPr="0040745F" w:rsidRDefault="001D0BA2" w:rsidP="00E360A0">
      <w:pPr>
        <w:jc w:val="both"/>
        <w:rPr>
          <w:rFonts w:ascii="Georgia" w:hAnsi="Georgia" w:cstheme="minorHAnsi"/>
          <w:color w:val="0F243E" w:themeColor="text2" w:themeShade="80"/>
          <w:highlight w:val="yellow"/>
          <w:lang w:val="de-DE"/>
        </w:rPr>
      </w:pPr>
      <w:r w:rsidRPr="0040745F">
        <w:rPr>
          <w:rFonts w:asciiTheme="minorHAnsi" w:hAnsiTheme="minorHAnsi" w:cstheme="minorHAnsi"/>
          <w:noProof/>
          <w:color w:val="0F243E" w:themeColor="text2" w:themeShade="80"/>
          <w:lang w:eastAsia="ja-JP"/>
        </w:rPr>
        <w:drawing>
          <wp:anchor distT="0" distB="0" distL="114300" distR="114300" simplePos="0" relativeHeight="251717632" behindDoc="0" locked="0" layoutInCell="1" allowOverlap="1" wp14:anchorId="38FC32A3" wp14:editId="0F7B0F1C">
            <wp:simplePos x="0" y="0"/>
            <wp:positionH relativeFrom="column">
              <wp:posOffset>-488315</wp:posOffset>
            </wp:positionH>
            <wp:positionV relativeFrom="paragraph">
              <wp:posOffset>1508234</wp:posOffset>
            </wp:positionV>
            <wp:extent cx="6645910" cy="3582879"/>
            <wp:effectExtent l="0" t="0" r="2540" b="0"/>
            <wp:wrapSquare wrapText="bothSides"/>
            <wp:docPr id="48" name="Graphic 3">
              <a:extLst xmlns:a="http://schemas.openxmlformats.org/drawingml/2006/main">
                <a:ext uri="{FF2B5EF4-FFF2-40B4-BE49-F238E27FC236}">
                  <a16:creationId xmlns:a16="http://schemas.microsoft.com/office/drawing/2014/main" id="{06235202-BEE5-074A-A69B-29C21B4504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3">
                      <a:extLst>
                        <a:ext uri="{FF2B5EF4-FFF2-40B4-BE49-F238E27FC236}">
                          <a16:creationId xmlns:a16="http://schemas.microsoft.com/office/drawing/2014/main" id="{06235202-BEE5-074A-A69B-29C21B450466}"/>
                        </a:ext>
                      </a:extLst>
                    </pic:cNvPr>
                    <pic:cNvPicPr>
                      <a:picLocks noChangeAspect="1"/>
                    </pic:cNvPicPr>
                  </pic:nvPicPr>
                  <pic:blipFill rotWithShape="1">
                    <a:blip r:embed="rId16" cstate="screen">
                      <a:extLst>
                        <a:ext uri="{28A0092B-C50C-407E-A947-70E740481C1C}">
                          <a14:useLocalDpi xmlns:a14="http://schemas.microsoft.com/office/drawing/2010/main"/>
                        </a:ext>
                        <a:ext uri="{96DAC541-7B7A-43D3-8B79-37D633B846F1}">
                          <asvg:svgBlip xmlns:lc="http://schemas.openxmlformats.org/drawingml/2006/lockedCanvas" xmlns="" xmlns:asvg="http://schemas.microsoft.com/office/drawing/2016/SVG/main" xmlns:p="http://schemas.openxmlformats.org/presentationml/2006/main" xmlns:w="http://schemas.openxmlformats.org/wordprocessingml/2006/main" xmlns:w10="urn:schemas-microsoft-com:office:word" xmlns:v="urn:schemas-microsoft-com:vml" xmlns:o="urn:schemas-microsoft-com:office:office" r:embed="rId22"/>
                        </a:ext>
                      </a:extLst>
                    </a:blip>
                    <a:srcRect/>
                    <a:stretch/>
                  </pic:blipFill>
                  <pic:spPr>
                    <a:xfrm>
                      <a:off x="0" y="0"/>
                      <a:ext cx="6645910" cy="3582879"/>
                    </a:xfrm>
                    <a:prstGeom prst="rect">
                      <a:avLst/>
                    </a:prstGeom>
                  </pic:spPr>
                </pic:pic>
              </a:graphicData>
            </a:graphic>
          </wp:anchor>
        </w:drawing>
      </w:r>
      <w:r w:rsidRPr="0040745F">
        <w:rPr>
          <w:rFonts w:asciiTheme="minorHAnsi" w:hAnsiTheme="minorHAnsi" w:cstheme="minorHAnsi"/>
          <w:noProof/>
          <w:color w:val="0F243E" w:themeColor="text2" w:themeShade="80"/>
          <w:lang w:eastAsia="ja-JP"/>
        </w:rPr>
        <mc:AlternateContent>
          <mc:Choice Requires="wpg">
            <w:drawing>
              <wp:anchor distT="0" distB="0" distL="114300" distR="114300" simplePos="0" relativeHeight="251718656" behindDoc="0" locked="0" layoutInCell="1" allowOverlap="1" wp14:anchorId="10DE0867" wp14:editId="312A889E">
                <wp:simplePos x="0" y="0"/>
                <wp:positionH relativeFrom="column">
                  <wp:posOffset>4724536</wp:posOffset>
                </wp:positionH>
                <wp:positionV relativeFrom="paragraph">
                  <wp:posOffset>1004110</wp:posOffset>
                </wp:positionV>
                <wp:extent cx="817245" cy="2624143"/>
                <wp:effectExtent l="0" t="0" r="20955" b="24130"/>
                <wp:wrapSquare wrapText="bothSides"/>
                <wp:docPr id="41" name="Group 69">
                  <a:extLst xmlns:a="http://schemas.openxmlformats.org/drawingml/2006/main">
                    <a:ext uri="{FF2B5EF4-FFF2-40B4-BE49-F238E27FC236}">
                      <a16:creationId xmlns:a16="http://schemas.microsoft.com/office/drawing/2014/main" id="{761B2D01-6D29-094B-8644-D7BC8B8B0A22}"/>
                    </a:ext>
                  </a:extLst>
                </wp:docPr>
                <wp:cNvGraphicFramePr/>
                <a:graphic xmlns:a="http://schemas.openxmlformats.org/drawingml/2006/main">
                  <a:graphicData uri="http://schemas.microsoft.com/office/word/2010/wordprocessingGroup">
                    <wpg:wgp>
                      <wpg:cNvGrpSpPr/>
                      <wpg:grpSpPr>
                        <a:xfrm>
                          <a:off x="0" y="0"/>
                          <a:ext cx="817245" cy="2624143"/>
                          <a:chOff x="6741992" y="0"/>
                          <a:chExt cx="1064871" cy="3419475"/>
                        </a:xfrm>
                      </wpg:grpSpPr>
                      <wps:wsp>
                        <wps:cNvPr id="42" name="Rectangle 42">
                          <a:extLst>
                            <a:ext uri="{FF2B5EF4-FFF2-40B4-BE49-F238E27FC236}">
                              <a16:creationId xmlns:a16="http://schemas.microsoft.com/office/drawing/2014/main" id="{C2F17F1E-0E76-7F49-B87B-B0362109F770}"/>
                            </a:ext>
                          </a:extLst>
                        </wps:cNvPr>
                        <wps:cNvSpPr/>
                        <wps:spPr>
                          <a:xfrm>
                            <a:off x="6741992" y="0"/>
                            <a:ext cx="1064871" cy="3419475"/>
                          </a:xfrm>
                          <a:prstGeom prst="rect">
                            <a:avLst/>
                          </a:prstGeom>
                          <a:solidFill>
                            <a:srgbClr val="00437C"/>
                          </a:solidFill>
                          <a:ln w="19050" cap="flat" cmpd="sng" algn="ctr">
                            <a:solidFill>
                              <a:srgbClr val="DBB132"/>
                            </a:solidFill>
                            <a:prstDash val="solid"/>
                            <a:miter lim="800000"/>
                          </a:ln>
                          <a:effectLst/>
                        </wps:spPr>
                        <wps:bodyPr rtlCol="0" anchor="ctr"/>
                      </wps:wsp>
                      <wpg:grpSp>
                        <wpg:cNvPr id="43" name="Group 43">
                          <a:extLst>
                            <a:ext uri="{FF2B5EF4-FFF2-40B4-BE49-F238E27FC236}">
                              <a16:creationId xmlns:a16="http://schemas.microsoft.com/office/drawing/2014/main" id="{8093183C-6781-D946-BA6B-448DBA248BAC}"/>
                            </a:ext>
                          </a:extLst>
                        </wpg:cNvPr>
                        <wpg:cNvGrpSpPr/>
                        <wpg:grpSpPr>
                          <a:xfrm>
                            <a:off x="6938942" y="192231"/>
                            <a:ext cx="670970" cy="3035012"/>
                            <a:chOff x="6938942" y="192231"/>
                            <a:chExt cx="670970" cy="3035012"/>
                          </a:xfrm>
                        </wpg:grpSpPr>
                        <pic:pic xmlns:pic="http://schemas.openxmlformats.org/drawingml/2006/picture">
                          <pic:nvPicPr>
                            <pic:cNvPr id="44" name="Graphic 63">
                              <a:extLst>
                                <a:ext uri="{FF2B5EF4-FFF2-40B4-BE49-F238E27FC236}">
                                  <a16:creationId xmlns:a16="http://schemas.microsoft.com/office/drawing/2014/main" id="{534495B8-24C2-7E41-8C28-5970B88AE59A}"/>
                                </a:ext>
                              </a:extLst>
                            </pic:cNvPr>
                            <pic:cNvPicPr>
                              <a:picLocks noChangeAspect="1"/>
                            </pic:cNvPicPr>
                          </pic:nvPicPr>
                          <pic:blipFill>
                            <a:blip r:embed="rId23" cstate="screen">
                              <a:extLst>
                                <a:ext uri="{28A0092B-C50C-407E-A947-70E740481C1C}">
                                  <a14:useLocalDpi xmlns:a14="http://schemas.microsoft.com/office/drawing/2010/main"/>
                                </a:ext>
                                <a:ext uri="{96DAC541-7B7A-43D3-8B79-37D633B846F1}">
                                  <asvg:svgBlip xmlns:lc="http://schemas.openxmlformats.org/drawingml/2006/lockedCanvas" xmlns="" xmlns:asvg="http://schemas.microsoft.com/office/drawing/2016/SVG/main" xmlns:p="http://schemas.openxmlformats.org/presentationml/2006/main" xmlns:w="http://schemas.openxmlformats.org/wordprocessingml/2006/main" xmlns:w10="urn:schemas-microsoft-com:office:word" xmlns:v="urn:schemas-microsoft-com:vml" xmlns:o="urn:schemas-microsoft-com:office:office" r:embed="rId10"/>
                                </a:ext>
                              </a:extLst>
                            </a:blip>
                            <a:stretch>
                              <a:fillRect/>
                            </a:stretch>
                          </pic:blipFill>
                          <pic:spPr>
                            <a:xfrm>
                              <a:off x="6938942" y="980245"/>
                              <a:ext cx="670970" cy="670970"/>
                            </a:xfrm>
                            <a:prstGeom prst="rect">
                              <a:avLst/>
                            </a:prstGeom>
                          </pic:spPr>
                        </pic:pic>
                        <pic:pic xmlns:pic="http://schemas.openxmlformats.org/drawingml/2006/picture">
                          <pic:nvPicPr>
                            <pic:cNvPr id="45" name="Graphic 64">
                              <a:extLst>
                                <a:ext uri="{FF2B5EF4-FFF2-40B4-BE49-F238E27FC236}">
                                  <a16:creationId xmlns:a16="http://schemas.microsoft.com/office/drawing/2014/main" id="{F642AAB5-7A61-9249-B6C2-179DFCD619CD}"/>
                                </a:ext>
                              </a:extLst>
                            </pic:cNvPr>
                            <pic:cNvPicPr>
                              <a:picLocks noChangeAspect="1"/>
                            </pic:cNvPicPr>
                          </pic:nvPicPr>
                          <pic:blipFill>
                            <a:blip r:embed="rId24" cstate="screen">
                              <a:extLst>
                                <a:ext uri="{28A0092B-C50C-407E-A947-70E740481C1C}">
                                  <a14:useLocalDpi xmlns:a14="http://schemas.microsoft.com/office/drawing/2010/main"/>
                                </a:ext>
                                <a:ext uri="{96DAC541-7B7A-43D3-8B79-37D633B846F1}">
                                  <asvg:svgBlip xmlns:lc="http://schemas.openxmlformats.org/drawingml/2006/lockedCanvas" xmlns="" xmlns:asvg="http://schemas.microsoft.com/office/drawing/2016/SVG/main" xmlns:p="http://schemas.openxmlformats.org/presentationml/2006/main" xmlns:w="http://schemas.openxmlformats.org/wordprocessingml/2006/main" xmlns:w10="urn:schemas-microsoft-com:office:word" xmlns:v="urn:schemas-microsoft-com:vml" xmlns:o="urn:schemas-microsoft-com:office:office" r:embed="rId12"/>
                                </a:ext>
                              </a:extLst>
                            </a:blip>
                            <a:stretch>
                              <a:fillRect/>
                            </a:stretch>
                          </pic:blipFill>
                          <pic:spPr>
                            <a:xfrm>
                              <a:off x="6938942" y="2556273"/>
                              <a:ext cx="670970" cy="670970"/>
                            </a:xfrm>
                            <a:prstGeom prst="rect">
                              <a:avLst/>
                            </a:prstGeom>
                          </pic:spPr>
                        </pic:pic>
                        <pic:pic xmlns:pic="http://schemas.openxmlformats.org/drawingml/2006/picture">
                          <pic:nvPicPr>
                            <pic:cNvPr id="46" name="Graphic 65">
                              <a:extLst>
                                <a:ext uri="{FF2B5EF4-FFF2-40B4-BE49-F238E27FC236}">
                                  <a16:creationId xmlns:a16="http://schemas.microsoft.com/office/drawing/2014/main" id="{9A9F5A38-3032-0E47-B645-4ACE5FADA212}"/>
                                </a:ext>
                              </a:extLst>
                            </pic:cNvPr>
                            <pic:cNvPicPr>
                              <a:picLocks noChangeAspect="1"/>
                            </pic:cNvPicPr>
                          </pic:nvPicPr>
                          <pic:blipFill>
                            <a:blip r:embed="rId25" cstate="screen">
                              <a:extLst>
                                <a:ext uri="{28A0092B-C50C-407E-A947-70E740481C1C}">
                                  <a14:useLocalDpi xmlns:a14="http://schemas.microsoft.com/office/drawing/2010/main"/>
                                </a:ext>
                                <a:ext uri="{96DAC541-7B7A-43D3-8B79-37D633B846F1}">
                                  <asvg:svgBlip xmlns:lc="http://schemas.openxmlformats.org/drawingml/2006/lockedCanvas" xmlns="" xmlns:asvg="http://schemas.microsoft.com/office/drawing/2016/SVG/main" xmlns:p="http://schemas.openxmlformats.org/presentationml/2006/main" xmlns:w="http://schemas.openxmlformats.org/wordprocessingml/2006/main" xmlns:w10="urn:schemas-microsoft-com:office:word" xmlns:v="urn:schemas-microsoft-com:vml" xmlns:o="urn:schemas-microsoft-com:office:office" r:embed="rId26"/>
                                </a:ext>
                              </a:extLst>
                            </a:blip>
                            <a:stretch>
                              <a:fillRect/>
                            </a:stretch>
                          </pic:blipFill>
                          <pic:spPr>
                            <a:xfrm>
                              <a:off x="6938942" y="1768259"/>
                              <a:ext cx="670970" cy="670970"/>
                            </a:xfrm>
                            <a:prstGeom prst="rect">
                              <a:avLst/>
                            </a:prstGeom>
                          </pic:spPr>
                        </pic:pic>
                        <pic:pic xmlns:pic="http://schemas.openxmlformats.org/drawingml/2006/picture">
                          <pic:nvPicPr>
                            <pic:cNvPr id="47" name="Graphic 66">
                              <a:extLst>
                                <a:ext uri="{FF2B5EF4-FFF2-40B4-BE49-F238E27FC236}">
                                  <a16:creationId xmlns:a16="http://schemas.microsoft.com/office/drawing/2014/main" id="{187AD037-B703-DE49-B97A-2D4C1F3B6ECA}"/>
                                </a:ext>
                              </a:extLst>
                            </pic:cNvPr>
                            <pic:cNvPicPr>
                              <a:picLocks noChangeAspect="1"/>
                            </pic:cNvPicPr>
                          </pic:nvPicPr>
                          <pic:blipFill>
                            <a:blip r:embed="rId27" cstate="screen">
                              <a:extLst>
                                <a:ext uri="{28A0092B-C50C-407E-A947-70E740481C1C}">
                                  <a14:useLocalDpi xmlns:a14="http://schemas.microsoft.com/office/drawing/2010/main"/>
                                </a:ext>
                                <a:ext uri="{96DAC541-7B7A-43D3-8B79-37D633B846F1}">
                                  <asvg:svgBlip xmlns:lc="http://schemas.openxmlformats.org/drawingml/2006/lockedCanvas" xmlns="" xmlns:asvg="http://schemas.microsoft.com/office/drawing/2016/SVG/main" xmlns:p="http://schemas.openxmlformats.org/presentationml/2006/main" xmlns:w="http://schemas.openxmlformats.org/wordprocessingml/2006/main" xmlns:w10="urn:schemas-microsoft-com:office:word" xmlns:v="urn:schemas-microsoft-com:vml" xmlns:o="urn:schemas-microsoft-com:office:office" r:embed="rId28"/>
                                </a:ext>
                              </a:extLst>
                            </a:blip>
                            <a:stretch>
                              <a:fillRect/>
                            </a:stretch>
                          </pic:blipFill>
                          <pic:spPr>
                            <a:xfrm>
                              <a:off x="6938942" y="192231"/>
                              <a:ext cx="670970" cy="670970"/>
                            </a:xfrm>
                            <a:prstGeom prst="rect">
                              <a:avLst/>
                            </a:prstGeom>
                          </pic:spPr>
                        </pic:pic>
                      </wpg:grpSp>
                    </wpg:wgp>
                  </a:graphicData>
                </a:graphic>
              </wp:anchor>
            </w:drawing>
          </mc:Choice>
          <mc:Fallback>
            <w:pict>
              <v:group w14:anchorId="58F1EDEF" id="Group 69" o:spid="_x0000_s1026" style="position:absolute;margin-left:372pt;margin-top:79.05pt;width:64.35pt;height:206.65pt;z-index:251718656" coordorigin="67419" coordsize="10648,34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">
                <v:rect id="Rectangle 42" o:spid="_x0000_s1027" style="position:absolute;left:67419;width:10649;height:34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" fillcolor="#00437c" strokecolor="#dbb132" strokeweight="1.5pt"/>
                <v:group id="Group 43" o:spid="_x0000_s1028" style="position:absolute;left:69389;top:1922;width:6710;height:30350" coordorigin="69389,1922" coordsize="6709,3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63" o:spid="_x0000_s1029" type="#_x0000_t75" style="position:absolute;left:69389;top:9802;width:6710;height:6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">
                    <v:imagedata r:id="rId29" o:title=""/>
                    <v:path arrowok="t"/>
                  </v:shape>
                  <v:shape id="Graphic 64" o:spid="_x0000_s1030" type="#_x0000_t75" style="position:absolute;left:69389;top:25562;width:6710;height:6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">
                    <v:imagedata r:id="rId30" o:title=""/>
                    <v:path arrowok="t"/>
                  </v:shape>
                  <v:shape id="Graphic 65" o:spid="_x0000_s1031" type="#_x0000_t75" style="position:absolute;left:69389;top:17682;width:6710;height:6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">
                    <v:imagedata r:id="rId31" o:title=""/>
                    <v:path arrowok="t"/>
                  </v:shape>
                  <v:shape id="Graphic 66" o:spid="_x0000_s1032" type="#_x0000_t75" style="position:absolute;left:69389;top:1922;width:6710;height:6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">
                    <v:imagedata r:id="rId32" o:title=""/>
                    <v:path arrowok="t"/>
                  </v:shape>
                </v:group>
                <w10:wrap type="square"/>
              </v:group>
            </w:pict>
          </mc:Fallback>
        </mc:AlternateContent>
      </w:r>
      <w:r w:rsidR="00250B67" w:rsidRPr="0040745F">
        <w:rPr>
          <w:rFonts w:asciiTheme="minorHAnsi" w:hAnsiTheme="minorHAnsi" w:cstheme="minorHAnsi"/>
          <w:noProof/>
          <w:color w:val="0F243E" w:themeColor="text2" w:themeShade="80"/>
          <w:highlight w:val="yellow"/>
          <w:lang w:eastAsia="ja-JP"/>
        </w:rPr>
        <w:drawing>
          <wp:anchor distT="0" distB="0" distL="114300" distR="114300" simplePos="0" relativeHeight="251723776" behindDoc="0" locked="0" layoutInCell="1" allowOverlap="1" wp14:anchorId="7A991D8E" wp14:editId="2A13CBA8">
            <wp:simplePos x="0" y="0"/>
            <wp:positionH relativeFrom="margin">
              <wp:posOffset>4420870</wp:posOffset>
            </wp:positionH>
            <wp:positionV relativeFrom="paragraph">
              <wp:posOffset>2908300</wp:posOffset>
            </wp:positionV>
            <wp:extent cx="4011295" cy="423545"/>
            <wp:effectExtent l="3175" t="0" r="0" b="0"/>
            <wp:wrapSquare wrapText="bothSides"/>
            <wp:docPr id="31" name="Graphic 3">
              <a:extLst xmlns:a="http://schemas.openxmlformats.org/drawingml/2006/main">
                <a:ext uri="{FF2B5EF4-FFF2-40B4-BE49-F238E27FC236}">
                  <a16:creationId xmlns:a16="http://schemas.microsoft.com/office/drawing/2014/main" id="{D574DA4C-EBED-9146-B5B4-C2FF9135B1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id="{D574DA4C-EBED-9146-B5B4-C2FF9135B1E4}"/>
                        </a:ext>
                      </a:extLst>
                    </pic:cNvPr>
                    <pic:cNvPicPr>
                      <a:picLocks noChangeAspect="1"/>
                    </pic:cNvPicPr>
                  </pic:nvPicPr>
                  <pic:blipFill rotWithShape="1">
                    <a:blip r:embed="rId33" cstate="screen">
                      <a:extLst>
                        <a:ext uri="{28A0092B-C50C-407E-A947-70E740481C1C}">
                          <a14:useLocalDpi xmlns:a14="http://schemas.microsoft.com/office/drawing/2010/main"/>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15"/>
                        </a:ext>
                      </a:extLst>
                    </a:blip>
                    <a:srcRect/>
                    <a:stretch/>
                  </pic:blipFill>
                  <pic:spPr bwMode="auto">
                    <a:xfrm rot="5400000">
                      <a:off x="0" y="0"/>
                      <a:ext cx="4011295" cy="423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4D74" w:rsidRPr="0040745F">
        <w:rPr>
          <w:rFonts w:ascii="Georgia" w:hAnsi="Georgia" w:cstheme="minorHAnsi"/>
          <w:color w:val="0F243E" w:themeColor="text2" w:themeShade="80"/>
          <w:highlight w:val="yellow"/>
          <w:lang w:val="de-DE"/>
        </w:rPr>
        <w:br w:type="page"/>
      </w:r>
    </w:p>
    <w:p w14:paraId="287C079A" w14:textId="77777777" w:rsidR="006A7EC2" w:rsidRPr="0040745F" w:rsidRDefault="006A7EC2" w:rsidP="00E360A0">
      <w:pPr>
        <w:jc w:val="both"/>
        <w:rPr>
          <w:rFonts w:ascii="Georgia" w:hAnsi="Georgia" w:cstheme="minorHAnsi"/>
          <w:color w:val="0F243E" w:themeColor="text2" w:themeShade="80"/>
          <w:highlight w:val="yellow"/>
          <w:lang w:val="de-DE"/>
        </w:rPr>
        <w:sectPr w:rsidR="006A7EC2" w:rsidRPr="0040745F" w:rsidSect="007B3BC1">
          <w:pgSz w:w="11906" w:h="16838"/>
          <w:pgMar w:top="0" w:right="0" w:bottom="0" w:left="1440" w:header="708" w:footer="708" w:gutter="0"/>
          <w:pgNumType w:start="0"/>
          <w:cols w:space="708"/>
          <w:titlePg/>
          <w:docGrid w:linePitch="360"/>
        </w:sectPr>
      </w:pPr>
    </w:p>
    <w:p w14:paraId="618F6007" w14:textId="3168F0ED" w:rsidR="006A7EC2" w:rsidRPr="0040745F" w:rsidRDefault="00B439F4" w:rsidP="00E360A0">
      <w:pPr>
        <w:tabs>
          <w:tab w:val="left" w:pos="1725"/>
        </w:tabs>
        <w:spacing w:after="0"/>
        <w:jc w:val="both"/>
        <w:rPr>
          <w:rFonts w:ascii="Georgia" w:hAnsi="Georgia" w:cs="Segoe UI"/>
          <w:b/>
          <w:color w:val="DBB132"/>
          <w:sz w:val="32"/>
          <w:szCs w:val="24"/>
          <w:lang w:val="de-DE"/>
        </w:rPr>
      </w:pPr>
      <w:r w:rsidRPr="0040745F">
        <w:rPr>
          <w:rFonts w:ascii="Georgia" w:hAnsi="Georgia" w:cs="Segoe UI"/>
          <w:b/>
          <w:color w:val="DBB132"/>
          <w:sz w:val="32"/>
          <w:szCs w:val="24"/>
          <w:lang w:val="de-DE"/>
        </w:rPr>
        <w:lastRenderedPageBreak/>
        <w:t>Inhaltsverzeichnis</w:t>
      </w:r>
    </w:p>
    <w:p w14:paraId="5463DD62" w14:textId="77777777" w:rsidR="008F120D" w:rsidRPr="0040745F" w:rsidRDefault="008F120D" w:rsidP="00E360A0">
      <w:pPr>
        <w:tabs>
          <w:tab w:val="left" w:pos="1725"/>
        </w:tabs>
        <w:spacing w:after="0"/>
        <w:jc w:val="both"/>
        <w:rPr>
          <w:rFonts w:ascii="Segoe UI" w:hAnsi="Segoe UI" w:cs="Segoe UI"/>
          <w:color w:val="0F243E" w:themeColor="text2" w:themeShade="80"/>
          <w:sz w:val="14"/>
          <w:szCs w:val="40"/>
          <w:lang w:val="de-DE"/>
        </w:rPr>
      </w:pPr>
    </w:p>
    <w:p w14:paraId="5B72AAFE" w14:textId="2A22340B" w:rsidR="002D061C" w:rsidRDefault="006A7EC2">
      <w:pPr>
        <w:pStyle w:val="TOC1"/>
        <w:rPr>
          <w:rFonts w:eastAsiaTheme="minorEastAsia"/>
          <w:b w:val="0"/>
          <w:noProof/>
          <w:lang w:eastAsia="en-GB"/>
        </w:rPr>
      </w:pPr>
      <w:r w:rsidRPr="0040745F">
        <w:rPr>
          <w:rFonts w:ascii="Segoe UI" w:hAnsi="Segoe UI" w:cs="Segoe UI"/>
          <w:color w:val="014171"/>
          <w:lang w:val="de-DE"/>
        </w:rPr>
        <w:fldChar w:fldCharType="begin"/>
      </w:r>
      <w:r w:rsidRPr="0040745F">
        <w:rPr>
          <w:rFonts w:ascii="Segoe UI" w:hAnsi="Segoe UI" w:cs="Segoe UI"/>
          <w:color w:val="014171"/>
          <w:lang w:val="de-DE"/>
        </w:rPr>
        <w:instrText xml:space="preserve"> TOC \o "1-2" \h \z \t "Daiwa_Heading_1,1" </w:instrText>
      </w:r>
      <w:r w:rsidRPr="0040745F">
        <w:rPr>
          <w:rFonts w:ascii="Segoe UI" w:hAnsi="Segoe UI" w:cs="Segoe UI"/>
          <w:color w:val="014171"/>
          <w:lang w:val="de-DE"/>
        </w:rPr>
        <w:fldChar w:fldCharType="separate"/>
      </w:r>
      <w:hyperlink w:anchor="_Toc123138004" w:history="1">
        <w:r w:rsidR="002D061C" w:rsidRPr="000172F2">
          <w:rPr>
            <w:rStyle w:val="Hyperlink"/>
            <w:noProof/>
            <w:lang w:val="de-DE"/>
          </w:rPr>
          <w:t>1</w:t>
        </w:r>
        <w:r w:rsidR="002D061C">
          <w:rPr>
            <w:rFonts w:eastAsiaTheme="minorEastAsia"/>
            <w:b w:val="0"/>
            <w:noProof/>
            <w:lang w:eastAsia="en-GB"/>
          </w:rPr>
          <w:tab/>
        </w:r>
        <w:r w:rsidR="002D061C" w:rsidRPr="000172F2">
          <w:rPr>
            <w:rStyle w:val="Hyperlink"/>
            <w:noProof/>
            <w:lang w:val="de-DE"/>
          </w:rPr>
          <w:t>Übersicht</w:t>
        </w:r>
        <w:r w:rsidR="002D061C">
          <w:rPr>
            <w:noProof/>
            <w:webHidden/>
          </w:rPr>
          <w:tab/>
        </w:r>
        <w:r w:rsidR="002D061C">
          <w:rPr>
            <w:noProof/>
            <w:webHidden/>
          </w:rPr>
          <w:fldChar w:fldCharType="begin"/>
        </w:r>
        <w:r w:rsidR="002D061C">
          <w:rPr>
            <w:noProof/>
            <w:webHidden/>
          </w:rPr>
          <w:instrText xml:space="preserve"> PAGEREF _Toc123138004 \h </w:instrText>
        </w:r>
        <w:r w:rsidR="002D061C">
          <w:rPr>
            <w:noProof/>
            <w:webHidden/>
          </w:rPr>
        </w:r>
        <w:r w:rsidR="002D061C">
          <w:rPr>
            <w:noProof/>
            <w:webHidden/>
          </w:rPr>
          <w:fldChar w:fldCharType="separate"/>
        </w:r>
        <w:r w:rsidR="002D061C">
          <w:rPr>
            <w:noProof/>
            <w:webHidden/>
          </w:rPr>
          <w:t>4</w:t>
        </w:r>
        <w:r w:rsidR="002D061C">
          <w:rPr>
            <w:noProof/>
            <w:webHidden/>
          </w:rPr>
          <w:fldChar w:fldCharType="end"/>
        </w:r>
      </w:hyperlink>
    </w:p>
    <w:p w14:paraId="5916C12B" w14:textId="51823E61" w:rsidR="002D061C" w:rsidRDefault="00AB3754">
      <w:pPr>
        <w:pStyle w:val="TOC2"/>
        <w:rPr>
          <w:rFonts w:eastAsiaTheme="minorEastAsia" w:cstheme="minorBidi"/>
          <w:noProof/>
          <w:sz w:val="22"/>
          <w:lang w:eastAsia="en-GB"/>
        </w:rPr>
      </w:pPr>
      <w:hyperlink w:anchor="_Toc123138005" w:history="1">
        <w:r w:rsidR="002D061C" w:rsidRPr="000172F2">
          <w:rPr>
            <w:rStyle w:val="Hyperlink"/>
            <w:noProof/>
            <w:lang w:val="de-DE"/>
          </w:rPr>
          <w:t>1.1</w:t>
        </w:r>
        <w:r w:rsidR="002D061C">
          <w:rPr>
            <w:rFonts w:eastAsiaTheme="minorEastAsia" w:cstheme="minorBidi"/>
            <w:noProof/>
            <w:sz w:val="22"/>
            <w:lang w:eastAsia="en-GB"/>
          </w:rPr>
          <w:tab/>
        </w:r>
        <w:r w:rsidR="002D061C" w:rsidRPr="000172F2">
          <w:rPr>
            <w:rStyle w:val="Hyperlink"/>
            <w:noProof/>
            <w:lang w:val="de-DE"/>
          </w:rPr>
          <w:t>Grundlegendes</w:t>
        </w:r>
        <w:r w:rsidR="002D061C">
          <w:rPr>
            <w:noProof/>
            <w:webHidden/>
          </w:rPr>
          <w:tab/>
        </w:r>
        <w:r w:rsidR="002D061C">
          <w:rPr>
            <w:noProof/>
            <w:webHidden/>
          </w:rPr>
          <w:fldChar w:fldCharType="begin"/>
        </w:r>
        <w:r w:rsidR="002D061C">
          <w:rPr>
            <w:noProof/>
            <w:webHidden/>
          </w:rPr>
          <w:instrText xml:space="preserve"> PAGEREF _Toc123138005 \h </w:instrText>
        </w:r>
        <w:r w:rsidR="002D061C">
          <w:rPr>
            <w:noProof/>
            <w:webHidden/>
          </w:rPr>
        </w:r>
        <w:r w:rsidR="002D061C">
          <w:rPr>
            <w:noProof/>
            <w:webHidden/>
          </w:rPr>
          <w:fldChar w:fldCharType="separate"/>
        </w:r>
        <w:r w:rsidR="002D061C">
          <w:rPr>
            <w:noProof/>
            <w:webHidden/>
          </w:rPr>
          <w:t>4</w:t>
        </w:r>
        <w:r w:rsidR="002D061C">
          <w:rPr>
            <w:noProof/>
            <w:webHidden/>
          </w:rPr>
          <w:fldChar w:fldCharType="end"/>
        </w:r>
      </w:hyperlink>
    </w:p>
    <w:p w14:paraId="58FD61DD" w14:textId="2BB8D9F7" w:rsidR="002D061C" w:rsidRDefault="00AB3754">
      <w:pPr>
        <w:pStyle w:val="TOC2"/>
        <w:rPr>
          <w:rFonts w:eastAsiaTheme="minorEastAsia" w:cstheme="minorBidi"/>
          <w:noProof/>
          <w:sz w:val="22"/>
          <w:lang w:eastAsia="en-GB"/>
        </w:rPr>
      </w:pPr>
      <w:hyperlink w:anchor="_Toc123138006" w:history="1">
        <w:r w:rsidR="002D061C" w:rsidRPr="000172F2">
          <w:rPr>
            <w:rStyle w:val="Hyperlink"/>
            <w:noProof/>
            <w:lang w:val="de-DE"/>
          </w:rPr>
          <w:t>1.2</w:t>
        </w:r>
        <w:r w:rsidR="002D061C">
          <w:rPr>
            <w:rFonts w:eastAsiaTheme="minorEastAsia" w:cstheme="minorBidi"/>
            <w:noProof/>
            <w:sz w:val="22"/>
            <w:lang w:eastAsia="en-GB"/>
          </w:rPr>
          <w:tab/>
        </w:r>
        <w:r w:rsidR="002D061C" w:rsidRPr="000172F2">
          <w:rPr>
            <w:rStyle w:val="Hyperlink"/>
            <w:noProof/>
            <w:lang w:val="de-DE"/>
          </w:rPr>
          <w:t>Struktur</w:t>
        </w:r>
        <w:r w:rsidR="002D061C">
          <w:rPr>
            <w:noProof/>
            <w:webHidden/>
          </w:rPr>
          <w:tab/>
        </w:r>
        <w:r w:rsidR="002D061C">
          <w:rPr>
            <w:noProof/>
            <w:webHidden/>
          </w:rPr>
          <w:fldChar w:fldCharType="begin"/>
        </w:r>
        <w:r w:rsidR="002D061C">
          <w:rPr>
            <w:noProof/>
            <w:webHidden/>
          </w:rPr>
          <w:instrText xml:space="preserve"> PAGEREF _Toc123138006 \h </w:instrText>
        </w:r>
        <w:r w:rsidR="002D061C">
          <w:rPr>
            <w:noProof/>
            <w:webHidden/>
          </w:rPr>
        </w:r>
        <w:r w:rsidR="002D061C">
          <w:rPr>
            <w:noProof/>
            <w:webHidden/>
          </w:rPr>
          <w:fldChar w:fldCharType="separate"/>
        </w:r>
        <w:r w:rsidR="002D061C">
          <w:rPr>
            <w:noProof/>
            <w:webHidden/>
          </w:rPr>
          <w:t>4</w:t>
        </w:r>
        <w:r w:rsidR="002D061C">
          <w:rPr>
            <w:noProof/>
            <w:webHidden/>
          </w:rPr>
          <w:fldChar w:fldCharType="end"/>
        </w:r>
      </w:hyperlink>
    </w:p>
    <w:p w14:paraId="0BA053EC" w14:textId="4B72A043" w:rsidR="002D061C" w:rsidRDefault="00AB3754">
      <w:pPr>
        <w:pStyle w:val="TOC2"/>
        <w:rPr>
          <w:rFonts w:eastAsiaTheme="minorEastAsia" w:cstheme="minorBidi"/>
          <w:noProof/>
          <w:sz w:val="22"/>
          <w:lang w:eastAsia="en-GB"/>
        </w:rPr>
      </w:pPr>
      <w:hyperlink w:anchor="_Toc123138007" w:history="1">
        <w:r w:rsidR="002D061C" w:rsidRPr="000172F2">
          <w:rPr>
            <w:rStyle w:val="Hyperlink"/>
            <w:noProof/>
            <w:lang w:val="de-DE"/>
          </w:rPr>
          <w:t>1.3</w:t>
        </w:r>
        <w:r w:rsidR="002D061C">
          <w:rPr>
            <w:rFonts w:eastAsiaTheme="minorEastAsia" w:cstheme="minorBidi"/>
            <w:noProof/>
            <w:sz w:val="22"/>
            <w:lang w:eastAsia="en-GB"/>
          </w:rPr>
          <w:tab/>
        </w:r>
        <w:r w:rsidR="002D061C" w:rsidRPr="000172F2">
          <w:rPr>
            <w:rStyle w:val="Hyperlink"/>
            <w:noProof/>
            <w:lang w:val="de-DE"/>
          </w:rPr>
          <w:t>Geschäftsbereiche</w:t>
        </w:r>
        <w:r w:rsidR="002D061C">
          <w:rPr>
            <w:noProof/>
            <w:webHidden/>
          </w:rPr>
          <w:tab/>
        </w:r>
        <w:r w:rsidR="002D061C">
          <w:rPr>
            <w:noProof/>
            <w:webHidden/>
          </w:rPr>
          <w:fldChar w:fldCharType="begin"/>
        </w:r>
        <w:r w:rsidR="002D061C">
          <w:rPr>
            <w:noProof/>
            <w:webHidden/>
          </w:rPr>
          <w:instrText xml:space="preserve"> PAGEREF _Toc123138007 \h </w:instrText>
        </w:r>
        <w:r w:rsidR="002D061C">
          <w:rPr>
            <w:noProof/>
            <w:webHidden/>
          </w:rPr>
        </w:r>
        <w:r w:rsidR="002D061C">
          <w:rPr>
            <w:noProof/>
            <w:webHidden/>
          </w:rPr>
          <w:fldChar w:fldCharType="separate"/>
        </w:r>
        <w:r w:rsidR="002D061C">
          <w:rPr>
            <w:noProof/>
            <w:webHidden/>
          </w:rPr>
          <w:t>5</w:t>
        </w:r>
        <w:r w:rsidR="002D061C">
          <w:rPr>
            <w:noProof/>
            <w:webHidden/>
          </w:rPr>
          <w:fldChar w:fldCharType="end"/>
        </w:r>
      </w:hyperlink>
    </w:p>
    <w:p w14:paraId="20C04925" w14:textId="67699FF4" w:rsidR="002D061C" w:rsidRDefault="00AB3754">
      <w:pPr>
        <w:pStyle w:val="TOC2"/>
        <w:rPr>
          <w:rFonts w:eastAsiaTheme="minorEastAsia" w:cstheme="minorBidi"/>
          <w:noProof/>
          <w:sz w:val="22"/>
          <w:lang w:eastAsia="en-GB"/>
        </w:rPr>
      </w:pPr>
      <w:hyperlink w:anchor="_Toc123138008" w:history="1">
        <w:r w:rsidR="002D061C" w:rsidRPr="000172F2">
          <w:rPr>
            <w:rStyle w:val="Hyperlink"/>
            <w:noProof/>
            <w:lang w:val="de-DE"/>
          </w:rPr>
          <w:t>1.4</w:t>
        </w:r>
        <w:r w:rsidR="002D061C">
          <w:rPr>
            <w:rFonts w:eastAsiaTheme="minorEastAsia" w:cstheme="minorBidi"/>
            <w:noProof/>
            <w:sz w:val="22"/>
            <w:lang w:eastAsia="en-GB"/>
          </w:rPr>
          <w:tab/>
        </w:r>
        <w:r w:rsidR="002D061C" w:rsidRPr="000172F2">
          <w:rPr>
            <w:rStyle w:val="Hyperlink"/>
            <w:noProof/>
            <w:lang w:val="de-DE"/>
          </w:rPr>
          <w:t>Grundlegendes zur Offenlegung</w:t>
        </w:r>
        <w:r w:rsidR="002D061C">
          <w:rPr>
            <w:noProof/>
            <w:webHidden/>
          </w:rPr>
          <w:tab/>
        </w:r>
        <w:r w:rsidR="002D061C">
          <w:rPr>
            <w:noProof/>
            <w:webHidden/>
          </w:rPr>
          <w:fldChar w:fldCharType="begin"/>
        </w:r>
        <w:r w:rsidR="002D061C">
          <w:rPr>
            <w:noProof/>
            <w:webHidden/>
          </w:rPr>
          <w:instrText xml:space="preserve"> PAGEREF _Toc123138008 \h </w:instrText>
        </w:r>
        <w:r w:rsidR="002D061C">
          <w:rPr>
            <w:noProof/>
            <w:webHidden/>
          </w:rPr>
        </w:r>
        <w:r w:rsidR="002D061C">
          <w:rPr>
            <w:noProof/>
            <w:webHidden/>
          </w:rPr>
          <w:fldChar w:fldCharType="separate"/>
        </w:r>
        <w:r w:rsidR="002D061C">
          <w:rPr>
            <w:noProof/>
            <w:webHidden/>
          </w:rPr>
          <w:t>6</w:t>
        </w:r>
        <w:r w:rsidR="002D061C">
          <w:rPr>
            <w:noProof/>
            <w:webHidden/>
          </w:rPr>
          <w:fldChar w:fldCharType="end"/>
        </w:r>
      </w:hyperlink>
    </w:p>
    <w:p w14:paraId="0BC2E411" w14:textId="7E0AD8EC" w:rsidR="002D061C" w:rsidRDefault="00AB3754">
      <w:pPr>
        <w:pStyle w:val="TOC1"/>
        <w:rPr>
          <w:rFonts w:eastAsiaTheme="minorEastAsia"/>
          <w:b w:val="0"/>
          <w:noProof/>
          <w:lang w:eastAsia="en-GB"/>
        </w:rPr>
      </w:pPr>
      <w:hyperlink w:anchor="_Toc123138009" w:history="1">
        <w:r w:rsidR="002D061C" w:rsidRPr="000172F2">
          <w:rPr>
            <w:rStyle w:val="Hyperlink"/>
            <w:noProof/>
            <w:lang w:val="de-DE"/>
          </w:rPr>
          <w:t>2</w:t>
        </w:r>
        <w:r w:rsidR="002D061C">
          <w:rPr>
            <w:rFonts w:eastAsiaTheme="minorEastAsia"/>
            <w:b w:val="0"/>
            <w:noProof/>
            <w:lang w:eastAsia="en-GB"/>
          </w:rPr>
          <w:tab/>
        </w:r>
        <w:r w:rsidR="002D061C" w:rsidRPr="000172F2">
          <w:rPr>
            <w:rStyle w:val="Hyperlink"/>
            <w:noProof/>
            <w:lang w:val="de-DE"/>
          </w:rPr>
          <w:t>Risikomanagement (Artikel 47 IFR)</w:t>
        </w:r>
        <w:r w:rsidR="002D061C">
          <w:rPr>
            <w:noProof/>
            <w:webHidden/>
          </w:rPr>
          <w:tab/>
        </w:r>
        <w:r w:rsidR="002D061C">
          <w:rPr>
            <w:noProof/>
            <w:webHidden/>
          </w:rPr>
          <w:fldChar w:fldCharType="begin"/>
        </w:r>
        <w:r w:rsidR="002D061C">
          <w:rPr>
            <w:noProof/>
            <w:webHidden/>
          </w:rPr>
          <w:instrText xml:space="preserve"> PAGEREF _Toc123138009 \h </w:instrText>
        </w:r>
        <w:r w:rsidR="002D061C">
          <w:rPr>
            <w:noProof/>
            <w:webHidden/>
          </w:rPr>
        </w:r>
        <w:r w:rsidR="002D061C">
          <w:rPr>
            <w:noProof/>
            <w:webHidden/>
          </w:rPr>
          <w:fldChar w:fldCharType="separate"/>
        </w:r>
        <w:r w:rsidR="002D061C">
          <w:rPr>
            <w:noProof/>
            <w:webHidden/>
          </w:rPr>
          <w:t>7</w:t>
        </w:r>
        <w:r w:rsidR="002D061C">
          <w:rPr>
            <w:noProof/>
            <w:webHidden/>
          </w:rPr>
          <w:fldChar w:fldCharType="end"/>
        </w:r>
      </w:hyperlink>
    </w:p>
    <w:p w14:paraId="4EB40890" w14:textId="370A8D91" w:rsidR="002D061C" w:rsidRDefault="00AB3754">
      <w:pPr>
        <w:pStyle w:val="TOC2"/>
        <w:rPr>
          <w:rFonts w:eastAsiaTheme="minorEastAsia" w:cstheme="minorBidi"/>
          <w:noProof/>
          <w:sz w:val="22"/>
          <w:lang w:eastAsia="en-GB"/>
        </w:rPr>
      </w:pPr>
      <w:hyperlink w:anchor="_Toc123138010" w:history="1">
        <w:r w:rsidR="002D061C" w:rsidRPr="000172F2">
          <w:rPr>
            <w:rStyle w:val="Hyperlink"/>
            <w:noProof/>
            <w:lang w:val="de-DE"/>
          </w:rPr>
          <w:t>2.1</w:t>
        </w:r>
        <w:r w:rsidR="002D061C">
          <w:rPr>
            <w:rFonts w:eastAsiaTheme="minorEastAsia" w:cstheme="minorBidi"/>
            <w:noProof/>
            <w:sz w:val="22"/>
            <w:lang w:eastAsia="en-GB"/>
          </w:rPr>
          <w:tab/>
        </w:r>
        <w:r w:rsidR="002D061C" w:rsidRPr="000172F2">
          <w:rPr>
            <w:rStyle w:val="Hyperlink"/>
            <w:noProof/>
            <w:lang w:val="de-DE"/>
          </w:rPr>
          <w:t>Übersicht</w:t>
        </w:r>
        <w:r w:rsidR="002D061C">
          <w:rPr>
            <w:noProof/>
            <w:webHidden/>
          </w:rPr>
          <w:tab/>
        </w:r>
        <w:r w:rsidR="002D061C">
          <w:rPr>
            <w:noProof/>
            <w:webHidden/>
          </w:rPr>
          <w:fldChar w:fldCharType="begin"/>
        </w:r>
        <w:r w:rsidR="002D061C">
          <w:rPr>
            <w:noProof/>
            <w:webHidden/>
          </w:rPr>
          <w:instrText xml:space="preserve"> PAGEREF _Toc123138010 \h </w:instrText>
        </w:r>
        <w:r w:rsidR="002D061C">
          <w:rPr>
            <w:noProof/>
            <w:webHidden/>
          </w:rPr>
        </w:r>
        <w:r w:rsidR="002D061C">
          <w:rPr>
            <w:noProof/>
            <w:webHidden/>
          </w:rPr>
          <w:fldChar w:fldCharType="separate"/>
        </w:r>
        <w:r w:rsidR="002D061C">
          <w:rPr>
            <w:noProof/>
            <w:webHidden/>
          </w:rPr>
          <w:t>7</w:t>
        </w:r>
        <w:r w:rsidR="002D061C">
          <w:rPr>
            <w:noProof/>
            <w:webHidden/>
          </w:rPr>
          <w:fldChar w:fldCharType="end"/>
        </w:r>
      </w:hyperlink>
    </w:p>
    <w:p w14:paraId="6BB9527A" w14:textId="3B2A7C93" w:rsidR="002D061C" w:rsidRDefault="00AB3754">
      <w:pPr>
        <w:pStyle w:val="TOC2"/>
        <w:rPr>
          <w:rFonts w:eastAsiaTheme="minorEastAsia" w:cstheme="minorBidi"/>
          <w:noProof/>
          <w:sz w:val="22"/>
          <w:lang w:eastAsia="en-GB"/>
        </w:rPr>
      </w:pPr>
      <w:hyperlink w:anchor="_Toc123138011" w:history="1">
        <w:r w:rsidR="002D061C" w:rsidRPr="000172F2">
          <w:rPr>
            <w:rStyle w:val="Hyperlink"/>
            <w:noProof/>
            <w:lang w:val="de-DE"/>
          </w:rPr>
          <w:t>2.2</w:t>
        </w:r>
        <w:r w:rsidR="002D061C">
          <w:rPr>
            <w:rFonts w:eastAsiaTheme="minorEastAsia" w:cstheme="minorBidi"/>
            <w:noProof/>
            <w:sz w:val="22"/>
            <w:lang w:eastAsia="en-GB"/>
          </w:rPr>
          <w:tab/>
        </w:r>
        <w:r w:rsidR="002D061C" w:rsidRPr="000172F2">
          <w:rPr>
            <w:rStyle w:val="Hyperlink"/>
            <w:noProof/>
            <w:lang w:val="de-DE"/>
          </w:rPr>
          <w:t>Modell der drei Verteidigungslinien</w:t>
        </w:r>
        <w:r w:rsidR="002D061C">
          <w:rPr>
            <w:noProof/>
            <w:webHidden/>
          </w:rPr>
          <w:tab/>
        </w:r>
        <w:r w:rsidR="002D061C">
          <w:rPr>
            <w:noProof/>
            <w:webHidden/>
          </w:rPr>
          <w:fldChar w:fldCharType="begin"/>
        </w:r>
        <w:r w:rsidR="002D061C">
          <w:rPr>
            <w:noProof/>
            <w:webHidden/>
          </w:rPr>
          <w:instrText xml:space="preserve"> PAGEREF _Toc123138011 \h </w:instrText>
        </w:r>
        <w:r w:rsidR="002D061C">
          <w:rPr>
            <w:noProof/>
            <w:webHidden/>
          </w:rPr>
        </w:r>
        <w:r w:rsidR="002D061C">
          <w:rPr>
            <w:noProof/>
            <w:webHidden/>
          </w:rPr>
          <w:fldChar w:fldCharType="separate"/>
        </w:r>
        <w:r w:rsidR="002D061C">
          <w:rPr>
            <w:noProof/>
            <w:webHidden/>
          </w:rPr>
          <w:t>7</w:t>
        </w:r>
        <w:r w:rsidR="002D061C">
          <w:rPr>
            <w:noProof/>
            <w:webHidden/>
          </w:rPr>
          <w:fldChar w:fldCharType="end"/>
        </w:r>
      </w:hyperlink>
    </w:p>
    <w:p w14:paraId="3F9E0E2D" w14:textId="74E17770" w:rsidR="002D061C" w:rsidRDefault="00AB3754">
      <w:pPr>
        <w:pStyle w:val="TOC2"/>
        <w:rPr>
          <w:rFonts w:eastAsiaTheme="minorEastAsia" w:cstheme="minorBidi"/>
          <w:noProof/>
          <w:sz w:val="22"/>
          <w:lang w:eastAsia="en-GB"/>
        </w:rPr>
      </w:pPr>
      <w:hyperlink w:anchor="_Toc123138012" w:history="1">
        <w:r w:rsidR="002D061C" w:rsidRPr="000172F2">
          <w:rPr>
            <w:rStyle w:val="Hyperlink"/>
            <w:noProof/>
            <w:lang w:val="de-DE"/>
          </w:rPr>
          <w:t>2.3</w:t>
        </w:r>
        <w:r w:rsidR="002D061C">
          <w:rPr>
            <w:rFonts w:eastAsiaTheme="minorEastAsia" w:cstheme="minorBidi"/>
            <w:noProof/>
            <w:sz w:val="22"/>
            <w:lang w:eastAsia="en-GB"/>
          </w:rPr>
          <w:tab/>
        </w:r>
        <w:r w:rsidR="002D061C" w:rsidRPr="000172F2">
          <w:rPr>
            <w:rStyle w:val="Hyperlink"/>
            <w:noProof/>
            <w:lang w:val="de-DE"/>
          </w:rPr>
          <w:t>Wesentliche Risiken</w:t>
        </w:r>
        <w:r w:rsidR="002D061C">
          <w:rPr>
            <w:noProof/>
            <w:webHidden/>
          </w:rPr>
          <w:tab/>
        </w:r>
        <w:r w:rsidR="002D061C">
          <w:rPr>
            <w:noProof/>
            <w:webHidden/>
          </w:rPr>
          <w:fldChar w:fldCharType="begin"/>
        </w:r>
        <w:r w:rsidR="002D061C">
          <w:rPr>
            <w:noProof/>
            <w:webHidden/>
          </w:rPr>
          <w:instrText xml:space="preserve"> PAGEREF _Toc123138012 \h </w:instrText>
        </w:r>
        <w:r w:rsidR="002D061C">
          <w:rPr>
            <w:noProof/>
            <w:webHidden/>
          </w:rPr>
        </w:r>
        <w:r w:rsidR="002D061C">
          <w:rPr>
            <w:noProof/>
            <w:webHidden/>
          </w:rPr>
          <w:fldChar w:fldCharType="separate"/>
        </w:r>
        <w:r w:rsidR="002D061C">
          <w:rPr>
            <w:noProof/>
            <w:webHidden/>
          </w:rPr>
          <w:t>8</w:t>
        </w:r>
        <w:r w:rsidR="002D061C">
          <w:rPr>
            <w:noProof/>
            <w:webHidden/>
          </w:rPr>
          <w:fldChar w:fldCharType="end"/>
        </w:r>
      </w:hyperlink>
    </w:p>
    <w:p w14:paraId="2D92B7EE" w14:textId="0515A33B" w:rsidR="002D061C" w:rsidRDefault="00AB3754">
      <w:pPr>
        <w:pStyle w:val="TOC2"/>
        <w:rPr>
          <w:rFonts w:eastAsiaTheme="minorEastAsia" w:cstheme="minorBidi"/>
          <w:noProof/>
          <w:sz w:val="22"/>
          <w:lang w:eastAsia="en-GB"/>
        </w:rPr>
      </w:pPr>
      <w:hyperlink w:anchor="_Toc123138013" w:history="1">
        <w:r w:rsidR="002D061C" w:rsidRPr="000172F2">
          <w:rPr>
            <w:rStyle w:val="Hyperlink"/>
            <w:noProof/>
            <w:lang w:val="de-DE"/>
          </w:rPr>
          <w:t>2.4</w:t>
        </w:r>
        <w:r w:rsidR="002D061C">
          <w:rPr>
            <w:rFonts w:eastAsiaTheme="minorEastAsia" w:cstheme="minorBidi"/>
            <w:noProof/>
            <w:sz w:val="22"/>
            <w:lang w:eastAsia="en-GB"/>
          </w:rPr>
          <w:tab/>
        </w:r>
        <w:r w:rsidR="002D061C" w:rsidRPr="000172F2">
          <w:rPr>
            <w:rStyle w:val="Hyperlink"/>
            <w:noProof/>
            <w:lang w:val="de-DE"/>
          </w:rPr>
          <w:t>Risiko aus Klimawandel</w:t>
        </w:r>
        <w:r w:rsidR="002D061C">
          <w:rPr>
            <w:noProof/>
            <w:webHidden/>
          </w:rPr>
          <w:tab/>
        </w:r>
        <w:r w:rsidR="002D061C">
          <w:rPr>
            <w:noProof/>
            <w:webHidden/>
          </w:rPr>
          <w:fldChar w:fldCharType="begin"/>
        </w:r>
        <w:r w:rsidR="002D061C">
          <w:rPr>
            <w:noProof/>
            <w:webHidden/>
          </w:rPr>
          <w:instrText xml:space="preserve"> PAGEREF _Toc123138013 \h </w:instrText>
        </w:r>
        <w:r w:rsidR="002D061C">
          <w:rPr>
            <w:noProof/>
            <w:webHidden/>
          </w:rPr>
        </w:r>
        <w:r w:rsidR="002D061C">
          <w:rPr>
            <w:noProof/>
            <w:webHidden/>
          </w:rPr>
          <w:fldChar w:fldCharType="separate"/>
        </w:r>
        <w:r w:rsidR="002D061C">
          <w:rPr>
            <w:noProof/>
            <w:webHidden/>
          </w:rPr>
          <w:t>18</w:t>
        </w:r>
        <w:r w:rsidR="002D061C">
          <w:rPr>
            <w:noProof/>
            <w:webHidden/>
          </w:rPr>
          <w:fldChar w:fldCharType="end"/>
        </w:r>
      </w:hyperlink>
    </w:p>
    <w:p w14:paraId="70A6E84B" w14:textId="46114FB8" w:rsidR="002D061C" w:rsidRDefault="00AB3754">
      <w:pPr>
        <w:pStyle w:val="TOC2"/>
        <w:rPr>
          <w:rFonts w:eastAsiaTheme="minorEastAsia" w:cstheme="minorBidi"/>
          <w:noProof/>
          <w:sz w:val="22"/>
          <w:lang w:eastAsia="en-GB"/>
        </w:rPr>
      </w:pPr>
      <w:hyperlink w:anchor="_Toc123138014" w:history="1">
        <w:r w:rsidR="002D061C" w:rsidRPr="000172F2">
          <w:rPr>
            <w:rStyle w:val="Hyperlink"/>
            <w:noProof/>
            <w:lang w:val="de-DE"/>
          </w:rPr>
          <w:t>2.5</w:t>
        </w:r>
        <w:r w:rsidR="002D061C">
          <w:rPr>
            <w:rFonts w:eastAsiaTheme="minorEastAsia" w:cstheme="minorBidi"/>
            <w:noProof/>
            <w:sz w:val="22"/>
            <w:lang w:eastAsia="en-GB"/>
          </w:rPr>
          <w:tab/>
        </w:r>
        <w:r w:rsidR="002D061C" w:rsidRPr="000172F2">
          <w:rPr>
            <w:rStyle w:val="Hyperlink"/>
            <w:noProof/>
            <w:lang w:val="de-DE"/>
          </w:rPr>
          <w:t>Stress Tests</w:t>
        </w:r>
        <w:r w:rsidR="002D061C">
          <w:rPr>
            <w:noProof/>
            <w:webHidden/>
          </w:rPr>
          <w:tab/>
        </w:r>
        <w:r w:rsidR="002D061C">
          <w:rPr>
            <w:noProof/>
            <w:webHidden/>
          </w:rPr>
          <w:fldChar w:fldCharType="begin"/>
        </w:r>
        <w:r w:rsidR="002D061C">
          <w:rPr>
            <w:noProof/>
            <w:webHidden/>
          </w:rPr>
          <w:instrText xml:space="preserve"> PAGEREF _Toc123138014 \h </w:instrText>
        </w:r>
        <w:r w:rsidR="002D061C">
          <w:rPr>
            <w:noProof/>
            <w:webHidden/>
          </w:rPr>
        </w:r>
        <w:r w:rsidR="002D061C">
          <w:rPr>
            <w:noProof/>
            <w:webHidden/>
          </w:rPr>
          <w:fldChar w:fldCharType="separate"/>
        </w:r>
        <w:r w:rsidR="002D061C">
          <w:rPr>
            <w:noProof/>
            <w:webHidden/>
          </w:rPr>
          <w:t>18</w:t>
        </w:r>
        <w:r w:rsidR="002D061C">
          <w:rPr>
            <w:noProof/>
            <w:webHidden/>
          </w:rPr>
          <w:fldChar w:fldCharType="end"/>
        </w:r>
      </w:hyperlink>
    </w:p>
    <w:p w14:paraId="4E2A8659" w14:textId="7DF548DC" w:rsidR="002D061C" w:rsidRDefault="00AB3754">
      <w:pPr>
        <w:pStyle w:val="TOC1"/>
        <w:rPr>
          <w:rFonts w:eastAsiaTheme="minorEastAsia"/>
          <w:b w:val="0"/>
          <w:noProof/>
          <w:lang w:eastAsia="en-GB"/>
        </w:rPr>
      </w:pPr>
      <w:hyperlink w:anchor="_Toc123138015" w:history="1">
        <w:r w:rsidR="002D061C" w:rsidRPr="000172F2">
          <w:rPr>
            <w:rStyle w:val="Hyperlink"/>
            <w:noProof/>
            <w:lang w:val="de-DE"/>
          </w:rPr>
          <w:t>3</w:t>
        </w:r>
        <w:r w:rsidR="002D061C">
          <w:rPr>
            <w:rFonts w:eastAsiaTheme="minorEastAsia"/>
            <w:b w:val="0"/>
            <w:noProof/>
            <w:lang w:eastAsia="en-GB"/>
          </w:rPr>
          <w:tab/>
        </w:r>
        <w:r w:rsidR="002D061C" w:rsidRPr="000172F2">
          <w:rPr>
            <w:rStyle w:val="Hyperlink"/>
            <w:noProof/>
            <w:lang w:val="de-DE"/>
          </w:rPr>
          <w:t>Unternehmensführung (Artikel 48 IFR)</w:t>
        </w:r>
        <w:r w:rsidR="002D061C">
          <w:rPr>
            <w:noProof/>
            <w:webHidden/>
          </w:rPr>
          <w:tab/>
        </w:r>
        <w:r w:rsidR="002D061C">
          <w:rPr>
            <w:noProof/>
            <w:webHidden/>
          </w:rPr>
          <w:fldChar w:fldCharType="begin"/>
        </w:r>
        <w:r w:rsidR="002D061C">
          <w:rPr>
            <w:noProof/>
            <w:webHidden/>
          </w:rPr>
          <w:instrText xml:space="preserve"> PAGEREF _Toc123138015 \h </w:instrText>
        </w:r>
        <w:r w:rsidR="002D061C">
          <w:rPr>
            <w:noProof/>
            <w:webHidden/>
          </w:rPr>
        </w:r>
        <w:r w:rsidR="002D061C">
          <w:rPr>
            <w:noProof/>
            <w:webHidden/>
          </w:rPr>
          <w:fldChar w:fldCharType="separate"/>
        </w:r>
        <w:r w:rsidR="002D061C">
          <w:rPr>
            <w:noProof/>
            <w:webHidden/>
          </w:rPr>
          <w:t>19</w:t>
        </w:r>
        <w:r w:rsidR="002D061C">
          <w:rPr>
            <w:noProof/>
            <w:webHidden/>
          </w:rPr>
          <w:fldChar w:fldCharType="end"/>
        </w:r>
      </w:hyperlink>
    </w:p>
    <w:p w14:paraId="5070DCF9" w14:textId="373B1ED8" w:rsidR="002D061C" w:rsidRDefault="00AB3754">
      <w:pPr>
        <w:pStyle w:val="TOC2"/>
        <w:rPr>
          <w:rFonts w:eastAsiaTheme="minorEastAsia" w:cstheme="minorBidi"/>
          <w:noProof/>
          <w:sz w:val="22"/>
          <w:lang w:eastAsia="en-GB"/>
        </w:rPr>
      </w:pPr>
      <w:hyperlink w:anchor="_Toc123138016" w:history="1">
        <w:r w:rsidR="002D061C" w:rsidRPr="000172F2">
          <w:rPr>
            <w:rStyle w:val="Hyperlink"/>
            <w:noProof/>
            <w:lang w:val="de-DE"/>
          </w:rPr>
          <w:t>3.1</w:t>
        </w:r>
        <w:r w:rsidR="002D061C">
          <w:rPr>
            <w:rFonts w:eastAsiaTheme="minorEastAsia" w:cstheme="minorBidi"/>
            <w:noProof/>
            <w:sz w:val="22"/>
            <w:lang w:eastAsia="en-GB"/>
          </w:rPr>
          <w:tab/>
        </w:r>
        <w:r w:rsidR="002D061C" w:rsidRPr="000172F2">
          <w:rPr>
            <w:rStyle w:val="Hyperlink"/>
            <w:noProof/>
            <w:lang w:val="de-DE"/>
          </w:rPr>
          <w:t>Darstellung der Unternehmensleitung durch die Geschäftsführung</w:t>
        </w:r>
        <w:r w:rsidR="002D061C">
          <w:rPr>
            <w:noProof/>
            <w:webHidden/>
          </w:rPr>
          <w:tab/>
        </w:r>
        <w:r w:rsidR="002D061C">
          <w:rPr>
            <w:noProof/>
            <w:webHidden/>
          </w:rPr>
          <w:fldChar w:fldCharType="begin"/>
        </w:r>
        <w:r w:rsidR="002D061C">
          <w:rPr>
            <w:noProof/>
            <w:webHidden/>
          </w:rPr>
          <w:instrText xml:space="preserve"> PAGEREF _Toc123138016 \h </w:instrText>
        </w:r>
        <w:r w:rsidR="002D061C">
          <w:rPr>
            <w:noProof/>
            <w:webHidden/>
          </w:rPr>
        </w:r>
        <w:r w:rsidR="002D061C">
          <w:rPr>
            <w:noProof/>
            <w:webHidden/>
          </w:rPr>
          <w:fldChar w:fldCharType="separate"/>
        </w:r>
        <w:r w:rsidR="002D061C">
          <w:rPr>
            <w:noProof/>
            <w:webHidden/>
          </w:rPr>
          <w:t>19</w:t>
        </w:r>
        <w:r w:rsidR="002D061C">
          <w:rPr>
            <w:noProof/>
            <w:webHidden/>
          </w:rPr>
          <w:fldChar w:fldCharType="end"/>
        </w:r>
      </w:hyperlink>
    </w:p>
    <w:p w14:paraId="14DA11BA" w14:textId="69555A45" w:rsidR="002D061C" w:rsidRDefault="00AB3754">
      <w:pPr>
        <w:pStyle w:val="TOC2"/>
        <w:rPr>
          <w:rFonts w:eastAsiaTheme="minorEastAsia" w:cstheme="minorBidi"/>
          <w:noProof/>
          <w:sz w:val="22"/>
          <w:lang w:eastAsia="en-GB"/>
        </w:rPr>
      </w:pPr>
      <w:hyperlink w:anchor="_Toc123138017" w:history="1">
        <w:r w:rsidR="002D061C" w:rsidRPr="000172F2">
          <w:rPr>
            <w:rStyle w:val="Hyperlink"/>
            <w:noProof/>
            <w:lang w:val="de-DE"/>
          </w:rPr>
          <w:t>3.2</w:t>
        </w:r>
        <w:r w:rsidR="002D061C">
          <w:rPr>
            <w:rFonts w:eastAsiaTheme="minorEastAsia" w:cstheme="minorBidi"/>
            <w:noProof/>
            <w:sz w:val="22"/>
            <w:lang w:eastAsia="en-GB"/>
          </w:rPr>
          <w:tab/>
        </w:r>
        <w:r w:rsidR="002D061C" w:rsidRPr="000172F2">
          <w:rPr>
            <w:rStyle w:val="Hyperlink"/>
            <w:noProof/>
            <w:lang w:val="de-DE"/>
          </w:rPr>
          <w:t>Interessenskonflikte</w:t>
        </w:r>
        <w:r w:rsidR="002D061C">
          <w:rPr>
            <w:noProof/>
            <w:webHidden/>
          </w:rPr>
          <w:tab/>
        </w:r>
        <w:r w:rsidR="002D061C">
          <w:rPr>
            <w:noProof/>
            <w:webHidden/>
          </w:rPr>
          <w:fldChar w:fldCharType="begin"/>
        </w:r>
        <w:r w:rsidR="002D061C">
          <w:rPr>
            <w:noProof/>
            <w:webHidden/>
          </w:rPr>
          <w:instrText xml:space="preserve"> PAGEREF _Toc123138017 \h </w:instrText>
        </w:r>
        <w:r w:rsidR="002D061C">
          <w:rPr>
            <w:noProof/>
            <w:webHidden/>
          </w:rPr>
        </w:r>
        <w:r w:rsidR="002D061C">
          <w:rPr>
            <w:noProof/>
            <w:webHidden/>
          </w:rPr>
          <w:fldChar w:fldCharType="separate"/>
        </w:r>
        <w:r w:rsidR="002D061C">
          <w:rPr>
            <w:noProof/>
            <w:webHidden/>
          </w:rPr>
          <w:t>20</w:t>
        </w:r>
        <w:r w:rsidR="002D061C">
          <w:rPr>
            <w:noProof/>
            <w:webHidden/>
          </w:rPr>
          <w:fldChar w:fldCharType="end"/>
        </w:r>
      </w:hyperlink>
    </w:p>
    <w:p w14:paraId="0CE6DB2C" w14:textId="75746877" w:rsidR="002D061C" w:rsidRDefault="00AB3754">
      <w:pPr>
        <w:pStyle w:val="TOC2"/>
        <w:rPr>
          <w:rFonts w:eastAsiaTheme="minorEastAsia" w:cstheme="minorBidi"/>
          <w:noProof/>
          <w:sz w:val="22"/>
          <w:lang w:eastAsia="en-GB"/>
        </w:rPr>
      </w:pPr>
      <w:hyperlink w:anchor="_Toc123138018" w:history="1">
        <w:r w:rsidR="002D061C" w:rsidRPr="000172F2">
          <w:rPr>
            <w:rStyle w:val="Hyperlink"/>
            <w:noProof/>
            <w:lang w:val="de-DE"/>
          </w:rPr>
          <w:t>3.3</w:t>
        </w:r>
        <w:r w:rsidR="002D061C">
          <w:rPr>
            <w:rFonts w:eastAsiaTheme="minorEastAsia" w:cstheme="minorBidi"/>
            <w:noProof/>
            <w:sz w:val="22"/>
            <w:lang w:eastAsia="en-GB"/>
          </w:rPr>
          <w:tab/>
        </w:r>
        <w:r w:rsidR="002D061C" w:rsidRPr="000172F2">
          <w:rPr>
            <w:rStyle w:val="Hyperlink"/>
            <w:noProof/>
            <w:lang w:val="de-DE"/>
          </w:rPr>
          <w:t>Diversitäts-Grundsätze</w:t>
        </w:r>
        <w:r w:rsidR="002D061C">
          <w:rPr>
            <w:noProof/>
            <w:webHidden/>
          </w:rPr>
          <w:tab/>
        </w:r>
        <w:r w:rsidR="002D061C">
          <w:rPr>
            <w:noProof/>
            <w:webHidden/>
          </w:rPr>
          <w:fldChar w:fldCharType="begin"/>
        </w:r>
        <w:r w:rsidR="002D061C">
          <w:rPr>
            <w:noProof/>
            <w:webHidden/>
          </w:rPr>
          <w:instrText xml:space="preserve"> PAGEREF _Toc123138018 \h </w:instrText>
        </w:r>
        <w:r w:rsidR="002D061C">
          <w:rPr>
            <w:noProof/>
            <w:webHidden/>
          </w:rPr>
        </w:r>
        <w:r w:rsidR="002D061C">
          <w:rPr>
            <w:noProof/>
            <w:webHidden/>
          </w:rPr>
          <w:fldChar w:fldCharType="separate"/>
        </w:r>
        <w:r w:rsidR="002D061C">
          <w:rPr>
            <w:noProof/>
            <w:webHidden/>
          </w:rPr>
          <w:t>20</w:t>
        </w:r>
        <w:r w:rsidR="002D061C">
          <w:rPr>
            <w:noProof/>
            <w:webHidden/>
          </w:rPr>
          <w:fldChar w:fldCharType="end"/>
        </w:r>
      </w:hyperlink>
    </w:p>
    <w:p w14:paraId="0F72EF38" w14:textId="312A1492" w:rsidR="002D061C" w:rsidRDefault="00AB3754">
      <w:pPr>
        <w:pStyle w:val="TOC1"/>
        <w:rPr>
          <w:rFonts w:eastAsiaTheme="minorEastAsia"/>
          <w:b w:val="0"/>
          <w:noProof/>
          <w:lang w:eastAsia="en-GB"/>
        </w:rPr>
      </w:pPr>
      <w:hyperlink w:anchor="_Toc123138019" w:history="1">
        <w:r w:rsidR="002D061C" w:rsidRPr="000172F2">
          <w:rPr>
            <w:rStyle w:val="Hyperlink"/>
            <w:noProof/>
            <w:lang w:val="de-DE"/>
          </w:rPr>
          <w:t>4</w:t>
        </w:r>
        <w:r w:rsidR="002D061C">
          <w:rPr>
            <w:rFonts w:eastAsiaTheme="minorEastAsia"/>
            <w:b w:val="0"/>
            <w:noProof/>
            <w:lang w:eastAsia="en-GB"/>
          </w:rPr>
          <w:tab/>
        </w:r>
        <w:r w:rsidR="002D061C" w:rsidRPr="000172F2">
          <w:rPr>
            <w:rStyle w:val="Hyperlink"/>
            <w:noProof/>
            <w:lang w:val="de-DE"/>
          </w:rPr>
          <w:t>Eigenmittel (Artikel 49 IFR)</w:t>
        </w:r>
        <w:r w:rsidR="002D061C">
          <w:rPr>
            <w:noProof/>
            <w:webHidden/>
          </w:rPr>
          <w:tab/>
        </w:r>
        <w:r w:rsidR="002D061C">
          <w:rPr>
            <w:noProof/>
            <w:webHidden/>
          </w:rPr>
          <w:fldChar w:fldCharType="begin"/>
        </w:r>
        <w:r w:rsidR="002D061C">
          <w:rPr>
            <w:noProof/>
            <w:webHidden/>
          </w:rPr>
          <w:instrText xml:space="preserve"> PAGEREF _Toc123138019 \h </w:instrText>
        </w:r>
        <w:r w:rsidR="002D061C">
          <w:rPr>
            <w:noProof/>
            <w:webHidden/>
          </w:rPr>
        </w:r>
        <w:r w:rsidR="002D061C">
          <w:rPr>
            <w:noProof/>
            <w:webHidden/>
          </w:rPr>
          <w:fldChar w:fldCharType="separate"/>
        </w:r>
        <w:r w:rsidR="002D061C">
          <w:rPr>
            <w:noProof/>
            <w:webHidden/>
          </w:rPr>
          <w:t>22</w:t>
        </w:r>
        <w:r w:rsidR="002D061C">
          <w:rPr>
            <w:noProof/>
            <w:webHidden/>
          </w:rPr>
          <w:fldChar w:fldCharType="end"/>
        </w:r>
      </w:hyperlink>
    </w:p>
    <w:p w14:paraId="474FEEB7" w14:textId="15E09DDF" w:rsidR="002D061C" w:rsidRDefault="00AB3754">
      <w:pPr>
        <w:pStyle w:val="TOC2"/>
        <w:rPr>
          <w:rFonts w:eastAsiaTheme="minorEastAsia" w:cstheme="minorBidi"/>
          <w:noProof/>
          <w:sz w:val="22"/>
          <w:lang w:eastAsia="en-GB"/>
        </w:rPr>
      </w:pPr>
      <w:hyperlink w:anchor="_Toc123138020" w:history="1">
        <w:r w:rsidR="002D061C" w:rsidRPr="000172F2">
          <w:rPr>
            <w:rStyle w:val="Hyperlink"/>
            <w:noProof/>
            <w:lang w:val="de-DE"/>
          </w:rPr>
          <w:t>4.1</w:t>
        </w:r>
        <w:r w:rsidR="002D061C">
          <w:rPr>
            <w:rFonts w:eastAsiaTheme="minorEastAsia" w:cstheme="minorBidi"/>
            <w:noProof/>
            <w:sz w:val="22"/>
            <w:lang w:eastAsia="en-GB"/>
          </w:rPr>
          <w:tab/>
        </w:r>
        <w:r w:rsidR="002D061C" w:rsidRPr="000172F2">
          <w:rPr>
            <w:rStyle w:val="Hyperlink"/>
            <w:noProof/>
            <w:lang w:val="de-DE"/>
          </w:rPr>
          <w:t>Zusammensetzung der Regulatorischen Eigenmittel</w:t>
        </w:r>
        <w:r w:rsidR="002D061C">
          <w:rPr>
            <w:noProof/>
            <w:webHidden/>
          </w:rPr>
          <w:tab/>
        </w:r>
        <w:r w:rsidR="002D061C">
          <w:rPr>
            <w:noProof/>
            <w:webHidden/>
          </w:rPr>
          <w:fldChar w:fldCharType="begin"/>
        </w:r>
        <w:r w:rsidR="002D061C">
          <w:rPr>
            <w:noProof/>
            <w:webHidden/>
          </w:rPr>
          <w:instrText xml:space="preserve"> PAGEREF _Toc123138020 \h </w:instrText>
        </w:r>
        <w:r w:rsidR="002D061C">
          <w:rPr>
            <w:noProof/>
            <w:webHidden/>
          </w:rPr>
        </w:r>
        <w:r w:rsidR="002D061C">
          <w:rPr>
            <w:noProof/>
            <w:webHidden/>
          </w:rPr>
          <w:fldChar w:fldCharType="separate"/>
        </w:r>
        <w:r w:rsidR="002D061C">
          <w:rPr>
            <w:noProof/>
            <w:webHidden/>
          </w:rPr>
          <w:t>22</w:t>
        </w:r>
        <w:r w:rsidR="002D061C">
          <w:rPr>
            <w:noProof/>
            <w:webHidden/>
          </w:rPr>
          <w:fldChar w:fldCharType="end"/>
        </w:r>
      </w:hyperlink>
    </w:p>
    <w:p w14:paraId="6085C53C" w14:textId="1D027A82" w:rsidR="002D061C" w:rsidRDefault="00AB3754">
      <w:pPr>
        <w:pStyle w:val="TOC2"/>
        <w:rPr>
          <w:rFonts w:eastAsiaTheme="minorEastAsia" w:cstheme="minorBidi"/>
          <w:noProof/>
          <w:sz w:val="22"/>
          <w:lang w:eastAsia="en-GB"/>
        </w:rPr>
      </w:pPr>
      <w:hyperlink w:anchor="_Toc123138021" w:history="1">
        <w:r w:rsidR="002D061C" w:rsidRPr="000172F2">
          <w:rPr>
            <w:rStyle w:val="Hyperlink"/>
            <w:noProof/>
            <w:lang w:val="de-DE"/>
          </w:rPr>
          <w:t>4.2</w:t>
        </w:r>
        <w:r w:rsidR="002D061C">
          <w:rPr>
            <w:rFonts w:eastAsiaTheme="minorEastAsia" w:cstheme="minorBidi"/>
            <w:noProof/>
            <w:sz w:val="22"/>
            <w:lang w:eastAsia="en-GB"/>
          </w:rPr>
          <w:tab/>
        </w:r>
        <w:r w:rsidR="002D061C" w:rsidRPr="000172F2">
          <w:rPr>
            <w:rStyle w:val="Hyperlink"/>
            <w:noProof/>
            <w:lang w:val="de-DE"/>
          </w:rPr>
          <w:t>Abstimmung der Eigenmittel mit der testierten Bilanz</w:t>
        </w:r>
        <w:r w:rsidR="002D061C">
          <w:rPr>
            <w:noProof/>
            <w:webHidden/>
          </w:rPr>
          <w:tab/>
        </w:r>
        <w:r w:rsidR="002D061C">
          <w:rPr>
            <w:noProof/>
            <w:webHidden/>
          </w:rPr>
          <w:fldChar w:fldCharType="begin"/>
        </w:r>
        <w:r w:rsidR="002D061C">
          <w:rPr>
            <w:noProof/>
            <w:webHidden/>
          </w:rPr>
          <w:instrText xml:space="preserve"> PAGEREF _Toc123138021 \h </w:instrText>
        </w:r>
        <w:r w:rsidR="002D061C">
          <w:rPr>
            <w:noProof/>
            <w:webHidden/>
          </w:rPr>
        </w:r>
        <w:r w:rsidR="002D061C">
          <w:rPr>
            <w:noProof/>
            <w:webHidden/>
          </w:rPr>
          <w:fldChar w:fldCharType="separate"/>
        </w:r>
        <w:r w:rsidR="002D061C">
          <w:rPr>
            <w:noProof/>
            <w:webHidden/>
          </w:rPr>
          <w:t>24</w:t>
        </w:r>
        <w:r w:rsidR="002D061C">
          <w:rPr>
            <w:noProof/>
            <w:webHidden/>
          </w:rPr>
          <w:fldChar w:fldCharType="end"/>
        </w:r>
      </w:hyperlink>
    </w:p>
    <w:p w14:paraId="06EC7813" w14:textId="517BB4DC" w:rsidR="002D061C" w:rsidRDefault="00AB3754">
      <w:pPr>
        <w:pStyle w:val="TOC2"/>
        <w:rPr>
          <w:rFonts w:eastAsiaTheme="minorEastAsia" w:cstheme="minorBidi"/>
          <w:noProof/>
          <w:sz w:val="22"/>
          <w:lang w:eastAsia="en-GB"/>
        </w:rPr>
      </w:pPr>
      <w:hyperlink w:anchor="_Toc123138022" w:history="1">
        <w:r w:rsidR="002D061C" w:rsidRPr="000172F2">
          <w:rPr>
            <w:rStyle w:val="Hyperlink"/>
            <w:noProof/>
            <w:lang w:val="de-DE"/>
          </w:rPr>
          <w:t>4.3</w:t>
        </w:r>
        <w:r w:rsidR="002D061C">
          <w:rPr>
            <w:rFonts w:eastAsiaTheme="minorEastAsia" w:cstheme="minorBidi"/>
            <w:noProof/>
            <w:sz w:val="22"/>
            <w:lang w:eastAsia="en-GB"/>
          </w:rPr>
          <w:tab/>
        </w:r>
        <w:r w:rsidR="002D061C" w:rsidRPr="000172F2">
          <w:rPr>
            <w:rStyle w:val="Hyperlink"/>
            <w:noProof/>
            <w:lang w:val="de-DE"/>
          </w:rPr>
          <w:t>Hauptmerkmale der Eigenmittel der DCMD</w:t>
        </w:r>
        <w:r w:rsidR="002D061C">
          <w:rPr>
            <w:noProof/>
            <w:webHidden/>
          </w:rPr>
          <w:tab/>
        </w:r>
        <w:r w:rsidR="002D061C">
          <w:rPr>
            <w:noProof/>
            <w:webHidden/>
          </w:rPr>
          <w:fldChar w:fldCharType="begin"/>
        </w:r>
        <w:r w:rsidR="002D061C">
          <w:rPr>
            <w:noProof/>
            <w:webHidden/>
          </w:rPr>
          <w:instrText xml:space="preserve"> PAGEREF _Toc123138022 \h </w:instrText>
        </w:r>
        <w:r w:rsidR="002D061C">
          <w:rPr>
            <w:noProof/>
            <w:webHidden/>
          </w:rPr>
        </w:r>
        <w:r w:rsidR="002D061C">
          <w:rPr>
            <w:noProof/>
            <w:webHidden/>
          </w:rPr>
          <w:fldChar w:fldCharType="separate"/>
        </w:r>
        <w:r w:rsidR="002D061C">
          <w:rPr>
            <w:noProof/>
            <w:webHidden/>
          </w:rPr>
          <w:t>25</w:t>
        </w:r>
        <w:r w:rsidR="002D061C">
          <w:rPr>
            <w:noProof/>
            <w:webHidden/>
          </w:rPr>
          <w:fldChar w:fldCharType="end"/>
        </w:r>
      </w:hyperlink>
    </w:p>
    <w:p w14:paraId="38C72C3F" w14:textId="4BBAE576" w:rsidR="002D061C" w:rsidRDefault="00AB3754">
      <w:pPr>
        <w:pStyle w:val="TOC1"/>
        <w:rPr>
          <w:rFonts w:eastAsiaTheme="minorEastAsia"/>
          <w:b w:val="0"/>
          <w:noProof/>
          <w:lang w:eastAsia="en-GB"/>
        </w:rPr>
      </w:pPr>
      <w:hyperlink w:anchor="_Toc123138023" w:history="1">
        <w:r w:rsidR="002D061C" w:rsidRPr="000172F2">
          <w:rPr>
            <w:rStyle w:val="Hyperlink"/>
            <w:noProof/>
            <w:lang w:val="de-DE"/>
          </w:rPr>
          <w:t>5</w:t>
        </w:r>
        <w:r w:rsidR="002D061C">
          <w:rPr>
            <w:rFonts w:eastAsiaTheme="minorEastAsia"/>
            <w:b w:val="0"/>
            <w:noProof/>
            <w:lang w:eastAsia="en-GB"/>
          </w:rPr>
          <w:tab/>
        </w:r>
        <w:r w:rsidR="002D061C" w:rsidRPr="000172F2">
          <w:rPr>
            <w:rStyle w:val="Hyperlink"/>
            <w:noProof/>
            <w:lang w:val="de-DE"/>
          </w:rPr>
          <w:t>Eigenmittelanforderungen (Artikel 50 IFR)</w:t>
        </w:r>
        <w:r w:rsidR="002D061C">
          <w:rPr>
            <w:noProof/>
            <w:webHidden/>
          </w:rPr>
          <w:tab/>
        </w:r>
        <w:r w:rsidR="002D061C">
          <w:rPr>
            <w:noProof/>
            <w:webHidden/>
          </w:rPr>
          <w:fldChar w:fldCharType="begin"/>
        </w:r>
        <w:r w:rsidR="002D061C">
          <w:rPr>
            <w:noProof/>
            <w:webHidden/>
          </w:rPr>
          <w:instrText xml:space="preserve"> PAGEREF _Toc123138023 \h </w:instrText>
        </w:r>
        <w:r w:rsidR="002D061C">
          <w:rPr>
            <w:noProof/>
            <w:webHidden/>
          </w:rPr>
        </w:r>
        <w:r w:rsidR="002D061C">
          <w:rPr>
            <w:noProof/>
            <w:webHidden/>
          </w:rPr>
          <w:fldChar w:fldCharType="separate"/>
        </w:r>
        <w:r w:rsidR="002D061C">
          <w:rPr>
            <w:noProof/>
            <w:webHidden/>
          </w:rPr>
          <w:t>27</w:t>
        </w:r>
        <w:r w:rsidR="002D061C">
          <w:rPr>
            <w:noProof/>
            <w:webHidden/>
          </w:rPr>
          <w:fldChar w:fldCharType="end"/>
        </w:r>
      </w:hyperlink>
    </w:p>
    <w:p w14:paraId="4BF94155" w14:textId="00D4CE6E" w:rsidR="002D061C" w:rsidRDefault="00AB3754">
      <w:pPr>
        <w:pStyle w:val="TOC2"/>
        <w:rPr>
          <w:rFonts w:eastAsiaTheme="minorEastAsia" w:cstheme="minorBidi"/>
          <w:noProof/>
          <w:sz w:val="22"/>
          <w:lang w:eastAsia="en-GB"/>
        </w:rPr>
      </w:pPr>
      <w:hyperlink w:anchor="_Toc123138024" w:history="1">
        <w:r w:rsidR="002D061C" w:rsidRPr="000172F2">
          <w:rPr>
            <w:rStyle w:val="Hyperlink"/>
            <w:noProof/>
            <w:lang w:val="de-DE"/>
          </w:rPr>
          <w:t>5.1</w:t>
        </w:r>
        <w:r w:rsidR="002D061C">
          <w:rPr>
            <w:rFonts w:eastAsiaTheme="minorEastAsia" w:cstheme="minorBidi"/>
            <w:noProof/>
            <w:sz w:val="22"/>
            <w:lang w:eastAsia="en-GB"/>
          </w:rPr>
          <w:tab/>
        </w:r>
        <w:r w:rsidR="002D061C" w:rsidRPr="000172F2">
          <w:rPr>
            <w:rStyle w:val="Hyperlink"/>
            <w:noProof/>
            <w:lang w:val="de-DE"/>
          </w:rPr>
          <w:t>Ansatz zur Beurteilung der Angemessenheit der Eigenmittel</w:t>
        </w:r>
        <w:r w:rsidR="002D061C">
          <w:rPr>
            <w:noProof/>
            <w:webHidden/>
          </w:rPr>
          <w:tab/>
        </w:r>
        <w:r w:rsidR="002D061C">
          <w:rPr>
            <w:noProof/>
            <w:webHidden/>
          </w:rPr>
          <w:fldChar w:fldCharType="begin"/>
        </w:r>
        <w:r w:rsidR="002D061C">
          <w:rPr>
            <w:noProof/>
            <w:webHidden/>
          </w:rPr>
          <w:instrText xml:space="preserve"> PAGEREF _Toc123138024 \h </w:instrText>
        </w:r>
        <w:r w:rsidR="002D061C">
          <w:rPr>
            <w:noProof/>
            <w:webHidden/>
          </w:rPr>
        </w:r>
        <w:r w:rsidR="002D061C">
          <w:rPr>
            <w:noProof/>
            <w:webHidden/>
          </w:rPr>
          <w:fldChar w:fldCharType="separate"/>
        </w:r>
        <w:r w:rsidR="002D061C">
          <w:rPr>
            <w:noProof/>
            <w:webHidden/>
          </w:rPr>
          <w:t>27</w:t>
        </w:r>
        <w:r w:rsidR="002D061C">
          <w:rPr>
            <w:noProof/>
            <w:webHidden/>
          </w:rPr>
          <w:fldChar w:fldCharType="end"/>
        </w:r>
      </w:hyperlink>
    </w:p>
    <w:p w14:paraId="344C288E" w14:textId="5021E320" w:rsidR="002D061C" w:rsidRDefault="00AB3754">
      <w:pPr>
        <w:pStyle w:val="TOC2"/>
        <w:rPr>
          <w:rFonts w:eastAsiaTheme="minorEastAsia" w:cstheme="minorBidi"/>
          <w:noProof/>
          <w:sz w:val="22"/>
          <w:lang w:eastAsia="en-GB"/>
        </w:rPr>
      </w:pPr>
      <w:hyperlink w:anchor="_Toc123138025" w:history="1">
        <w:r w:rsidR="002D061C" w:rsidRPr="000172F2">
          <w:rPr>
            <w:rStyle w:val="Hyperlink"/>
            <w:noProof/>
            <w:lang w:val="de-DE"/>
          </w:rPr>
          <w:t>5.2</w:t>
        </w:r>
        <w:r w:rsidR="002D061C">
          <w:rPr>
            <w:rFonts w:eastAsiaTheme="minorEastAsia" w:cstheme="minorBidi"/>
            <w:noProof/>
            <w:sz w:val="22"/>
            <w:lang w:eastAsia="en-GB"/>
          </w:rPr>
          <w:tab/>
        </w:r>
        <w:r w:rsidR="002D061C" w:rsidRPr="000172F2">
          <w:rPr>
            <w:rStyle w:val="Hyperlink"/>
            <w:noProof/>
            <w:lang w:val="de-DE"/>
          </w:rPr>
          <w:t>Anforderungen aus K-Faktoren und fixen Gemeinkosten</w:t>
        </w:r>
        <w:r w:rsidR="002D061C">
          <w:rPr>
            <w:noProof/>
            <w:webHidden/>
          </w:rPr>
          <w:tab/>
        </w:r>
        <w:r w:rsidR="002D061C">
          <w:rPr>
            <w:noProof/>
            <w:webHidden/>
          </w:rPr>
          <w:fldChar w:fldCharType="begin"/>
        </w:r>
        <w:r w:rsidR="002D061C">
          <w:rPr>
            <w:noProof/>
            <w:webHidden/>
          </w:rPr>
          <w:instrText xml:space="preserve"> PAGEREF _Toc123138025 \h </w:instrText>
        </w:r>
        <w:r w:rsidR="002D061C">
          <w:rPr>
            <w:noProof/>
            <w:webHidden/>
          </w:rPr>
        </w:r>
        <w:r w:rsidR="002D061C">
          <w:rPr>
            <w:noProof/>
            <w:webHidden/>
          </w:rPr>
          <w:fldChar w:fldCharType="separate"/>
        </w:r>
        <w:r w:rsidR="002D061C">
          <w:rPr>
            <w:noProof/>
            <w:webHidden/>
          </w:rPr>
          <w:t>29</w:t>
        </w:r>
        <w:r w:rsidR="002D061C">
          <w:rPr>
            <w:noProof/>
            <w:webHidden/>
          </w:rPr>
          <w:fldChar w:fldCharType="end"/>
        </w:r>
      </w:hyperlink>
    </w:p>
    <w:p w14:paraId="68BC9EC8" w14:textId="233D6498" w:rsidR="002D061C" w:rsidRDefault="00AB3754">
      <w:pPr>
        <w:pStyle w:val="TOC1"/>
        <w:rPr>
          <w:rFonts w:eastAsiaTheme="minorEastAsia"/>
          <w:b w:val="0"/>
          <w:noProof/>
          <w:lang w:eastAsia="en-GB"/>
        </w:rPr>
      </w:pPr>
      <w:hyperlink w:anchor="_Toc123138026" w:history="1">
        <w:r w:rsidR="002D061C" w:rsidRPr="000172F2">
          <w:rPr>
            <w:rStyle w:val="Hyperlink"/>
            <w:noProof/>
            <w:lang w:val="de-DE"/>
          </w:rPr>
          <w:t>6</w:t>
        </w:r>
        <w:r w:rsidR="002D061C">
          <w:rPr>
            <w:rFonts w:eastAsiaTheme="minorEastAsia"/>
            <w:b w:val="0"/>
            <w:noProof/>
            <w:lang w:eastAsia="en-GB"/>
          </w:rPr>
          <w:tab/>
        </w:r>
        <w:r w:rsidR="002D061C" w:rsidRPr="000172F2">
          <w:rPr>
            <w:rStyle w:val="Hyperlink"/>
            <w:noProof/>
            <w:lang w:val="de-DE"/>
          </w:rPr>
          <w:t>Vergütungspolitik und -praxis (Artikel 51 IFR)</w:t>
        </w:r>
        <w:r w:rsidR="002D061C">
          <w:rPr>
            <w:noProof/>
            <w:webHidden/>
          </w:rPr>
          <w:tab/>
        </w:r>
        <w:r w:rsidR="002D061C">
          <w:rPr>
            <w:noProof/>
            <w:webHidden/>
          </w:rPr>
          <w:fldChar w:fldCharType="begin"/>
        </w:r>
        <w:r w:rsidR="002D061C">
          <w:rPr>
            <w:noProof/>
            <w:webHidden/>
          </w:rPr>
          <w:instrText xml:space="preserve"> PAGEREF _Toc123138026 \h </w:instrText>
        </w:r>
        <w:r w:rsidR="002D061C">
          <w:rPr>
            <w:noProof/>
            <w:webHidden/>
          </w:rPr>
        </w:r>
        <w:r w:rsidR="002D061C">
          <w:rPr>
            <w:noProof/>
            <w:webHidden/>
          </w:rPr>
          <w:fldChar w:fldCharType="separate"/>
        </w:r>
        <w:r w:rsidR="002D061C">
          <w:rPr>
            <w:noProof/>
            <w:webHidden/>
          </w:rPr>
          <w:t>30</w:t>
        </w:r>
        <w:r w:rsidR="002D061C">
          <w:rPr>
            <w:noProof/>
            <w:webHidden/>
          </w:rPr>
          <w:fldChar w:fldCharType="end"/>
        </w:r>
      </w:hyperlink>
    </w:p>
    <w:p w14:paraId="27245EA3" w14:textId="1AE1D5A3" w:rsidR="002D061C" w:rsidRDefault="00AB3754">
      <w:pPr>
        <w:pStyle w:val="TOC2"/>
        <w:rPr>
          <w:rFonts w:eastAsiaTheme="minorEastAsia" w:cstheme="minorBidi"/>
          <w:noProof/>
          <w:sz w:val="22"/>
          <w:lang w:eastAsia="en-GB"/>
        </w:rPr>
      </w:pPr>
      <w:hyperlink w:anchor="_Toc123138027" w:history="1">
        <w:r w:rsidR="002D061C" w:rsidRPr="000172F2">
          <w:rPr>
            <w:rStyle w:val="Hyperlink"/>
            <w:noProof/>
            <w:lang w:val="de-DE"/>
          </w:rPr>
          <w:t>6.1</w:t>
        </w:r>
        <w:r w:rsidR="002D061C">
          <w:rPr>
            <w:rFonts w:eastAsiaTheme="minorEastAsia" w:cstheme="minorBidi"/>
            <w:noProof/>
            <w:sz w:val="22"/>
            <w:lang w:eastAsia="en-GB"/>
          </w:rPr>
          <w:tab/>
        </w:r>
        <w:r w:rsidR="002D061C" w:rsidRPr="000172F2">
          <w:rPr>
            <w:rStyle w:val="Hyperlink"/>
            <w:noProof/>
            <w:lang w:val="de-DE"/>
          </w:rPr>
          <w:t>Grundsätzliches zur Offenlegung</w:t>
        </w:r>
        <w:r w:rsidR="002D061C">
          <w:rPr>
            <w:noProof/>
            <w:webHidden/>
          </w:rPr>
          <w:tab/>
        </w:r>
        <w:r w:rsidR="002D061C">
          <w:rPr>
            <w:noProof/>
            <w:webHidden/>
          </w:rPr>
          <w:fldChar w:fldCharType="begin"/>
        </w:r>
        <w:r w:rsidR="002D061C">
          <w:rPr>
            <w:noProof/>
            <w:webHidden/>
          </w:rPr>
          <w:instrText xml:space="preserve"> PAGEREF _Toc123138027 \h </w:instrText>
        </w:r>
        <w:r w:rsidR="002D061C">
          <w:rPr>
            <w:noProof/>
            <w:webHidden/>
          </w:rPr>
        </w:r>
        <w:r w:rsidR="002D061C">
          <w:rPr>
            <w:noProof/>
            <w:webHidden/>
          </w:rPr>
          <w:fldChar w:fldCharType="separate"/>
        </w:r>
        <w:r w:rsidR="002D061C">
          <w:rPr>
            <w:noProof/>
            <w:webHidden/>
          </w:rPr>
          <w:t>30</w:t>
        </w:r>
        <w:r w:rsidR="002D061C">
          <w:rPr>
            <w:noProof/>
            <w:webHidden/>
          </w:rPr>
          <w:fldChar w:fldCharType="end"/>
        </w:r>
      </w:hyperlink>
    </w:p>
    <w:p w14:paraId="394F4FFC" w14:textId="2F0C6CEB" w:rsidR="002D061C" w:rsidRDefault="00AB3754">
      <w:pPr>
        <w:pStyle w:val="TOC2"/>
        <w:rPr>
          <w:rFonts w:eastAsiaTheme="minorEastAsia" w:cstheme="minorBidi"/>
          <w:noProof/>
          <w:sz w:val="22"/>
          <w:lang w:eastAsia="en-GB"/>
        </w:rPr>
      </w:pPr>
      <w:hyperlink w:anchor="_Toc123138028" w:history="1">
        <w:r w:rsidR="002D061C" w:rsidRPr="000172F2">
          <w:rPr>
            <w:rStyle w:val="Hyperlink"/>
            <w:noProof/>
            <w:lang w:val="de-DE"/>
          </w:rPr>
          <w:t>6.2</w:t>
        </w:r>
        <w:r w:rsidR="002D061C">
          <w:rPr>
            <w:rFonts w:eastAsiaTheme="minorEastAsia" w:cstheme="minorBidi"/>
            <w:noProof/>
            <w:sz w:val="22"/>
            <w:lang w:eastAsia="en-GB"/>
          </w:rPr>
          <w:tab/>
        </w:r>
        <w:r w:rsidR="002D061C" w:rsidRPr="000172F2">
          <w:rPr>
            <w:rStyle w:val="Hyperlink"/>
            <w:noProof/>
            <w:lang w:val="de-DE"/>
          </w:rPr>
          <w:t>Vergütungsstrategie</w:t>
        </w:r>
        <w:r w:rsidR="002D061C">
          <w:rPr>
            <w:noProof/>
            <w:webHidden/>
          </w:rPr>
          <w:tab/>
        </w:r>
        <w:r w:rsidR="002D061C">
          <w:rPr>
            <w:noProof/>
            <w:webHidden/>
          </w:rPr>
          <w:fldChar w:fldCharType="begin"/>
        </w:r>
        <w:r w:rsidR="002D061C">
          <w:rPr>
            <w:noProof/>
            <w:webHidden/>
          </w:rPr>
          <w:instrText xml:space="preserve"> PAGEREF _Toc123138028 \h </w:instrText>
        </w:r>
        <w:r w:rsidR="002D061C">
          <w:rPr>
            <w:noProof/>
            <w:webHidden/>
          </w:rPr>
        </w:r>
        <w:r w:rsidR="002D061C">
          <w:rPr>
            <w:noProof/>
            <w:webHidden/>
          </w:rPr>
          <w:fldChar w:fldCharType="separate"/>
        </w:r>
        <w:r w:rsidR="002D061C">
          <w:rPr>
            <w:noProof/>
            <w:webHidden/>
          </w:rPr>
          <w:t>30</w:t>
        </w:r>
        <w:r w:rsidR="002D061C">
          <w:rPr>
            <w:noProof/>
            <w:webHidden/>
          </w:rPr>
          <w:fldChar w:fldCharType="end"/>
        </w:r>
      </w:hyperlink>
    </w:p>
    <w:p w14:paraId="32BC35F0" w14:textId="4EC6A818" w:rsidR="002D061C" w:rsidRDefault="00AB3754">
      <w:pPr>
        <w:pStyle w:val="TOC2"/>
        <w:rPr>
          <w:rFonts w:eastAsiaTheme="minorEastAsia" w:cstheme="minorBidi"/>
          <w:noProof/>
          <w:sz w:val="22"/>
          <w:lang w:eastAsia="en-GB"/>
        </w:rPr>
      </w:pPr>
      <w:hyperlink w:anchor="_Toc123138029" w:history="1">
        <w:r w:rsidR="002D061C" w:rsidRPr="000172F2">
          <w:rPr>
            <w:rStyle w:val="Hyperlink"/>
            <w:noProof/>
            <w:lang w:val="de-DE"/>
          </w:rPr>
          <w:t>6.3</w:t>
        </w:r>
        <w:r w:rsidR="002D061C">
          <w:rPr>
            <w:rFonts w:eastAsiaTheme="minorEastAsia" w:cstheme="minorBidi"/>
            <w:noProof/>
            <w:sz w:val="22"/>
            <w:lang w:eastAsia="en-GB"/>
          </w:rPr>
          <w:tab/>
        </w:r>
        <w:r w:rsidR="002D061C" w:rsidRPr="000172F2">
          <w:rPr>
            <w:rStyle w:val="Hyperlink"/>
            <w:noProof/>
            <w:lang w:val="de-DE"/>
          </w:rPr>
          <w:t>Steuerung und Zuständigkeit</w:t>
        </w:r>
        <w:r w:rsidR="002D061C">
          <w:rPr>
            <w:noProof/>
            <w:webHidden/>
          </w:rPr>
          <w:tab/>
        </w:r>
        <w:r w:rsidR="002D061C">
          <w:rPr>
            <w:noProof/>
            <w:webHidden/>
          </w:rPr>
          <w:fldChar w:fldCharType="begin"/>
        </w:r>
        <w:r w:rsidR="002D061C">
          <w:rPr>
            <w:noProof/>
            <w:webHidden/>
          </w:rPr>
          <w:instrText xml:space="preserve"> PAGEREF _Toc123138029 \h </w:instrText>
        </w:r>
        <w:r w:rsidR="002D061C">
          <w:rPr>
            <w:noProof/>
            <w:webHidden/>
          </w:rPr>
        </w:r>
        <w:r w:rsidR="002D061C">
          <w:rPr>
            <w:noProof/>
            <w:webHidden/>
          </w:rPr>
          <w:fldChar w:fldCharType="separate"/>
        </w:r>
        <w:r w:rsidR="002D061C">
          <w:rPr>
            <w:noProof/>
            <w:webHidden/>
          </w:rPr>
          <w:t>31</w:t>
        </w:r>
        <w:r w:rsidR="002D061C">
          <w:rPr>
            <w:noProof/>
            <w:webHidden/>
          </w:rPr>
          <w:fldChar w:fldCharType="end"/>
        </w:r>
      </w:hyperlink>
    </w:p>
    <w:p w14:paraId="796E0549" w14:textId="7AA71B49" w:rsidR="002D061C" w:rsidRDefault="00AB3754">
      <w:pPr>
        <w:pStyle w:val="TOC2"/>
        <w:rPr>
          <w:rFonts w:eastAsiaTheme="minorEastAsia" w:cstheme="minorBidi"/>
          <w:noProof/>
          <w:sz w:val="22"/>
          <w:lang w:eastAsia="en-GB"/>
        </w:rPr>
      </w:pPr>
      <w:hyperlink w:anchor="_Toc123138030" w:history="1">
        <w:r w:rsidR="002D061C" w:rsidRPr="000172F2">
          <w:rPr>
            <w:rStyle w:val="Hyperlink"/>
            <w:noProof/>
            <w:lang w:val="de-DE"/>
          </w:rPr>
          <w:t>6.4</w:t>
        </w:r>
        <w:r w:rsidR="002D061C">
          <w:rPr>
            <w:rFonts w:eastAsiaTheme="minorEastAsia" w:cstheme="minorBidi"/>
            <w:noProof/>
            <w:sz w:val="22"/>
            <w:lang w:eastAsia="en-GB"/>
          </w:rPr>
          <w:tab/>
        </w:r>
        <w:r w:rsidR="002D061C" w:rsidRPr="000172F2">
          <w:rPr>
            <w:rStyle w:val="Hyperlink"/>
            <w:noProof/>
            <w:lang w:val="de-DE"/>
          </w:rPr>
          <w:t>Kontrollfunktionen</w:t>
        </w:r>
        <w:r w:rsidR="002D061C">
          <w:rPr>
            <w:noProof/>
            <w:webHidden/>
          </w:rPr>
          <w:tab/>
        </w:r>
        <w:r w:rsidR="002D061C">
          <w:rPr>
            <w:noProof/>
            <w:webHidden/>
          </w:rPr>
          <w:fldChar w:fldCharType="begin"/>
        </w:r>
        <w:r w:rsidR="002D061C">
          <w:rPr>
            <w:noProof/>
            <w:webHidden/>
          </w:rPr>
          <w:instrText xml:space="preserve"> PAGEREF _Toc123138030 \h </w:instrText>
        </w:r>
        <w:r w:rsidR="002D061C">
          <w:rPr>
            <w:noProof/>
            <w:webHidden/>
          </w:rPr>
        </w:r>
        <w:r w:rsidR="002D061C">
          <w:rPr>
            <w:noProof/>
            <w:webHidden/>
          </w:rPr>
          <w:fldChar w:fldCharType="separate"/>
        </w:r>
        <w:r w:rsidR="002D061C">
          <w:rPr>
            <w:noProof/>
            <w:webHidden/>
          </w:rPr>
          <w:t>31</w:t>
        </w:r>
        <w:r w:rsidR="002D061C">
          <w:rPr>
            <w:noProof/>
            <w:webHidden/>
          </w:rPr>
          <w:fldChar w:fldCharType="end"/>
        </w:r>
      </w:hyperlink>
    </w:p>
    <w:p w14:paraId="0CCDBE34" w14:textId="1D60CCF9" w:rsidR="002D061C" w:rsidRDefault="00AB3754">
      <w:pPr>
        <w:pStyle w:val="TOC2"/>
        <w:rPr>
          <w:rFonts w:eastAsiaTheme="minorEastAsia" w:cstheme="minorBidi"/>
          <w:noProof/>
          <w:sz w:val="22"/>
          <w:lang w:eastAsia="en-GB"/>
        </w:rPr>
      </w:pPr>
      <w:hyperlink w:anchor="_Toc123138031" w:history="1">
        <w:r w:rsidR="002D061C" w:rsidRPr="000172F2">
          <w:rPr>
            <w:rStyle w:val="Hyperlink"/>
            <w:noProof/>
            <w:lang w:val="de-DE"/>
          </w:rPr>
          <w:t>6.5</w:t>
        </w:r>
        <w:r w:rsidR="002D061C">
          <w:rPr>
            <w:rFonts w:eastAsiaTheme="minorEastAsia" w:cstheme="minorBidi"/>
            <w:noProof/>
            <w:sz w:val="22"/>
            <w:lang w:eastAsia="en-GB"/>
          </w:rPr>
          <w:tab/>
        </w:r>
        <w:r w:rsidR="002D061C" w:rsidRPr="000172F2">
          <w:rPr>
            <w:rStyle w:val="Hyperlink"/>
            <w:noProof/>
            <w:lang w:val="de-DE"/>
          </w:rPr>
          <w:t>Risikoträger</w:t>
        </w:r>
        <w:r w:rsidR="002D061C">
          <w:rPr>
            <w:noProof/>
            <w:webHidden/>
          </w:rPr>
          <w:tab/>
        </w:r>
        <w:r w:rsidR="002D061C">
          <w:rPr>
            <w:noProof/>
            <w:webHidden/>
          </w:rPr>
          <w:fldChar w:fldCharType="begin"/>
        </w:r>
        <w:r w:rsidR="002D061C">
          <w:rPr>
            <w:noProof/>
            <w:webHidden/>
          </w:rPr>
          <w:instrText xml:space="preserve"> PAGEREF _Toc123138031 \h </w:instrText>
        </w:r>
        <w:r w:rsidR="002D061C">
          <w:rPr>
            <w:noProof/>
            <w:webHidden/>
          </w:rPr>
        </w:r>
        <w:r w:rsidR="002D061C">
          <w:rPr>
            <w:noProof/>
            <w:webHidden/>
          </w:rPr>
          <w:fldChar w:fldCharType="separate"/>
        </w:r>
        <w:r w:rsidR="002D061C">
          <w:rPr>
            <w:noProof/>
            <w:webHidden/>
          </w:rPr>
          <w:t>32</w:t>
        </w:r>
        <w:r w:rsidR="002D061C">
          <w:rPr>
            <w:noProof/>
            <w:webHidden/>
          </w:rPr>
          <w:fldChar w:fldCharType="end"/>
        </w:r>
      </w:hyperlink>
    </w:p>
    <w:p w14:paraId="4C068DF5" w14:textId="2F6C3152" w:rsidR="002D061C" w:rsidRDefault="00AB3754">
      <w:pPr>
        <w:pStyle w:val="TOC2"/>
        <w:rPr>
          <w:rFonts w:eastAsiaTheme="minorEastAsia" w:cstheme="minorBidi"/>
          <w:noProof/>
          <w:sz w:val="22"/>
          <w:lang w:eastAsia="en-GB"/>
        </w:rPr>
      </w:pPr>
      <w:hyperlink w:anchor="_Toc123138032" w:history="1">
        <w:r w:rsidR="002D061C" w:rsidRPr="000172F2">
          <w:rPr>
            <w:rStyle w:val="Hyperlink"/>
            <w:noProof/>
            <w:lang w:val="de-DE"/>
          </w:rPr>
          <w:t>6.6</w:t>
        </w:r>
        <w:r w:rsidR="002D061C">
          <w:rPr>
            <w:rFonts w:eastAsiaTheme="minorEastAsia" w:cstheme="minorBidi"/>
            <w:noProof/>
            <w:sz w:val="22"/>
            <w:lang w:eastAsia="en-GB"/>
          </w:rPr>
          <w:tab/>
        </w:r>
        <w:r w:rsidR="002D061C" w:rsidRPr="000172F2">
          <w:rPr>
            <w:rStyle w:val="Hyperlink"/>
            <w:noProof/>
            <w:lang w:val="de-DE"/>
          </w:rPr>
          <w:t>Vergütungsstrategie in der Praxis</w:t>
        </w:r>
        <w:r w:rsidR="002D061C">
          <w:rPr>
            <w:noProof/>
            <w:webHidden/>
          </w:rPr>
          <w:tab/>
        </w:r>
        <w:r w:rsidR="002D061C">
          <w:rPr>
            <w:noProof/>
            <w:webHidden/>
          </w:rPr>
          <w:fldChar w:fldCharType="begin"/>
        </w:r>
        <w:r w:rsidR="002D061C">
          <w:rPr>
            <w:noProof/>
            <w:webHidden/>
          </w:rPr>
          <w:instrText xml:space="preserve"> PAGEREF _Toc123138032 \h </w:instrText>
        </w:r>
        <w:r w:rsidR="002D061C">
          <w:rPr>
            <w:noProof/>
            <w:webHidden/>
          </w:rPr>
        </w:r>
        <w:r w:rsidR="002D061C">
          <w:rPr>
            <w:noProof/>
            <w:webHidden/>
          </w:rPr>
          <w:fldChar w:fldCharType="separate"/>
        </w:r>
        <w:r w:rsidR="002D061C">
          <w:rPr>
            <w:noProof/>
            <w:webHidden/>
          </w:rPr>
          <w:t>32</w:t>
        </w:r>
        <w:r w:rsidR="002D061C">
          <w:rPr>
            <w:noProof/>
            <w:webHidden/>
          </w:rPr>
          <w:fldChar w:fldCharType="end"/>
        </w:r>
      </w:hyperlink>
    </w:p>
    <w:p w14:paraId="3280CB45" w14:textId="1F5ABD3F" w:rsidR="002D061C" w:rsidRDefault="00AB3754">
      <w:pPr>
        <w:pStyle w:val="TOC2"/>
        <w:rPr>
          <w:rFonts w:eastAsiaTheme="minorEastAsia" w:cstheme="minorBidi"/>
          <w:noProof/>
          <w:sz w:val="22"/>
          <w:lang w:eastAsia="en-GB"/>
        </w:rPr>
      </w:pPr>
      <w:hyperlink w:anchor="_Toc123138033" w:history="1">
        <w:r w:rsidR="002D061C" w:rsidRPr="000172F2">
          <w:rPr>
            <w:rStyle w:val="Hyperlink"/>
            <w:noProof/>
            <w:lang w:val="de-DE"/>
          </w:rPr>
          <w:t>6.7</w:t>
        </w:r>
        <w:r w:rsidR="002D061C">
          <w:rPr>
            <w:rFonts w:eastAsiaTheme="minorEastAsia" w:cstheme="minorBidi"/>
            <w:noProof/>
            <w:sz w:val="22"/>
            <w:lang w:eastAsia="en-GB"/>
          </w:rPr>
          <w:tab/>
        </w:r>
        <w:r w:rsidR="002D061C" w:rsidRPr="000172F2">
          <w:rPr>
            <w:rStyle w:val="Hyperlink"/>
            <w:noProof/>
            <w:lang w:val="de-DE"/>
          </w:rPr>
          <w:t>Zusammenhang zwischen Bezahlung und Leistung</w:t>
        </w:r>
        <w:r w:rsidR="002D061C">
          <w:rPr>
            <w:noProof/>
            <w:webHidden/>
          </w:rPr>
          <w:tab/>
        </w:r>
        <w:r w:rsidR="002D061C">
          <w:rPr>
            <w:noProof/>
            <w:webHidden/>
          </w:rPr>
          <w:fldChar w:fldCharType="begin"/>
        </w:r>
        <w:r w:rsidR="002D061C">
          <w:rPr>
            <w:noProof/>
            <w:webHidden/>
          </w:rPr>
          <w:instrText xml:space="preserve"> PAGEREF _Toc123138033 \h </w:instrText>
        </w:r>
        <w:r w:rsidR="002D061C">
          <w:rPr>
            <w:noProof/>
            <w:webHidden/>
          </w:rPr>
        </w:r>
        <w:r w:rsidR="002D061C">
          <w:rPr>
            <w:noProof/>
            <w:webHidden/>
          </w:rPr>
          <w:fldChar w:fldCharType="separate"/>
        </w:r>
        <w:r w:rsidR="002D061C">
          <w:rPr>
            <w:noProof/>
            <w:webHidden/>
          </w:rPr>
          <w:t>34</w:t>
        </w:r>
        <w:r w:rsidR="002D061C">
          <w:rPr>
            <w:noProof/>
            <w:webHidden/>
          </w:rPr>
          <w:fldChar w:fldCharType="end"/>
        </w:r>
      </w:hyperlink>
    </w:p>
    <w:p w14:paraId="1202D2B0" w14:textId="4B4D1EF7" w:rsidR="002D061C" w:rsidRDefault="00AB3754">
      <w:pPr>
        <w:pStyle w:val="TOC2"/>
        <w:rPr>
          <w:rFonts w:eastAsiaTheme="minorEastAsia" w:cstheme="minorBidi"/>
          <w:noProof/>
          <w:sz w:val="22"/>
          <w:lang w:eastAsia="en-GB"/>
        </w:rPr>
      </w:pPr>
      <w:hyperlink w:anchor="_Toc123138034" w:history="1">
        <w:r w:rsidR="002D061C" w:rsidRPr="000172F2">
          <w:rPr>
            <w:rStyle w:val="Hyperlink"/>
            <w:noProof/>
            <w:lang w:val="de-DE"/>
          </w:rPr>
          <w:t>6.8</w:t>
        </w:r>
        <w:r w:rsidR="002D061C">
          <w:rPr>
            <w:rFonts w:eastAsiaTheme="minorEastAsia" w:cstheme="minorBidi"/>
            <w:noProof/>
            <w:sz w:val="22"/>
            <w:lang w:eastAsia="en-GB"/>
          </w:rPr>
          <w:tab/>
        </w:r>
        <w:r w:rsidR="002D061C" w:rsidRPr="000172F2">
          <w:rPr>
            <w:rStyle w:val="Hyperlink"/>
            <w:noProof/>
            <w:lang w:val="de-DE"/>
          </w:rPr>
          <w:t>Zusammengefasste Vergütungsinformationen</w:t>
        </w:r>
        <w:r w:rsidR="002D061C">
          <w:rPr>
            <w:noProof/>
            <w:webHidden/>
          </w:rPr>
          <w:tab/>
        </w:r>
        <w:r w:rsidR="002D061C">
          <w:rPr>
            <w:noProof/>
            <w:webHidden/>
          </w:rPr>
          <w:fldChar w:fldCharType="begin"/>
        </w:r>
        <w:r w:rsidR="002D061C">
          <w:rPr>
            <w:noProof/>
            <w:webHidden/>
          </w:rPr>
          <w:instrText xml:space="preserve"> PAGEREF _Toc123138034 \h </w:instrText>
        </w:r>
        <w:r w:rsidR="002D061C">
          <w:rPr>
            <w:noProof/>
            <w:webHidden/>
          </w:rPr>
        </w:r>
        <w:r w:rsidR="002D061C">
          <w:rPr>
            <w:noProof/>
            <w:webHidden/>
          </w:rPr>
          <w:fldChar w:fldCharType="separate"/>
        </w:r>
        <w:r w:rsidR="002D061C">
          <w:rPr>
            <w:noProof/>
            <w:webHidden/>
          </w:rPr>
          <w:t>35</w:t>
        </w:r>
        <w:r w:rsidR="002D061C">
          <w:rPr>
            <w:noProof/>
            <w:webHidden/>
          </w:rPr>
          <w:fldChar w:fldCharType="end"/>
        </w:r>
      </w:hyperlink>
    </w:p>
    <w:p w14:paraId="11595B65" w14:textId="0211DF09" w:rsidR="002D061C" w:rsidRDefault="00AB3754">
      <w:pPr>
        <w:pStyle w:val="TOC2"/>
        <w:rPr>
          <w:rFonts w:eastAsiaTheme="minorEastAsia" w:cstheme="minorBidi"/>
          <w:noProof/>
          <w:sz w:val="22"/>
          <w:lang w:eastAsia="en-GB"/>
        </w:rPr>
      </w:pPr>
      <w:hyperlink w:anchor="_Toc123138035" w:history="1">
        <w:r w:rsidR="002D061C" w:rsidRPr="000172F2">
          <w:rPr>
            <w:rStyle w:val="Hyperlink"/>
            <w:noProof/>
            <w:lang w:val="de-DE"/>
          </w:rPr>
          <w:t>6.9</w:t>
        </w:r>
        <w:r w:rsidR="002D061C">
          <w:rPr>
            <w:rFonts w:eastAsiaTheme="minorEastAsia" w:cstheme="minorBidi"/>
            <w:noProof/>
            <w:sz w:val="22"/>
            <w:lang w:eastAsia="en-GB"/>
          </w:rPr>
          <w:tab/>
        </w:r>
        <w:r w:rsidR="002D061C" w:rsidRPr="000172F2">
          <w:rPr>
            <w:rStyle w:val="Hyperlink"/>
            <w:noProof/>
            <w:lang w:val="de-DE"/>
          </w:rPr>
          <w:t>Ausnahmeerklärungen</w:t>
        </w:r>
        <w:r w:rsidR="002D061C">
          <w:rPr>
            <w:noProof/>
            <w:webHidden/>
          </w:rPr>
          <w:tab/>
        </w:r>
        <w:r w:rsidR="002D061C">
          <w:rPr>
            <w:noProof/>
            <w:webHidden/>
          </w:rPr>
          <w:fldChar w:fldCharType="begin"/>
        </w:r>
        <w:r w:rsidR="002D061C">
          <w:rPr>
            <w:noProof/>
            <w:webHidden/>
          </w:rPr>
          <w:instrText xml:space="preserve"> PAGEREF _Toc123138035 \h </w:instrText>
        </w:r>
        <w:r w:rsidR="002D061C">
          <w:rPr>
            <w:noProof/>
            <w:webHidden/>
          </w:rPr>
        </w:r>
        <w:r w:rsidR="002D061C">
          <w:rPr>
            <w:noProof/>
            <w:webHidden/>
          </w:rPr>
          <w:fldChar w:fldCharType="separate"/>
        </w:r>
        <w:r w:rsidR="002D061C">
          <w:rPr>
            <w:noProof/>
            <w:webHidden/>
          </w:rPr>
          <w:t>36</w:t>
        </w:r>
        <w:r w:rsidR="002D061C">
          <w:rPr>
            <w:noProof/>
            <w:webHidden/>
          </w:rPr>
          <w:fldChar w:fldCharType="end"/>
        </w:r>
      </w:hyperlink>
    </w:p>
    <w:p w14:paraId="2C13E0AC" w14:textId="19691E6E" w:rsidR="002D061C" w:rsidRDefault="00AB3754">
      <w:pPr>
        <w:pStyle w:val="TOC1"/>
        <w:rPr>
          <w:rFonts w:eastAsiaTheme="minorEastAsia"/>
          <w:b w:val="0"/>
          <w:noProof/>
          <w:lang w:eastAsia="en-GB"/>
        </w:rPr>
      </w:pPr>
      <w:hyperlink w:anchor="_Toc123138036" w:history="1">
        <w:r w:rsidR="002D061C" w:rsidRPr="000172F2">
          <w:rPr>
            <w:rStyle w:val="Hyperlink"/>
            <w:noProof/>
            <w:lang w:val="de-DE"/>
          </w:rPr>
          <w:t>7</w:t>
        </w:r>
        <w:r w:rsidR="002D061C">
          <w:rPr>
            <w:rFonts w:eastAsiaTheme="minorEastAsia"/>
            <w:b w:val="0"/>
            <w:noProof/>
            <w:lang w:eastAsia="en-GB"/>
          </w:rPr>
          <w:tab/>
        </w:r>
        <w:r w:rsidR="002D061C" w:rsidRPr="000172F2">
          <w:rPr>
            <w:rStyle w:val="Hyperlink"/>
            <w:noProof/>
            <w:lang w:val="de-DE"/>
          </w:rPr>
          <w:t>Anlagestrategie (Artikel 52 IFR)</w:t>
        </w:r>
        <w:r w:rsidR="002D061C">
          <w:rPr>
            <w:noProof/>
            <w:webHidden/>
          </w:rPr>
          <w:tab/>
        </w:r>
        <w:r w:rsidR="002D061C">
          <w:rPr>
            <w:noProof/>
            <w:webHidden/>
          </w:rPr>
          <w:fldChar w:fldCharType="begin"/>
        </w:r>
        <w:r w:rsidR="002D061C">
          <w:rPr>
            <w:noProof/>
            <w:webHidden/>
          </w:rPr>
          <w:instrText xml:space="preserve"> PAGEREF _Toc123138036 \h </w:instrText>
        </w:r>
        <w:r w:rsidR="002D061C">
          <w:rPr>
            <w:noProof/>
            <w:webHidden/>
          </w:rPr>
        </w:r>
        <w:r w:rsidR="002D061C">
          <w:rPr>
            <w:noProof/>
            <w:webHidden/>
          </w:rPr>
          <w:fldChar w:fldCharType="separate"/>
        </w:r>
        <w:r w:rsidR="002D061C">
          <w:rPr>
            <w:noProof/>
            <w:webHidden/>
          </w:rPr>
          <w:t>37</w:t>
        </w:r>
        <w:r w:rsidR="002D061C">
          <w:rPr>
            <w:noProof/>
            <w:webHidden/>
          </w:rPr>
          <w:fldChar w:fldCharType="end"/>
        </w:r>
      </w:hyperlink>
    </w:p>
    <w:p w14:paraId="119EFC0E" w14:textId="1D560D4C" w:rsidR="002D061C" w:rsidRDefault="00AB3754">
      <w:pPr>
        <w:pStyle w:val="TOC1"/>
        <w:rPr>
          <w:rFonts w:eastAsiaTheme="minorEastAsia"/>
          <w:b w:val="0"/>
          <w:noProof/>
          <w:lang w:eastAsia="en-GB"/>
        </w:rPr>
      </w:pPr>
      <w:hyperlink w:anchor="_Toc123138037" w:history="1">
        <w:r w:rsidR="002D061C" w:rsidRPr="000172F2">
          <w:rPr>
            <w:rStyle w:val="Hyperlink"/>
            <w:noProof/>
            <w:lang w:val="de-DE"/>
          </w:rPr>
          <w:t>8</w:t>
        </w:r>
        <w:r w:rsidR="002D061C">
          <w:rPr>
            <w:rFonts w:eastAsiaTheme="minorEastAsia"/>
            <w:b w:val="0"/>
            <w:noProof/>
            <w:lang w:eastAsia="en-GB"/>
          </w:rPr>
          <w:tab/>
        </w:r>
        <w:r w:rsidR="002D061C" w:rsidRPr="000172F2">
          <w:rPr>
            <w:rStyle w:val="Hyperlink"/>
            <w:noProof/>
            <w:lang w:val="de-DE"/>
          </w:rPr>
          <w:t>Umwelt, Sozial- und Unternehmensführungsrisiken (Artikel 53 IFR)</w:t>
        </w:r>
        <w:r w:rsidR="002D061C">
          <w:rPr>
            <w:noProof/>
            <w:webHidden/>
          </w:rPr>
          <w:tab/>
        </w:r>
        <w:r w:rsidR="002D061C">
          <w:rPr>
            <w:noProof/>
            <w:webHidden/>
          </w:rPr>
          <w:fldChar w:fldCharType="begin"/>
        </w:r>
        <w:r w:rsidR="002D061C">
          <w:rPr>
            <w:noProof/>
            <w:webHidden/>
          </w:rPr>
          <w:instrText xml:space="preserve"> PAGEREF _Toc123138037 \h </w:instrText>
        </w:r>
        <w:r w:rsidR="002D061C">
          <w:rPr>
            <w:noProof/>
            <w:webHidden/>
          </w:rPr>
        </w:r>
        <w:r w:rsidR="002D061C">
          <w:rPr>
            <w:noProof/>
            <w:webHidden/>
          </w:rPr>
          <w:fldChar w:fldCharType="separate"/>
        </w:r>
        <w:r w:rsidR="002D061C">
          <w:rPr>
            <w:noProof/>
            <w:webHidden/>
          </w:rPr>
          <w:t>38</w:t>
        </w:r>
        <w:r w:rsidR="002D061C">
          <w:rPr>
            <w:noProof/>
            <w:webHidden/>
          </w:rPr>
          <w:fldChar w:fldCharType="end"/>
        </w:r>
      </w:hyperlink>
    </w:p>
    <w:p w14:paraId="5BE17A22" w14:textId="112BE165" w:rsidR="002B3C0F" w:rsidRPr="0040745F" w:rsidRDefault="006A7EC2" w:rsidP="00E360A0">
      <w:pPr>
        <w:tabs>
          <w:tab w:val="left" w:pos="1725"/>
        </w:tabs>
        <w:spacing w:after="0" w:line="360" w:lineRule="auto"/>
        <w:jc w:val="both"/>
        <w:rPr>
          <w:rFonts w:ascii="Segoe UI" w:hAnsi="Segoe UI" w:cs="Segoe UI"/>
          <w:color w:val="0F243E" w:themeColor="text2" w:themeShade="80"/>
          <w:lang w:val="de-DE"/>
        </w:rPr>
      </w:pPr>
      <w:r w:rsidRPr="0040745F">
        <w:rPr>
          <w:rFonts w:ascii="Segoe UI" w:hAnsi="Segoe UI" w:cs="Segoe UI"/>
          <w:color w:val="014171"/>
          <w:lang w:val="de-DE"/>
        </w:rPr>
        <w:fldChar w:fldCharType="end"/>
      </w:r>
    </w:p>
    <w:p w14:paraId="4AF6DDD6" w14:textId="70BBFFC5" w:rsidR="00921A5C" w:rsidRPr="0040745F" w:rsidRDefault="00921A5C" w:rsidP="00E360A0">
      <w:pPr>
        <w:spacing w:after="0" w:line="360" w:lineRule="auto"/>
        <w:jc w:val="both"/>
        <w:rPr>
          <w:rFonts w:ascii="Segoe UI" w:hAnsi="Segoe UI" w:cs="Segoe UI"/>
          <w:color w:val="0F243E" w:themeColor="text2" w:themeShade="80"/>
          <w:lang w:val="de-DE"/>
        </w:rPr>
      </w:pPr>
      <w:r w:rsidRPr="0040745F">
        <w:rPr>
          <w:rFonts w:ascii="Segoe UI" w:hAnsi="Segoe UI" w:cs="Segoe UI"/>
          <w:color w:val="0F243E" w:themeColor="text2" w:themeShade="80"/>
          <w:lang w:val="de-DE"/>
        </w:rPr>
        <w:br w:type="page"/>
      </w:r>
    </w:p>
    <w:p w14:paraId="23B8AE78" w14:textId="62D8609D" w:rsidR="00974482" w:rsidRPr="009E440F" w:rsidRDefault="00B439F4" w:rsidP="00E360A0">
      <w:pPr>
        <w:spacing w:after="0"/>
        <w:jc w:val="both"/>
        <w:rPr>
          <w:rFonts w:ascii="Georgia" w:hAnsi="Georgia" w:cs="Segoe UI"/>
          <w:b/>
          <w:color w:val="DBB132"/>
          <w:sz w:val="32"/>
          <w:szCs w:val="24"/>
          <w:lang w:val="de-DE"/>
        </w:rPr>
      </w:pPr>
      <w:r w:rsidRPr="009E440F">
        <w:rPr>
          <w:rFonts w:ascii="Georgia" w:hAnsi="Georgia" w:cs="Segoe UI"/>
          <w:b/>
          <w:color w:val="DBB132"/>
          <w:sz w:val="32"/>
          <w:szCs w:val="24"/>
          <w:lang w:val="de-DE"/>
        </w:rPr>
        <w:lastRenderedPageBreak/>
        <w:t>Ab</w:t>
      </w:r>
      <w:bookmarkEnd w:id="0"/>
      <w:r w:rsidRPr="009E440F">
        <w:rPr>
          <w:rFonts w:ascii="Georgia" w:hAnsi="Georgia" w:cs="Segoe UI"/>
          <w:b/>
          <w:color w:val="DBB132"/>
          <w:sz w:val="32"/>
          <w:szCs w:val="24"/>
          <w:lang w:val="de-DE"/>
        </w:rPr>
        <w:t>kürzungsverzeichnis</w:t>
      </w:r>
    </w:p>
    <w:p w14:paraId="7F09F793" w14:textId="1DA9CC4D" w:rsidR="002E669B" w:rsidRPr="009E440F" w:rsidRDefault="002E669B" w:rsidP="00E360A0">
      <w:pPr>
        <w:spacing w:after="0"/>
        <w:jc w:val="both"/>
        <w:rPr>
          <w:rFonts w:ascii="Segoe UI" w:hAnsi="Segoe UI" w:cs="Segoe UI"/>
          <w:color w:val="0F243E" w:themeColor="text2" w:themeShade="80"/>
          <w:sz w:val="16"/>
          <w:szCs w:val="16"/>
          <w:lang w:val="de-DE"/>
        </w:rPr>
      </w:pPr>
    </w:p>
    <w:p w14:paraId="3C6BB545" w14:textId="77777777" w:rsidR="00B4218A" w:rsidRPr="009E440F" w:rsidRDefault="00B4218A" w:rsidP="00F564F7">
      <w:pPr>
        <w:spacing w:after="0"/>
        <w:jc w:val="both"/>
        <w:rPr>
          <w:rFonts w:ascii="Segoe UI" w:eastAsia="Times New Roman" w:hAnsi="Segoe UI" w:cs="Segoe UI"/>
          <w:b/>
          <w:bCs/>
          <w:color w:val="0F243E" w:themeColor="text2" w:themeShade="80"/>
          <w:sz w:val="16"/>
          <w:szCs w:val="16"/>
          <w:lang w:val="de-DE" w:eastAsia="ja-JP"/>
        </w:rPr>
        <w:sectPr w:rsidR="00B4218A" w:rsidRPr="009E440F" w:rsidSect="00791201">
          <w:headerReference w:type="default" r:id="rId34"/>
          <w:footerReference w:type="default" r:id="rId35"/>
          <w:headerReference w:type="first" r:id="rId36"/>
          <w:footerReference w:type="first" r:id="rId37"/>
          <w:pgSz w:w="11906" w:h="16838"/>
          <w:pgMar w:top="2270" w:right="1440" w:bottom="1560" w:left="1440" w:header="708" w:footer="421" w:gutter="0"/>
          <w:cols w:space="720"/>
          <w:titlePg/>
          <w:docGrid w:linePitch="360"/>
        </w:sectPr>
      </w:pPr>
    </w:p>
    <w:tbl>
      <w:tblPr>
        <w:tblW w:w="4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3149"/>
      </w:tblGrid>
      <w:tr w:rsidR="00A22D32" w:rsidRPr="009E440F" w14:paraId="35FD8087" w14:textId="77777777" w:rsidTr="007A2631">
        <w:trPr>
          <w:trHeight w:val="397"/>
          <w:jc w:val="center"/>
        </w:trPr>
        <w:tc>
          <w:tcPr>
            <w:tcW w:w="954" w:type="dxa"/>
            <w:shd w:val="clear" w:color="auto" w:fill="auto"/>
            <w:noWrap/>
            <w:vAlign w:val="center"/>
          </w:tcPr>
          <w:p w14:paraId="49A8253A" w14:textId="25EB4A38" w:rsidR="00CE0A92" w:rsidRPr="00724E9E" w:rsidRDefault="00CE0A92" w:rsidP="00E360A0">
            <w:pPr>
              <w:spacing w:after="0"/>
              <w:jc w:val="both"/>
              <w:rPr>
                <w:rFonts w:ascii="Segoe UI" w:eastAsia="Times New Roman" w:hAnsi="Segoe UI" w:cs="Segoe UI"/>
                <w:b/>
                <w:bCs/>
                <w:color w:val="014171"/>
                <w:sz w:val="16"/>
                <w:szCs w:val="18"/>
                <w:lang w:val="de-DE" w:eastAsia="ja-JP"/>
              </w:rPr>
            </w:pPr>
            <w:r w:rsidRPr="00724E9E">
              <w:rPr>
                <w:rFonts w:ascii="Segoe UI" w:eastAsia="Times New Roman" w:hAnsi="Segoe UI" w:cs="Segoe UI"/>
                <w:b/>
                <w:bCs/>
                <w:color w:val="014171"/>
                <w:sz w:val="16"/>
                <w:szCs w:val="18"/>
                <w:lang w:val="de-DE" w:eastAsia="ja-JP"/>
              </w:rPr>
              <w:t>BaFin</w:t>
            </w:r>
          </w:p>
        </w:tc>
        <w:tc>
          <w:tcPr>
            <w:tcW w:w="3149" w:type="dxa"/>
            <w:shd w:val="clear" w:color="auto" w:fill="auto"/>
            <w:vAlign w:val="center"/>
          </w:tcPr>
          <w:p w14:paraId="52A8EF9F" w14:textId="23D1D7D3" w:rsidR="00CE0A92" w:rsidRPr="009E440F" w:rsidRDefault="00B439F4" w:rsidP="00E360A0">
            <w:pPr>
              <w:spacing w:after="0"/>
              <w:jc w:val="both"/>
              <w:rPr>
                <w:rFonts w:ascii="Segoe UI" w:eastAsia="Times New Roman" w:hAnsi="Segoe UI" w:cs="Segoe UI"/>
                <w:color w:val="014171"/>
                <w:sz w:val="16"/>
                <w:szCs w:val="18"/>
                <w:lang w:val="de-DE" w:eastAsia="ja-JP"/>
              </w:rPr>
            </w:pPr>
            <w:r w:rsidRPr="00724E9E">
              <w:rPr>
                <w:rFonts w:ascii="Segoe UI" w:eastAsia="Times New Roman" w:hAnsi="Segoe UI" w:cs="Segoe UI"/>
                <w:color w:val="014171"/>
                <w:sz w:val="16"/>
                <w:szCs w:val="18"/>
                <w:lang w:val="de-DE" w:eastAsia="ja-JP"/>
              </w:rPr>
              <w:t>Bundesanstalt für Finanzdienstleistungsaufsicht</w:t>
            </w:r>
          </w:p>
        </w:tc>
      </w:tr>
      <w:tr w:rsidR="00A86C8C" w:rsidRPr="009E440F" w14:paraId="725C62B3" w14:textId="77777777" w:rsidTr="007A2631">
        <w:trPr>
          <w:trHeight w:val="397"/>
          <w:jc w:val="center"/>
        </w:trPr>
        <w:tc>
          <w:tcPr>
            <w:tcW w:w="954" w:type="dxa"/>
            <w:shd w:val="clear" w:color="auto" w:fill="auto"/>
            <w:noWrap/>
            <w:vAlign w:val="center"/>
          </w:tcPr>
          <w:p w14:paraId="0D2302C7" w14:textId="56702DA4" w:rsidR="00A86C8C" w:rsidRPr="00724E9E" w:rsidRDefault="00A86C8C" w:rsidP="00E360A0">
            <w:pPr>
              <w:spacing w:after="0"/>
              <w:jc w:val="both"/>
              <w:rPr>
                <w:rFonts w:ascii="Segoe UI" w:eastAsia="Times New Roman" w:hAnsi="Segoe UI" w:cs="Segoe UI"/>
                <w:b/>
                <w:bCs/>
                <w:color w:val="014171"/>
                <w:sz w:val="16"/>
                <w:szCs w:val="18"/>
                <w:lang w:val="de-DE" w:eastAsia="ja-JP"/>
              </w:rPr>
            </w:pPr>
            <w:r w:rsidRPr="00724E9E">
              <w:rPr>
                <w:rFonts w:ascii="Segoe UI" w:eastAsia="Times New Roman" w:hAnsi="Segoe UI" w:cs="Segoe UI"/>
                <w:b/>
                <w:bCs/>
                <w:color w:val="014171"/>
                <w:sz w:val="16"/>
                <w:szCs w:val="18"/>
                <w:lang w:val="de-DE" w:eastAsia="ja-JP"/>
              </w:rPr>
              <w:t>BVV</w:t>
            </w:r>
          </w:p>
        </w:tc>
        <w:tc>
          <w:tcPr>
            <w:tcW w:w="3149" w:type="dxa"/>
            <w:shd w:val="clear" w:color="auto" w:fill="auto"/>
            <w:vAlign w:val="center"/>
          </w:tcPr>
          <w:p w14:paraId="132E4D69" w14:textId="14969E48" w:rsidR="00A86C8C" w:rsidRPr="009E440F" w:rsidRDefault="00A86C8C" w:rsidP="00E360A0">
            <w:pPr>
              <w:spacing w:after="0"/>
              <w:jc w:val="both"/>
              <w:rPr>
                <w:rFonts w:ascii="Segoe UI" w:eastAsia="Times New Roman" w:hAnsi="Segoe UI" w:cs="Segoe UI"/>
                <w:color w:val="014171"/>
                <w:sz w:val="16"/>
                <w:szCs w:val="18"/>
                <w:lang w:val="de-DE" w:eastAsia="ja-JP"/>
              </w:rPr>
            </w:pPr>
            <w:r w:rsidRPr="00724E9E">
              <w:rPr>
                <w:rFonts w:ascii="Segoe UI" w:eastAsia="Times New Roman" w:hAnsi="Segoe UI" w:cs="Segoe UI"/>
                <w:color w:val="014171"/>
                <w:sz w:val="16"/>
                <w:szCs w:val="18"/>
                <w:lang w:val="de-DE" w:eastAsia="ja-JP"/>
              </w:rPr>
              <w:t>BVV Versicherungsverein des Bankgewerbes</w:t>
            </w:r>
          </w:p>
        </w:tc>
      </w:tr>
      <w:tr w:rsidR="00A22D32" w:rsidRPr="009E440F" w14:paraId="68E76D5B" w14:textId="77777777" w:rsidTr="007A2631">
        <w:trPr>
          <w:trHeight w:val="397"/>
          <w:jc w:val="center"/>
        </w:trPr>
        <w:tc>
          <w:tcPr>
            <w:tcW w:w="954" w:type="dxa"/>
            <w:shd w:val="clear" w:color="auto" w:fill="auto"/>
            <w:noWrap/>
            <w:vAlign w:val="center"/>
          </w:tcPr>
          <w:p w14:paraId="5F12A666" w14:textId="77777777" w:rsidR="003C2DD7" w:rsidRPr="00724E9E" w:rsidRDefault="003C2DD7" w:rsidP="00E360A0">
            <w:pPr>
              <w:spacing w:after="0"/>
              <w:jc w:val="both"/>
              <w:rPr>
                <w:rFonts w:ascii="Segoe UI" w:eastAsia="Times New Roman" w:hAnsi="Segoe UI" w:cs="Segoe UI"/>
                <w:b/>
                <w:bCs/>
                <w:color w:val="014171"/>
                <w:sz w:val="16"/>
                <w:szCs w:val="18"/>
                <w:lang w:val="de-DE" w:eastAsia="ja-JP"/>
              </w:rPr>
            </w:pPr>
            <w:r w:rsidRPr="00724E9E">
              <w:rPr>
                <w:rFonts w:ascii="Segoe UI" w:eastAsia="Times New Roman" w:hAnsi="Segoe UI" w:cs="Segoe UI"/>
                <w:b/>
                <w:bCs/>
                <w:color w:val="014171"/>
                <w:sz w:val="16"/>
                <w:szCs w:val="18"/>
                <w:lang w:val="de-DE" w:eastAsia="ja-JP"/>
              </w:rPr>
              <w:t>CET1</w:t>
            </w:r>
          </w:p>
        </w:tc>
        <w:tc>
          <w:tcPr>
            <w:tcW w:w="3149" w:type="dxa"/>
            <w:shd w:val="clear" w:color="auto" w:fill="auto"/>
            <w:noWrap/>
            <w:vAlign w:val="center"/>
          </w:tcPr>
          <w:p w14:paraId="2247AF80" w14:textId="77777777" w:rsidR="0018154D" w:rsidRPr="00AB3754" w:rsidRDefault="00B439F4">
            <w:pPr>
              <w:spacing w:after="0"/>
              <w:jc w:val="both"/>
              <w:rPr>
                <w:rFonts w:ascii="Segoe UI" w:eastAsia="Times New Roman" w:hAnsi="Segoe UI" w:cs="Segoe UI"/>
                <w:color w:val="014171"/>
                <w:sz w:val="16"/>
                <w:szCs w:val="18"/>
                <w:lang w:eastAsia="ja-JP"/>
              </w:rPr>
            </w:pPr>
            <w:r w:rsidRPr="00AB3754">
              <w:rPr>
                <w:rFonts w:ascii="Segoe UI" w:eastAsia="Times New Roman" w:hAnsi="Segoe UI" w:cs="Segoe UI"/>
                <w:color w:val="014171"/>
                <w:sz w:val="16"/>
                <w:szCs w:val="18"/>
                <w:lang w:eastAsia="ja-JP"/>
              </w:rPr>
              <w:t>Hartes Kernkapital</w:t>
            </w:r>
          </w:p>
          <w:p w14:paraId="6986869F" w14:textId="2BD0530F" w:rsidR="003C2DD7" w:rsidRPr="00AB3754" w:rsidRDefault="00724E9E">
            <w:pPr>
              <w:spacing w:after="0"/>
              <w:jc w:val="both"/>
              <w:rPr>
                <w:rFonts w:ascii="Segoe UI" w:eastAsia="Times New Roman" w:hAnsi="Segoe UI" w:cs="Segoe UI"/>
                <w:color w:val="014171"/>
                <w:sz w:val="16"/>
                <w:szCs w:val="18"/>
                <w:lang w:eastAsia="ja-JP"/>
              </w:rPr>
            </w:pPr>
            <w:r w:rsidRPr="00AB3754">
              <w:rPr>
                <w:rFonts w:ascii="Segoe UI" w:eastAsia="Times New Roman" w:hAnsi="Segoe UI" w:cs="Segoe UI"/>
                <w:color w:val="014171"/>
                <w:sz w:val="16"/>
                <w:szCs w:val="18"/>
                <w:lang w:eastAsia="ja-JP"/>
              </w:rPr>
              <w:t>(</w:t>
            </w:r>
            <w:r w:rsidRPr="00AB3754">
              <w:rPr>
                <w:rFonts w:ascii="Segoe UI" w:eastAsia="Times New Roman" w:hAnsi="Segoe UI" w:cs="Segoe UI"/>
                <w:i/>
                <w:color w:val="014171"/>
                <w:sz w:val="16"/>
                <w:szCs w:val="18"/>
                <w:lang w:eastAsia="ja-JP"/>
              </w:rPr>
              <w:t>Common Equity Tier 1</w:t>
            </w:r>
            <w:r w:rsidRPr="00AB3754">
              <w:rPr>
                <w:rFonts w:ascii="Segoe UI" w:eastAsia="Times New Roman" w:hAnsi="Segoe UI" w:cs="Segoe UI"/>
                <w:color w:val="014171"/>
                <w:sz w:val="16"/>
                <w:szCs w:val="18"/>
                <w:lang w:eastAsia="ja-JP"/>
              </w:rPr>
              <w:t>)</w:t>
            </w:r>
          </w:p>
        </w:tc>
      </w:tr>
      <w:tr w:rsidR="00A22D32" w:rsidRPr="00724E9E" w14:paraId="0A9F9780" w14:textId="77777777" w:rsidTr="007A2631">
        <w:trPr>
          <w:trHeight w:val="397"/>
          <w:jc w:val="center"/>
        </w:trPr>
        <w:tc>
          <w:tcPr>
            <w:tcW w:w="954" w:type="dxa"/>
            <w:shd w:val="clear" w:color="auto" w:fill="auto"/>
            <w:noWrap/>
            <w:vAlign w:val="center"/>
          </w:tcPr>
          <w:p w14:paraId="76E9D14E" w14:textId="041B8A5B" w:rsidR="0066294E" w:rsidRPr="00724E9E" w:rsidRDefault="0066294E" w:rsidP="00E360A0">
            <w:pPr>
              <w:spacing w:after="0"/>
              <w:jc w:val="both"/>
              <w:rPr>
                <w:rFonts w:ascii="Segoe UI" w:eastAsia="Times New Roman" w:hAnsi="Segoe UI" w:cs="Segoe UI"/>
                <w:b/>
                <w:bCs/>
                <w:color w:val="014171"/>
                <w:sz w:val="16"/>
                <w:szCs w:val="18"/>
                <w:lang w:val="de-DE" w:eastAsia="ja-JP"/>
              </w:rPr>
            </w:pPr>
            <w:r w:rsidRPr="00724E9E">
              <w:rPr>
                <w:rFonts w:ascii="Segoe UI" w:eastAsia="Times New Roman" w:hAnsi="Segoe UI" w:cs="Segoe UI"/>
                <w:b/>
                <w:bCs/>
                <w:color w:val="014171"/>
                <w:sz w:val="16"/>
                <w:szCs w:val="18"/>
                <w:lang w:val="de-DE" w:eastAsia="ja-JP"/>
              </w:rPr>
              <w:t>CFO</w:t>
            </w:r>
          </w:p>
        </w:tc>
        <w:tc>
          <w:tcPr>
            <w:tcW w:w="3149" w:type="dxa"/>
            <w:shd w:val="clear" w:color="auto" w:fill="auto"/>
            <w:noWrap/>
            <w:vAlign w:val="center"/>
          </w:tcPr>
          <w:p w14:paraId="030FA7A8" w14:textId="4BAB6448" w:rsidR="0066294E" w:rsidRPr="00724E9E" w:rsidRDefault="0066294E" w:rsidP="00E360A0">
            <w:pPr>
              <w:spacing w:after="0"/>
              <w:jc w:val="both"/>
              <w:rPr>
                <w:rFonts w:ascii="Segoe UI" w:eastAsia="Times New Roman" w:hAnsi="Segoe UI" w:cs="Segoe UI"/>
                <w:color w:val="014171"/>
                <w:sz w:val="16"/>
                <w:szCs w:val="18"/>
                <w:lang w:val="de-DE" w:eastAsia="ja-JP"/>
              </w:rPr>
            </w:pPr>
            <w:r w:rsidRPr="00724E9E">
              <w:rPr>
                <w:rFonts w:ascii="Segoe UI" w:eastAsia="Times New Roman" w:hAnsi="Segoe UI" w:cs="Segoe UI"/>
                <w:color w:val="014171"/>
                <w:sz w:val="16"/>
                <w:szCs w:val="18"/>
                <w:lang w:val="de-DE" w:eastAsia="ja-JP"/>
              </w:rPr>
              <w:t>Chief Financial Officer</w:t>
            </w:r>
          </w:p>
        </w:tc>
      </w:tr>
      <w:tr w:rsidR="00A22D32" w:rsidRPr="00724E9E" w14:paraId="06904D24" w14:textId="77777777" w:rsidTr="007A2631">
        <w:trPr>
          <w:trHeight w:val="397"/>
          <w:jc w:val="center"/>
        </w:trPr>
        <w:tc>
          <w:tcPr>
            <w:tcW w:w="954" w:type="dxa"/>
            <w:shd w:val="clear" w:color="auto" w:fill="auto"/>
            <w:noWrap/>
            <w:vAlign w:val="center"/>
          </w:tcPr>
          <w:p w14:paraId="60C8BAFF" w14:textId="0387B9FC" w:rsidR="0066294E" w:rsidRPr="00724E9E" w:rsidRDefault="0066294E" w:rsidP="00E360A0">
            <w:pPr>
              <w:spacing w:after="0"/>
              <w:jc w:val="both"/>
              <w:rPr>
                <w:rFonts w:ascii="Segoe UI" w:eastAsia="Times New Roman" w:hAnsi="Segoe UI" w:cs="Segoe UI"/>
                <w:b/>
                <w:bCs/>
                <w:color w:val="014171"/>
                <w:sz w:val="16"/>
                <w:szCs w:val="18"/>
                <w:lang w:val="de-DE" w:eastAsia="ja-JP"/>
              </w:rPr>
            </w:pPr>
            <w:r w:rsidRPr="00724E9E">
              <w:rPr>
                <w:rFonts w:ascii="Segoe UI" w:eastAsia="Times New Roman" w:hAnsi="Segoe UI" w:cs="Segoe UI"/>
                <w:b/>
                <w:bCs/>
                <w:color w:val="014171"/>
                <w:sz w:val="16"/>
                <w:szCs w:val="18"/>
                <w:lang w:val="de-DE" w:eastAsia="ja-JP"/>
              </w:rPr>
              <w:t>CRO</w:t>
            </w:r>
          </w:p>
        </w:tc>
        <w:tc>
          <w:tcPr>
            <w:tcW w:w="3149" w:type="dxa"/>
            <w:shd w:val="clear" w:color="auto" w:fill="auto"/>
            <w:noWrap/>
            <w:vAlign w:val="center"/>
          </w:tcPr>
          <w:p w14:paraId="0FBAA673" w14:textId="5DD2C43D" w:rsidR="0066294E" w:rsidRPr="00724E9E" w:rsidRDefault="0066294E" w:rsidP="00E360A0">
            <w:pPr>
              <w:spacing w:after="0"/>
              <w:jc w:val="both"/>
              <w:rPr>
                <w:rFonts w:ascii="Segoe UI" w:eastAsia="Times New Roman" w:hAnsi="Segoe UI" w:cs="Segoe UI"/>
                <w:color w:val="014171"/>
                <w:sz w:val="16"/>
                <w:szCs w:val="18"/>
                <w:lang w:val="de-DE" w:eastAsia="ja-JP"/>
              </w:rPr>
            </w:pPr>
            <w:r w:rsidRPr="00724E9E">
              <w:rPr>
                <w:rFonts w:ascii="Segoe UI" w:eastAsia="Times New Roman" w:hAnsi="Segoe UI" w:cs="Segoe UI"/>
                <w:color w:val="014171"/>
                <w:sz w:val="16"/>
                <w:szCs w:val="18"/>
                <w:lang w:val="de-DE" w:eastAsia="ja-JP"/>
              </w:rPr>
              <w:t xml:space="preserve">Chief </w:t>
            </w:r>
            <w:r w:rsidR="00942D4E" w:rsidRPr="00724E9E">
              <w:rPr>
                <w:rFonts w:ascii="Segoe UI" w:eastAsia="Times New Roman" w:hAnsi="Segoe UI" w:cs="Segoe UI"/>
                <w:color w:val="014171"/>
                <w:sz w:val="16"/>
                <w:szCs w:val="18"/>
                <w:lang w:val="de-DE" w:eastAsia="ja-JP"/>
              </w:rPr>
              <w:t>Risk</w:t>
            </w:r>
            <w:r w:rsidRPr="00724E9E">
              <w:rPr>
                <w:rFonts w:ascii="Segoe UI" w:eastAsia="Times New Roman" w:hAnsi="Segoe UI" w:cs="Segoe UI"/>
                <w:color w:val="014171"/>
                <w:sz w:val="16"/>
                <w:szCs w:val="18"/>
                <w:lang w:val="de-DE" w:eastAsia="ja-JP"/>
              </w:rPr>
              <w:t xml:space="preserve"> Officer</w:t>
            </w:r>
          </w:p>
        </w:tc>
      </w:tr>
      <w:tr w:rsidR="00A22D32" w:rsidRPr="009E440F" w14:paraId="0E23E738" w14:textId="77777777" w:rsidTr="007A2631">
        <w:trPr>
          <w:trHeight w:val="397"/>
          <w:jc w:val="center"/>
        </w:trPr>
        <w:tc>
          <w:tcPr>
            <w:tcW w:w="954" w:type="dxa"/>
            <w:shd w:val="clear" w:color="auto" w:fill="auto"/>
            <w:noWrap/>
            <w:vAlign w:val="center"/>
          </w:tcPr>
          <w:p w14:paraId="041E7C6F" w14:textId="09EF6B39" w:rsidR="0066294E" w:rsidRPr="00724E9E" w:rsidRDefault="0066294E" w:rsidP="00E360A0">
            <w:pPr>
              <w:spacing w:after="0"/>
              <w:jc w:val="both"/>
              <w:rPr>
                <w:rFonts w:ascii="Segoe UI" w:eastAsia="Times New Roman" w:hAnsi="Segoe UI" w:cs="Segoe UI"/>
                <w:b/>
                <w:bCs/>
                <w:color w:val="014171"/>
                <w:sz w:val="16"/>
                <w:szCs w:val="18"/>
                <w:lang w:val="de-DE" w:eastAsia="ja-JP"/>
              </w:rPr>
            </w:pPr>
            <w:r w:rsidRPr="00724E9E">
              <w:rPr>
                <w:rFonts w:ascii="Segoe UI" w:eastAsia="Times New Roman" w:hAnsi="Segoe UI" w:cs="Segoe UI"/>
                <w:b/>
                <w:bCs/>
                <w:color w:val="014171"/>
                <w:sz w:val="16"/>
                <w:szCs w:val="18"/>
                <w:lang w:val="de-DE" w:eastAsia="ja-JP"/>
              </w:rPr>
              <w:t>CRR</w:t>
            </w:r>
          </w:p>
        </w:tc>
        <w:tc>
          <w:tcPr>
            <w:tcW w:w="3149" w:type="dxa"/>
            <w:shd w:val="clear" w:color="auto" w:fill="auto"/>
            <w:vAlign w:val="center"/>
          </w:tcPr>
          <w:p w14:paraId="4EDABE75" w14:textId="77777777" w:rsidR="0018154D" w:rsidRDefault="00B439F4" w:rsidP="00E360A0">
            <w:pPr>
              <w:spacing w:after="0"/>
              <w:jc w:val="both"/>
              <w:rPr>
                <w:rFonts w:ascii="Segoe UI" w:eastAsia="Times New Roman" w:hAnsi="Segoe UI" w:cs="Segoe UI"/>
                <w:color w:val="014171"/>
                <w:sz w:val="16"/>
                <w:szCs w:val="18"/>
                <w:lang w:val="de-DE" w:eastAsia="ja-JP"/>
              </w:rPr>
            </w:pPr>
            <w:r w:rsidRPr="00724E9E">
              <w:rPr>
                <w:rFonts w:ascii="Segoe UI" w:eastAsia="Times New Roman" w:hAnsi="Segoe UI" w:cs="Segoe UI"/>
                <w:color w:val="014171"/>
                <w:sz w:val="16"/>
                <w:szCs w:val="18"/>
                <w:lang w:val="de-DE" w:eastAsia="ja-JP"/>
              </w:rPr>
              <w:t>Kapitaladäquanzverordnung</w:t>
            </w:r>
          </w:p>
          <w:p w14:paraId="20984F38" w14:textId="0C2DA9E0" w:rsidR="0066294E" w:rsidRPr="009E440F" w:rsidRDefault="00724E9E" w:rsidP="00E360A0">
            <w:pPr>
              <w:spacing w:after="0"/>
              <w:jc w:val="both"/>
              <w:rPr>
                <w:rFonts w:ascii="Segoe UI" w:eastAsia="Times New Roman" w:hAnsi="Segoe UI" w:cs="Segoe UI"/>
                <w:color w:val="014171"/>
                <w:sz w:val="16"/>
                <w:szCs w:val="18"/>
                <w:lang w:val="de-DE" w:eastAsia="ja-JP"/>
              </w:rPr>
            </w:pPr>
            <w:r>
              <w:rPr>
                <w:rFonts w:ascii="Segoe UI" w:eastAsia="Times New Roman" w:hAnsi="Segoe UI" w:cs="Segoe UI"/>
                <w:color w:val="014171"/>
                <w:sz w:val="16"/>
                <w:szCs w:val="18"/>
                <w:lang w:val="de-DE" w:eastAsia="ja-JP"/>
              </w:rPr>
              <w:t>(</w:t>
            </w:r>
            <w:r w:rsidRPr="0046753E">
              <w:rPr>
                <w:rFonts w:ascii="Segoe UI" w:eastAsia="Times New Roman" w:hAnsi="Segoe UI" w:cs="Segoe UI"/>
                <w:i/>
                <w:color w:val="014171"/>
                <w:sz w:val="16"/>
                <w:szCs w:val="18"/>
                <w:lang w:val="de-DE" w:eastAsia="ja-JP"/>
              </w:rPr>
              <w:t>Capital Requirements Regulation</w:t>
            </w:r>
            <w:r>
              <w:rPr>
                <w:rFonts w:ascii="Segoe UI" w:eastAsia="Times New Roman" w:hAnsi="Segoe UI" w:cs="Segoe UI"/>
                <w:color w:val="014171"/>
                <w:sz w:val="16"/>
                <w:szCs w:val="18"/>
                <w:lang w:val="de-DE" w:eastAsia="ja-JP"/>
              </w:rPr>
              <w:t>)</w:t>
            </w:r>
          </w:p>
        </w:tc>
      </w:tr>
      <w:tr w:rsidR="00A22D32" w:rsidRPr="009E440F" w14:paraId="582EFA90" w14:textId="77777777" w:rsidTr="007A2631">
        <w:trPr>
          <w:trHeight w:val="397"/>
          <w:jc w:val="center"/>
        </w:trPr>
        <w:tc>
          <w:tcPr>
            <w:tcW w:w="954" w:type="dxa"/>
            <w:shd w:val="clear" w:color="auto" w:fill="auto"/>
            <w:noWrap/>
            <w:vAlign w:val="center"/>
          </w:tcPr>
          <w:p w14:paraId="3E746D8E" w14:textId="4397D596" w:rsidR="00942D4E" w:rsidRPr="00724E9E" w:rsidRDefault="00942D4E" w:rsidP="00E360A0">
            <w:pPr>
              <w:spacing w:after="0"/>
              <w:jc w:val="both"/>
              <w:rPr>
                <w:rFonts w:ascii="Segoe UI" w:eastAsia="Times New Roman" w:hAnsi="Segoe UI" w:cs="Segoe UI"/>
                <w:b/>
                <w:bCs/>
                <w:color w:val="014171"/>
                <w:sz w:val="16"/>
                <w:szCs w:val="18"/>
                <w:lang w:val="de-DE" w:eastAsia="ja-JP"/>
              </w:rPr>
            </w:pPr>
            <w:r w:rsidRPr="00724E9E">
              <w:rPr>
                <w:rFonts w:ascii="Segoe UI" w:eastAsia="Times New Roman" w:hAnsi="Segoe UI" w:cs="Segoe UI"/>
                <w:b/>
                <w:bCs/>
                <w:color w:val="014171"/>
                <w:sz w:val="16"/>
                <w:szCs w:val="18"/>
                <w:lang w:val="de-DE" w:eastAsia="ja-JP"/>
              </w:rPr>
              <w:t>D&amp;I</w:t>
            </w:r>
          </w:p>
        </w:tc>
        <w:tc>
          <w:tcPr>
            <w:tcW w:w="3149" w:type="dxa"/>
            <w:shd w:val="clear" w:color="auto" w:fill="auto"/>
            <w:vAlign w:val="center"/>
          </w:tcPr>
          <w:p w14:paraId="139BB9AE" w14:textId="567C06FC" w:rsidR="00942D4E" w:rsidRPr="009E440F" w:rsidRDefault="0040745F" w:rsidP="00E360A0">
            <w:pPr>
              <w:spacing w:after="0"/>
              <w:jc w:val="both"/>
              <w:rPr>
                <w:rFonts w:ascii="Segoe UI" w:eastAsia="Times New Roman" w:hAnsi="Segoe UI" w:cs="Segoe UI"/>
                <w:color w:val="014171"/>
                <w:sz w:val="16"/>
                <w:szCs w:val="18"/>
                <w:lang w:val="de-DE" w:eastAsia="ja-JP"/>
              </w:rPr>
            </w:pPr>
            <w:r w:rsidRPr="00724E9E">
              <w:rPr>
                <w:rFonts w:ascii="Segoe UI" w:eastAsia="Times New Roman" w:hAnsi="Segoe UI" w:cs="Segoe UI"/>
                <w:color w:val="014171"/>
                <w:sz w:val="16"/>
                <w:szCs w:val="18"/>
                <w:lang w:val="de-DE" w:eastAsia="ja-JP"/>
              </w:rPr>
              <w:t>Diversität und Ink</w:t>
            </w:r>
            <w:r w:rsidR="00942D4E" w:rsidRPr="00724E9E">
              <w:rPr>
                <w:rFonts w:ascii="Segoe UI" w:eastAsia="Times New Roman" w:hAnsi="Segoe UI" w:cs="Segoe UI"/>
                <w:color w:val="014171"/>
                <w:sz w:val="16"/>
                <w:szCs w:val="18"/>
                <w:lang w:val="de-DE" w:eastAsia="ja-JP"/>
              </w:rPr>
              <w:t>lusion</w:t>
            </w:r>
          </w:p>
        </w:tc>
      </w:tr>
      <w:tr w:rsidR="00A22D32" w:rsidRPr="00AB3754" w14:paraId="2D7A0E74" w14:textId="77777777" w:rsidTr="007A2631">
        <w:trPr>
          <w:trHeight w:val="397"/>
          <w:jc w:val="center"/>
        </w:trPr>
        <w:tc>
          <w:tcPr>
            <w:tcW w:w="954" w:type="dxa"/>
            <w:shd w:val="clear" w:color="auto" w:fill="auto"/>
            <w:noWrap/>
            <w:vAlign w:val="center"/>
          </w:tcPr>
          <w:p w14:paraId="51FE9E04" w14:textId="77777777" w:rsidR="0066294E" w:rsidRPr="00724E9E" w:rsidRDefault="0066294E" w:rsidP="00E360A0">
            <w:pPr>
              <w:spacing w:after="0"/>
              <w:jc w:val="both"/>
              <w:rPr>
                <w:rFonts w:ascii="Segoe UI" w:eastAsia="Times New Roman" w:hAnsi="Segoe UI" w:cs="Segoe UI"/>
                <w:b/>
                <w:bCs/>
                <w:color w:val="014171"/>
                <w:sz w:val="16"/>
                <w:szCs w:val="18"/>
                <w:lang w:val="de-DE" w:eastAsia="ja-JP"/>
              </w:rPr>
            </w:pPr>
            <w:r w:rsidRPr="00724E9E">
              <w:rPr>
                <w:rFonts w:ascii="Segoe UI" w:eastAsia="Times New Roman" w:hAnsi="Segoe UI" w:cs="Segoe UI"/>
                <w:b/>
                <w:bCs/>
                <w:color w:val="014171"/>
                <w:sz w:val="16"/>
                <w:szCs w:val="18"/>
                <w:lang w:val="de-DE" w:eastAsia="ja-JP"/>
              </w:rPr>
              <w:t>DCMD</w:t>
            </w:r>
          </w:p>
        </w:tc>
        <w:tc>
          <w:tcPr>
            <w:tcW w:w="3149" w:type="dxa"/>
            <w:shd w:val="clear" w:color="auto" w:fill="auto"/>
            <w:vAlign w:val="center"/>
          </w:tcPr>
          <w:p w14:paraId="3000E5BB" w14:textId="77777777" w:rsidR="0066294E" w:rsidRPr="009E440F" w:rsidRDefault="0066294E" w:rsidP="00E360A0">
            <w:pPr>
              <w:spacing w:after="0"/>
              <w:jc w:val="both"/>
              <w:rPr>
                <w:rFonts w:ascii="Segoe UI" w:eastAsia="Times New Roman" w:hAnsi="Segoe UI" w:cs="Segoe UI"/>
                <w:color w:val="014171"/>
                <w:sz w:val="16"/>
                <w:szCs w:val="18"/>
                <w:lang w:val="de-DE" w:eastAsia="ja-JP"/>
              </w:rPr>
            </w:pPr>
            <w:r w:rsidRPr="00724E9E">
              <w:rPr>
                <w:rFonts w:ascii="Segoe UI" w:eastAsia="Times New Roman" w:hAnsi="Segoe UI" w:cs="Segoe UI"/>
                <w:color w:val="014171"/>
                <w:sz w:val="16"/>
                <w:szCs w:val="18"/>
                <w:lang w:val="de-DE" w:eastAsia="ja-JP"/>
              </w:rPr>
              <w:t>Daiwa Capital Markets Deutschland GmbH</w:t>
            </w:r>
          </w:p>
        </w:tc>
      </w:tr>
      <w:tr w:rsidR="00A22D32" w:rsidRPr="009E440F" w14:paraId="61BA46CB" w14:textId="77777777" w:rsidTr="007A2631">
        <w:trPr>
          <w:trHeight w:val="397"/>
          <w:jc w:val="center"/>
        </w:trPr>
        <w:tc>
          <w:tcPr>
            <w:tcW w:w="954" w:type="dxa"/>
            <w:shd w:val="clear" w:color="auto" w:fill="auto"/>
            <w:noWrap/>
            <w:vAlign w:val="center"/>
          </w:tcPr>
          <w:p w14:paraId="1C0195E9" w14:textId="77777777" w:rsidR="0066294E" w:rsidRPr="00724E9E" w:rsidRDefault="0066294E" w:rsidP="00E360A0">
            <w:pPr>
              <w:spacing w:after="0"/>
              <w:jc w:val="both"/>
              <w:rPr>
                <w:rFonts w:ascii="Segoe UI" w:eastAsia="Times New Roman" w:hAnsi="Segoe UI" w:cs="Segoe UI"/>
                <w:b/>
                <w:bCs/>
                <w:color w:val="014171"/>
                <w:sz w:val="16"/>
                <w:szCs w:val="18"/>
                <w:lang w:val="de-DE" w:eastAsia="ja-JP"/>
              </w:rPr>
            </w:pPr>
            <w:r w:rsidRPr="00724E9E">
              <w:rPr>
                <w:rFonts w:ascii="Segoe UI" w:eastAsia="Times New Roman" w:hAnsi="Segoe UI" w:cs="Segoe UI"/>
                <w:b/>
                <w:bCs/>
                <w:color w:val="014171"/>
                <w:sz w:val="16"/>
                <w:szCs w:val="18"/>
                <w:lang w:val="de-DE" w:eastAsia="ja-JP"/>
              </w:rPr>
              <w:t>DCME</w:t>
            </w:r>
          </w:p>
        </w:tc>
        <w:tc>
          <w:tcPr>
            <w:tcW w:w="3149" w:type="dxa"/>
            <w:shd w:val="clear" w:color="auto" w:fill="auto"/>
            <w:noWrap/>
            <w:vAlign w:val="center"/>
          </w:tcPr>
          <w:p w14:paraId="03E0CA37" w14:textId="77777777" w:rsidR="0066294E" w:rsidRPr="00D4087C" w:rsidRDefault="0066294E" w:rsidP="00E360A0">
            <w:pPr>
              <w:spacing w:after="0"/>
              <w:jc w:val="both"/>
              <w:rPr>
                <w:rFonts w:ascii="Segoe UI" w:eastAsia="Times New Roman" w:hAnsi="Segoe UI" w:cs="Segoe UI"/>
                <w:color w:val="014171"/>
                <w:sz w:val="16"/>
                <w:szCs w:val="18"/>
                <w:lang w:eastAsia="ja-JP"/>
              </w:rPr>
            </w:pPr>
            <w:r w:rsidRPr="00724E9E">
              <w:rPr>
                <w:rFonts w:ascii="Segoe UI" w:eastAsia="Times New Roman" w:hAnsi="Segoe UI" w:cs="Segoe UI"/>
                <w:color w:val="014171"/>
                <w:sz w:val="16"/>
                <w:szCs w:val="18"/>
                <w:lang w:eastAsia="ja-JP"/>
              </w:rPr>
              <w:t>Daiwa Capital Markets Europe Limited</w:t>
            </w:r>
          </w:p>
        </w:tc>
      </w:tr>
      <w:tr w:rsidR="005F73A1" w:rsidRPr="009E440F" w14:paraId="100E7CB9" w14:textId="77777777" w:rsidTr="007A2631">
        <w:trPr>
          <w:trHeight w:val="397"/>
          <w:jc w:val="center"/>
        </w:trPr>
        <w:tc>
          <w:tcPr>
            <w:tcW w:w="954" w:type="dxa"/>
            <w:shd w:val="clear" w:color="auto" w:fill="auto"/>
            <w:noWrap/>
            <w:vAlign w:val="center"/>
          </w:tcPr>
          <w:p w14:paraId="02A6025E" w14:textId="448D8732" w:rsidR="005F73A1" w:rsidRPr="00724E9E" w:rsidRDefault="005F73A1" w:rsidP="00E360A0">
            <w:pPr>
              <w:spacing w:after="0"/>
              <w:jc w:val="both"/>
              <w:rPr>
                <w:rFonts w:ascii="Segoe UI" w:eastAsia="Times New Roman" w:hAnsi="Segoe UI" w:cs="Segoe UI"/>
                <w:b/>
                <w:bCs/>
                <w:color w:val="014171"/>
                <w:sz w:val="16"/>
                <w:szCs w:val="18"/>
                <w:lang w:val="de-DE" w:eastAsia="ja-JP"/>
              </w:rPr>
            </w:pPr>
            <w:r w:rsidRPr="00724E9E">
              <w:rPr>
                <w:rFonts w:ascii="Segoe UI" w:eastAsia="Times New Roman" w:hAnsi="Segoe UI" w:cs="Segoe UI"/>
                <w:b/>
                <w:bCs/>
                <w:color w:val="014171"/>
                <w:sz w:val="16"/>
                <w:szCs w:val="18"/>
                <w:lang w:val="de-DE" w:eastAsia="ja-JP"/>
              </w:rPr>
              <w:t>DCME</w:t>
            </w:r>
            <w:r w:rsidR="00724E9E">
              <w:rPr>
                <w:rFonts w:ascii="Segoe UI" w:eastAsia="Times New Roman" w:hAnsi="Segoe UI" w:cs="Segoe UI"/>
                <w:b/>
                <w:bCs/>
                <w:color w:val="014171"/>
                <w:sz w:val="16"/>
                <w:szCs w:val="18"/>
                <w:lang w:val="de-DE" w:eastAsia="ja-JP"/>
              </w:rPr>
              <w:t>-</w:t>
            </w:r>
            <w:r w:rsidRPr="00724E9E">
              <w:rPr>
                <w:rFonts w:ascii="Segoe UI" w:eastAsia="Times New Roman" w:hAnsi="Segoe UI" w:cs="Segoe UI"/>
                <w:b/>
                <w:bCs/>
                <w:color w:val="014171"/>
                <w:sz w:val="16"/>
                <w:szCs w:val="18"/>
                <w:lang w:val="de-DE" w:eastAsia="ja-JP"/>
              </w:rPr>
              <w:t xml:space="preserve"> Gr</w:t>
            </w:r>
            <w:r w:rsidR="00724E9E">
              <w:rPr>
                <w:rFonts w:ascii="Segoe UI" w:eastAsia="Times New Roman" w:hAnsi="Segoe UI" w:cs="Segoe UI"/>
                <w:b/>
                <w:bCs/>
                <w:color w:val="014171"/>
                <w:sz w:val="16"/>
                <w:szCs w:val="18"/>
                <w:lang w:val="de-DE" w:eastAsia="ja-JP"/>
              </w:rPr>
              <w:t>uppe</w:t>
            </w:r>
          </w:p>
        </w:tc>
        <w:tc>
          <w:tcPr>
            <w:tcW w:w="3149" w:type="dxa"/>
            <w:shd w:val="clear" w:color="auto" w:fill="auto"/>
            <w:noWrap/>
            <w:vAlign w:val="center"/>
          </w:tcPr>
          <w:p w14:paraId="35B58726" w14:textId="56801A83" w:rsidR="005F73A1" w:rsidRPr="009E440F" w:rsidRDefault="009E440F">
            <w:pPr>
              <w:spacing w:after="0"/>
              <w:jc w:val="both"/>
              <w:rPr>
                <w:rFonts w:ascii="Segoe UI" w:eastAsia="Times New Roman" w:hAnsi="Segoe UI" w:cs="Segoe UI"/>
                <w:color w:val="014171"/>
                <w:sz w:val="16"/>
                <w:szCs w:val="18"/>
                <w:lang w:val="de-DE" w:eastAsia="ja-JP"/>
              </w:rPr>
            </w:pPr>
            <w:r w:rsidRPr="00724E9E">
              <w:rPr>
                <w:rFonts w:ascii="Segoe UI" w:eastAsia="Times New Roman" w:hAnsi="Segoe UI" w:cs="Segoe UI"/>
                <w:color w:val="014171"/>
                <w:sz w:val="16"/>
                <w:szCs w:val="18"/>
                <w:lang w:val="de-DE" w:eastAsia="ja-JP"/>
              </w:rPr>
              <w:t>DCME inkl.</w:t>
            </w:r>
            <w:r w:rsidR="005F73A1" w:rsidRPr="00724E9E">
              <w:rPr>
                <w:rFonts w:ascii="Segoe UI" w:eastAsia="Times New Roman" w:hAnsi="Segoe UI" w:cs="Segoe UI"/>
                <w:color w:val="014171"/>
                <w:sz w:val="16"/>
                <w:szCs w:val="18"/>
                <w:lang w:val="de-DE" w:eastAsia="ja-JP"/>
              </w:rPr>
              <w:t xml:space="preserve"> </w:t>
            </w:r>
            <w:r w:rsidR="00B439F4" w:rsidRPr="00724E9E">
              <w:rPr>
                <w:rFonts w:ascii="Segoe UI" w:eastAsia="Times New Roman" w:hAnsi="Segoe UI" w:cs="Segoe UI"/>
                <w:color w:val="014171"/>
                <w:sz w:val="16"/>
                <w:szCs w:val="18"/>
                <w:lang w:val="de-DE" w:eastAsia="ja-JP"/>
              </w:rPr>
              <w:t xml:space="preserve">Tochtergesellschaften </w:t>
            </w:r>
            <w:r w:rsidR="005F73A1" w:rsidRPr="00724E9E">
              <w:rPr>
                <w:rFonts w:ascii="Segoe UI" w:eastAsia="Times New Roman" w:hAnsi="Segoe UI" w:cs="Segoe UI"/>
                <w:color w:val="014171"/>
                <w:sz w:val="16"/>
                <w:szCs w:val="18"/>
                <w:lang w:val="de-DE" w:eastAsia="ja-JP"/>
              </w:rPr>
              <w:t xml:space="preserve">/ </w:t>
            </w:r>
            <w:r w:rsidR="00357632" w:rsidRPr="00724E9E">
              <w:rPr>
                <w:rFonts w:ascii="Segoe UI" w:eastAsia="Times New Roman" w:hAnsi="Segoe UI" w:cs="Segoe UI"/>
                <w:color w:val="014171"/>
                <w:sz w:val="16"/>
                <w:szCs w:val="18"/>
                <w:lang w:val="de-DE" w:eastAsia="ja-JP"/>
              </w:rPr>
              <w:t>Niederlassungen</w:t>
            </w:r>
          </w:p>
        </w:tc>
      </w:tr>
      <w:tr w:rsidR="00A22D32" w:rsidRPr="009E440F" w14:paraId="71EA6491" w14:textId="77777777" w:rsidTr="007A2631">
        <w:trPr>
          <w:trHeight w:val="397"/>
          <w:jc w:val="center"/>
        </w:trPr>
        <w:tc>
          <w:tcPr>
            <w:tcW w:w="954" w:type="dxa"/>
            <w:shd w:val="clear" w:color="auto" w:fill="auto"/>
            <w:noWrap/>
            <w:vAlign w:val="center"/>
          </w:tcPr>
          <w:p w14:paraId="21F856DC" w14:textId="77777777" w:rsidR="0031662A" w:rsidRPr="00724E9E" w:rsidRDefault="0031662A" w:rsidP="00E360A0">
            <w:pPr>
              <w:spacing w:after="0"/>
              <w:jc w:val="both"/>
              <w:rPr>
                <w:rFonts w:ascii="Segoe UI" w:eastAsia="Times New Roman" w:hAnsi="Segoe UI" w:cs="Segoe UI"/>
                <w:b/>
                <w:bCs/>
                <w:color w:val="014171"/>
                <w:sz w:val="16"/>
                <w:szCs w:val="18"/>
                <w:lang w:val="de-DE"/>
              </w:rPr>
            </w:pPr>
            <w:r w:rsidRPr="00724E9E">
              <w:rPr>
                <w:rFonts w:ascii="Segoe UI" w:eastAsia="Times New Roman" w:hAnsi="Segoe UI" w:cs="Segoe UI"/>
                <w:b/>
                <w:bCs/>
                <w:color w:val="014171"/>
                <w:sz w:val="16"/>
                <w:szCs w:val="18"/>
                <w:lang w:val="de-DE"/>
              </w:rPr>
              <w:t>DSGI</w:t>
            </w:r>
          </w:p>
        </w:tc>
        <w:tc>
          <w:tcPr>
            <w:tcW w:w="3149" w:type="dxa"/>
            <w:shd w:val="clear" w:color="auto" w:fill="auto"/>
            <w:noWrap/>
            <w:vAlign w:val="center"/>
          </w:tcPr>
          <w:p w14:paraId="4F28F922" w14:textId="77777777" w:rsidR="0031662A" w:rsidRPr="009E440F" w:rsidRDefault="0031662A" w:rsidP="00E360A0">
            <w:pPr>
              <w:spacing w:after="0"/>
              <w:jc w:val="both"/>
              <w:rPr>
                <w:rFonts w:ascii="Segoe UI" w:eastAsia="Times New Roman" w:hAnsi="Segoe UI" w:cs="Segoe UI"/>
                <w:color w:val="014171"/>
                <w:sz w:val="16"/>
                <w:szCs w:val="18"/>
                <w:lang w:val="de-DE"/>
              </w:rPr>
            </w:pPr>
            <w:r w:rsidRPr="00724E9E">
              <w:rPr>
                <w:rFonts w:ascii="Segoe UI" w:eastAsia="Times New Roman" w:hAnsi="Segoe UI" w:cs="Segoe UI"/>
                <w:color w:val="014171"/>
                <w:sz w:val="16"/>
                <w:szCs w:val="18"/>
                <w:lang w:val="de-DE"/>
              </w:rPr>
              <w:t>Daiwa Securities Group Inc.</w:t>
            </w:r>
          </w:p>
        </w:tc>
      </w:tr>
      <w:tr w:rsidR="00B81A57" w:rsidRPr="009E440F" w14:paraId="48E05FDA" w14:textId="77777777" w:rsidTr="007A2631">
        <w:trPr>
          <w:trHeight w:val="397"/>
          <w:jc w:val="center"/>
        </w:trPr>
        <w:tc>
          <w:tcPr>
            <w:tcW w:w="954" w:type="dxa"/>
            <w:shd w:val="clear" w:color="auto" w:fill="auto"/>
            <w:noWrap/>
            <w:vAlign w:val="center"/>
          </w:tcPr>
          <w:p w14:paraId="5014AC58" w14:textId="176EF398" w:rsidR="00B81A57" w:rsidRPr="00724E9E" w:rsidRDefault="00B81A57" w:rsidP="00E360A0">
            <w:pPr>
              <w:spacing w:after="0"/>
              <w:jc w:val="both"/>
              <w:rPr>
                <w:rFonts w:ascii="Segoe UI" w:eastAsia="Times New Roman" w:hAnsi="Segoe UI" w:cs="Segoe UI"/>
                <w:b/>
                <w:bCs/>
                <w:color w:val="014171"/>
                <w:sz w:val="16"/>
                <w:szCs w:val="18"/>
                <w:lang w:val="de-DE"/>
              </w:rPr>
            </w:pPr>
            <w:r w:rsidRPr="00724E9E">
              <w:rPr>
                <w:rFonts w:ascii="Segoe UI" w:eastAsia="Times New Roman" w:hAnsi="Segoe UI" w:cs="Segoe UI"/>
                <w:b/>
                <w:bCs/>
                <w:color w:val="014171"/>
                <w:sz w:val="16"/>
                <w:szCs w:val="18"/>
                <w:lang w:val="de-DE"/>
              </w:rPr>
              <w:t>EBA</w:t>
            </w:r>
          </w:p>
        </w:tc>
        <w:tc>
          <w:tcPr>
            <w:tcW w:w="3149" w:type="dxa"/>
            <w:shd w:val="clear" w:color="auto" w:fill="auto"/>
            <w:noWrap/>
            <w:vAlign w:val="center"/>
          </w:tcPr>
          <w:p w14:paraId="44248A74" w14:textId="7AA4AB04" w:rsidR="00B81A57" w:rsidRPr="009E440F" w:rsidRDefault="00B439F4" w:rsidP="00E360A0">
            <w:pPr>
              <w:spacing w:after="0"/>
              <w:jc w:val="both"/>
              <w:rPr>
                <w:rFonts w:ascii="Segoe UI" w:eastAsia="Times New Roman" w:hAnsi="Segoe UI" w:cs="Segoe UI"/>
                <w:color w:val="014171"/>
                <w:sz w:val="16"/>
                <w:szCs w:val="18"/>
                <w:lang w:val="de-DE"/>
              </w:rPr>
            </w:pPr>
            <w:r w:rsidRPr="00724E9E">
              <w:rPr>
                <w:rFonts w:ascii="Segoe UI" w:eastAsia="Times New Roman" w:hAnsi="Segoe UI" w:cs="Segoe UI"/>
                <w:color w:val="014171"/>
                <w:sz w:val="16"/>
                <w:szCs w:val="18"/>
                <w:lang w:val="de-DE"/>
              </w:rPr>
              <w:t>Europäische Bankenaufsichtsbehörde</w:t>
            </w:r>
          </w:p>
        </w:tc>
      </w:tr>
      <w:tr w:rsidR="00FE76DF" w:rsidRPr="009E440F" w14:paraId="13F1C924" w14:textId="77777777" w:rsidTr="007A2631">
        <w:trPr>
          <w:trHeight w:val="397"/>
          <w:jc w:val="center"/>
        </w:trPr>
        <w:tc>
          <w:tcPr>
            <w:tcW w:w="954" w:type="dxa"/>
            <w:shd w:val="clear" w:color="auto" w:fill="auto"/>
            <w:noWrap/>
            <w:vAlign w:val="center"/>
          </w:tcPr>
          <w:p w14:paraId="34742AB0" w14:textId="43A003EE" w:rsidR="00FE76DF" w:rsidRPr="00724E9E" w:rsidRDefault="00FE76DF" w:rsidP="00E360A0">
            <w:pPr>
              <w:spacing w:after="0"/>
              <w:jc w:val="both"/>
              <w:rPr>
                <w:rFonts w:ascii="Segoe UI" w:eastAsia="Times New Roman" w:hAnsi="Segoe UI" w:cs="Segoe UI"/>
                <w:b/>
                <w:bCs/>
                <w:color w:val="014171"/>
                <w:sz w:val="16"/>
                <w:szCs w:val="18"/>
                <w:lang w:val="de-DE"/>
              </w:rPr>
            </w:pPr>
            <w:r w:rsidRPr="00724E9E">
              <w:rPr>
                <w:rFonts w:ascii="Segoe UI" w:eastAsia="Times New Roman" w:hAnsi="Segoe UI" w:cs="Segoe UI"/>
                <w:b/>
                <w:bCs/>
                <w:color w:val="014171"/>
                <w:sz w:val="16"/>
                <w:szCs w:val="18"/>
                <w:lang w:val="de-DE"/>
              </w:rPr>
              <w:t>ESG</w:t>
            </w:r>
            <w:r w:rsidR="00313E3A" w:rsidRPr="00724E9E">
              <w:rPr>
                <w:rFonts w:ascii="Segoe UI" w:eastAsia="Times New Roman" w:hAnsi="Segoe UI" w:cs="Segoe UI"/>
                <w:b/>
                <w:bCs/>
                <w:color w:val="014171"/>
                <w:sz w:val="16"/>
                <w:szCs w:val="18"/>
                <w:lang w:val="de-DE"/>
              </w:rPr>
              <w:t>-Risiken</w:t>
            </w:r>
          </w:p>
        </w:tc>
        <w:tc>
          <w:tcPr>
            <w:tcW w:w="3149" w:type="dxa"/>
            <w:shd w:val="clear" w:color="auto" w:fill="auto"/>
            <w:noWrap/>
            <w:vAlign w:val="center"/>
          </w:tcPr>
          <w:p w14:paraId="67968178" w14:textId="3867EC65" w:rsidR="00FE76DF" w:rsidRPr="009E440F" w:rsidRDefault="00B439F4" w:rsidP="0074724B">
            <w:pPr>
              <w:spacing w:after="0"/>
              <w:jc w:val="both"/>
              <w:rPr>
                <w:rFonts w:ascii="Segoe UI" w:eastAsia="Times New Roman" w:hAnsi="Segoe UI" w:cs="Segoe UI"/>
                <w:color w:val="014171"/>
                <w:sz w:val="16"/>
                <w:szCs w:val="18"/>
                <w:lang w:val="de-DE"/>
              </w:rPr>
            </w:pPr>
            <w:r w:rsidRPr="00724E9E">
              <w:rPr>
                <w:rFonts w:ascii="Segoe UI" w:eastAsia="Times New Roman" w:hAnsi="Segoe UI" w:cs="Segoe UI"/>
                <w:color w:val="014171"/>
                <w:sz w:val="16"/>
                <w:szCs w:val="18"/>
                <w:lang w:val="de-DE"/>
              </w:rPr>
              <w:t>Umwelt, Sozial- und Unternehmensführungsrisiken</w:t>
            </w:r>
          </w:p>
        </w:tc>
      </w:tr>
      <w:tr w:rsidR="00A22D32" w:rsidRPr="009E440F" w14:paraId="6993C806" w14:textId="77777777" w:rsidTr="007A2631">
        <w:trPr>
          <w:trHeight w:val="397"/>
          <w:jc w:val="center"/>
        </w:trPr>
        <w:tc>
          <w:tcPr>
            <w:tcW w:w="954" w:type="dxa"/>
            <w:shd w:val="clear" w:color="auto" w:fill="auto"/>
            <w:noWrap/>
            <w:vAlign w:val="center"/>
          </w:tcPr>
          <w:p w14:paraId="298BA65A" w14:textId="7E5FEE9C" w:rsidR="00F564F7" w:rsidRPr="0046753E" w:rsidRDefault="00F564F7" w:rsidP="00F564F7">
            <w:pPr>
              <w:spacing w:after="0"/>
              <w:jc w:val="both"/>
              <w:rPr>
                <w:rFonts w:ascii="Segoe UI" w:eastAsia="Times New Roman" w:hAnsi="Segoe UI" w:cs="Segoe UI"/>
                <w:b/>
                <w:bCs/>
                <w:color w:val="014171"/>
                <w:sz w:val="16"/>
                <w:szCs w:val="18"/>
                <w:lang w:val="de-DE" w:eastAsia="ja-JP"/>
              </w:rPr>
            </w:pPr>
            <w:r w:rsidRPr="0046753E">
              <w:rPr>
                <w:rFonts w:ascii="Segoe UI" w:eastAsia="Times New Roman" w:hAnsi="Segoe UI" w:cs="Segoe UI"/>
                <w:b/>
                <w:bCs/>
                <w:color w:val="014171"/>
                <w:sz w:val="16"/>
                <w:szCs w:val="18"/>
                <w:lang w:val="de-DE" w:eastAsia="ja-JP"/>
              </w:rPr>
              <w:t>Ex</w:t>
            </w:r>
            <w:r w:rsidR="00724E9E" w:rsidRPr="0046753E">
              <w:rPr>
                <w:rFonts w:ascii="Segoe UI" w:eastAsia="Times New Roman" w:hAnsi="Segoe UI" w:cs="Segoe UI"/>
                <w:b/>
                <w:bCs/>
                <w:color w:val="014171"/>
                <w:sz w:val="16"/>
                <w:szCs w:val="18"/>
                <w:lang w:val="de-DE" w:eastAsia="ja-JP"/>
              </w:rPr>
              <w:t>K</w:t>
            </w:r>
            <w:r w:rsidRPr="0046753E">
              <w:rPr>
                <w:rFonts w:ascii="Segoe UI" w:eastAsia="Times New Roman" w:hAnsi="Segoe UI" w:cs="Segoe UI"/>
                <w:b/>
                <w:bCs/>
                <w:color w:val="014171"/>
                <w:sz w:val="16"/>
                <w:szCs w:val="18"/>
                <w:lang w:val="de-DE" w:eastAsia="ja-JP"/>
              </w:rPr>
              <w:t>o</w:t>
            </w:r>
          </w:p>
        </w:tc>
        <w:tc>
          <w:tcPr>
            <w:tcW w:w="3149" w:type="dxa"/>
            <w:shd w:val="clear" w:color="auto" w:fill="auto"/>
            <w:vAlign w:val="center"/>
          </w:tcPr>
          <w:p w14:paraId="6D798297" w14:textId="18DA2A5B" w:rsidR="00F564F7" w:rsidRPr="009E440F" w:rsidRDefault="00A668CC" w:rsidP="00724E9E">
            <w:pPr>
              <w:spacing w:after="0"/>
              <w:jc w:val="both"/>
              <w:rPr>
                <w:rFonts w:ascii="Segoe UI" w:eastAsia="Times New Roman" w:hAnsi="Segoe UI" w:cs="Segoe UI"/>
                <w:color w:val="014171"/>
                <w:sz w:val="16"/>
                <w:szCs w:val="18"/>
                <w:lang w:val="de-DE" w:eastAsia="ja-JP"/>
              </w:rPr>
            </w:pPr>
            <w:r w:rsidRPr="0046753E">
              <w:rPr>
                <w:rFonts w:ascii="Segoe UI" w:eastAsia="Times New Roman" w:hAnsi="Segoe UI" w:cs="Segoe UI"/>
                <w:color w:val="014171"/>
                <w:sz w:val="16"/>
                <w:szCs w:val="18"/>
                <w:lang w:val="de-DE" w:eastAsia="ja-JP"/>
              </w:rPr>
              <w:t>Exe</w:t>
            </w:r>
            <w:r w:rsidR="00724E9E" w:rsidRPr="0046753E">
              <w:rPr>
                <w:rFonts w:ascii="Segoe UI" w:eastAsia="Times New Roman" w:hAnsi="Segoe UI" w:cs="Segoe UI"/>
                <w:color w:val="014171"/>
                <w:sz w:val="16"/>
                <w:szCs w:val="18"/>
                <w:lang w:val="de-DE" w:eastAsia="ja-JP"/>
              </w:rPr>
              <w:t>k</w:t>
            </w:r>
            <w:r w:rsidRPr="0046753E">
              <w:rPr>
                <w:rFonts w:ascii="Segoe UI" w:eastAsia="Times New Roman" w:hAnsi="Segoe UI" w:cs="Segoe UI"/>
                <w:color w:val="014171"/>
                <w:sz w:val="16"/>
                <w:szCs w:val="18"/>
                <w:lang w:val="de-DE" w:eastAsia="ja-JP"/>
              </w:rPr>
              <w:t xml:space="preserve">utiv </w:t>
            </w:r>
            <w:r w:rsidR="00B439F4" w:rsidRPr="0046753E">
              <w:rPr>
                <w:rFonts w:ascii="Segoe UI" w:eastAsia="Times New Roman" w:hAnsi="Segoe UI" w:cs="Segoe UI"/>
                <w:color w:val="014171"/>
                <w:sz w:val="16"/>
                <w:szCs w:val="18"/>
                <w:lang w:val="de-DE" w:eastAsia="ja-JP"/>
              </w:rPr>
              <w:t>K</w:t>
            </w:r>
            <w:r w:rsidRPr="0046753E">
              <w:rPr>
                <w:rFonts w:ascii="Segoe UI" w:eastAsia="Times New Roman" w:hAnsi="Segoe UI" w:cs="Segoe UI"/>
                <w:color w:val="014171"/>
                <w:sz w:val="16"/>
                <w:szCs w:val="18"/>
                <w:lang w:val="de-DE" w:eastAsia="ja-JP"/>
              </w:rPr>
              <w:t>omitee</w:t>
            </w:r>
          </w:p>
        </w:tc>
      </w:tr>
      <w:tr w:rsidR="00A22D32" w:rsidRPr="00AB3754" w14:paraId="2103E396" w14:textId="77777777" w:rsidTr="007A2631">
        <w:trPr>
          <w:trHeight w:val="397"/>
          <w:jc w:val="center"/>
        </w:trPr>
        <w:tc>
          <w:tcPr>
            <w:tcW w:w="954" w:type="dxa"/>
            <w:shd w:val="clear" w:color="auto" w:fill="auto"/>
            <w:noWrap/>
            <w:vAlign w:val="center"/>
          </w:tcPr>
          <w:p w14:paraId="0E59EC30" w14:textId="77777777" w:rsidR="0031662A" w:rsidRPr="0046753E" w:rsidRDefault="0031662A" w:rsidP="00E360A0">
            <w:pPr>
              <w:spacing w:after="0"/>
              <w:jc w:val="both"/>
              <w:rPr>
                <w:rFonts w:ascii="Segoe UI" w:eastAsia="Times New Roman" w:hAnsi="Segoe UI" w:cs="Segoe UI"/>
                <w:b/>
                <w:bCs/>
                <w:color w:val="014171"/>
                <w:sz w:val="16"/>
                <w:szCs w:val="18"/>
                <w:lang w:val="de-DE" w:eastAsia="ja-JP"/>
              </w:rPr>
            </w:pPr>
            <w:r w:rsidRPr="0046753E">
              <w:rPr>
                <w:rFonts w:ascii="Segoe UI" w:eastAsia="Times New Roman" w:hAnsi="Segoe UI" w:cs="Segoe UI"/>
                <w:b/>
                <w:bCs/>
                <w:color w:val="014171"/>
                <w:sz w:val="16"/>
                <w:szCs w:val="18"/>
                <w:lang w:val="de-DE" w:eastAsia="ja-JP"/>
              </w:rPr>
              <w:t>FOR</w:t>
            </w:r>
          </w:p>
        </w:tc>
        <w:tc>
          <w:tcPr>
            <w:tcW w:w="3149" w:type="dxa"/>
            <w:shd w:val="clear" w:color="auto" w:fill="auto"/>
            <w:vAlign w:val="center"/>
          </w:tcPr>
          <w:p w14:paraId="2AC6A064" w14:textId="3650ECE2" w:rsidR="0031662A" w:rsidRPr="009E440F" w:rsidRDefault="001006A2" w:rsidP="0046753E">
            <w:pPr>
              <w:spacing w:after="0"/>
              <w:rPr>
                <w:rFonts w:ascii="Segoe UI" w:eastAsia="Times New Roman" w:hAnsi="Segoe UI" w:cs="Segoe UI"/>
                <w:color w:val="014171"/>
                <w:sz w:val="16"/>
                <w:szCs w:val="18"/>
                <w:lang w:val="de-DE" w:eastAsia="ja-JP"/>
              </w:rPr>
            </w:pPr>
            <w:r w:rsidRPr="0046753E">
              <w:rPr>
                <w:rFonts w:ascii="Segoe UI" w:eastAsia="Times New Roman" w:hAnsi="Segoe UI" w:cs="Segoe UI"/>
                <w:color w:val="014171"/>
                <w:sz w:val="16"/>
                <w:szCs w:val="18"/>
                <w:lang w:val="de-DE" w:eastAsia="ja-JP"/>
              </w:rPr>
              <w:t xml:space="preserve">Anforderung an die </w:t>
            </w:r>
            <w:r w:rsidR="0046753E" w:rsidRPr="0046753E">
              <w:rPr>
                <w:rFonts w:ascii="Segoe UI" w:eastAsia="Times New Roman" w:hAnsi="Segoe UI" w:cs="Segoe UI"/>
                <w:color w:val="014171"/>
                <w:sz w:val="16"/>
                <w:szCs w:val="18"/>
                <w:lang w:val="de-DE" w:eastAsia="ja-JP"/>
              </w:rPr>
              <w:t>f</w:t>
            </w:r>
            <w:r w:rsidRPr="0046753E">
              <w:rPr>
                <w:rFonts w:ascii="Segoe UI" w:eastAsia="Times New Roman" w:hAnsi="Segoe UI" w:cs="Segoe UI"/>
                <w:color w:val="014171"/>
                <w:sz w:val="16"/>
                <w:szCs w:val="18"/>
                <w:lang w:val="de-DE" w:eastAsia="ja-JP"/>
              </w:rPr>
              <w:t>ixen Gemeinkosten</w:t>
            </w:r>
            <w:r w:rsidR="00724E9E" w:rsidRPr="0046753E">
              <w:rPr>
                <w:rFonts w:ascii="Segoe UI" w:eastAsia="Times New Roman" w:hAnsi="Segoe UI" w:cs="Segoe UI"/>
                <w:color w:val="014171"/>
                <w:sz w:val="16"/>
                <w:szCs w:val="18"/>
                <w:lang w:val="de-DE" w:eastAsia="ja-JP"/>
              </w:rPr>
              <w:t xml:space="preserve"> (</w:t>
            </w:r>
            <w:r w:rsidR="00724E9E" w:rsidRPr="0046753E">
              <w:rPr>
                <w:rFonts w:ascii="Segoe UI" w:eastAsia="Times New Roman" w:hAnsi="Segoe UI" w:cs="Segoe UI"/>
                <w:i/>
                <w:color w:val="014171"/>
                <w:sz w:val="16"/>
                <w:szCs w:val="18"/>
                <w:lang w:val="de-DE" w:eastAsia="ja-JP"/>
              </w:rPr>
              <w:t>Fixed Overheads Requirements</w:t>
            </w:r>
            <w:r w:rsidR="0046753E" w:rsidRPr="0046753E">
              <w:rPr>
                <w:rFonts w:ascii="Segoe UI" w:eastAsia="Times New Roman" w:hAnsi="Segoe UI" w:cs="Segoe UI"/>
                <w:color w:val="014171"/>
                <w:sz w:val="16"/>
                <w:szCs w:val="18"/>
                <w:lang w:val="de-DE" w:eastAsia="ja-JP"/>
              </w:rPr>
              <w:t>)</w:t>
            </w:r>
          </w:p>
        </w:tc>
      </w:tr>
      <w:tr w:rsidR="006C1309" w:rsidRPr="009E440F" w14:paraId="1579AEA2" w14:textId="77777777" w:rsidTr="003B699C">
        <w:trPr>
          <w:trHeight w:val="397"/>
          <w:jc w:val="center"/>
        </w:trPr>
        <w:tc>
          <w:tcPr>
            <w:tcW w:w="954" w:type="dxa"/>
            <w:shd w:val="clear" w:color="auto" w:fill="auto"/>
            <w:noWrap/>
            <w:vAlign w:val="center"/>
          </w:tcPr>
          <w:p w14:paraId="3B521207" w14:textId="77777777" w:rsidR="006C1309" w:rsidRPr="0046753E" w:rsidRDefault="006C1309" w:rsidP="003B699C">
            <w:pPr>
              <w:spacing w:after="0"/>
              <w:jc w:val="both"/>
              <w:rPr>
                <w:rFonts w:ascii="Segoe UI" w:eastAsia="Times New Roman" w:hAnsi="Segoe UI" w:cs="Segoe UI"/>
                <w:b/>
                <w:bCs/>
                <w:color w:val="014171"/>
                <w:sz w:val="16"/>
                <w:szCs w:val="18"/>
                <w:lang w:val="de-DE" w:eastAsia="ja-JP"/>
              </w:rPr>
            </w:pPr>
            <w:r w:rsidRPr="0046753E">
              <w:rPr>
                <w:rFonts w:ascii="Segoe UI" w:eastAsia="Times New Roman" w:hAnsi="Segoe UI" w:cs="Segoe UI"/>
                <w:b/>
                <w:bCs/>
                <w:color w:val="014171"/>
                <w:sz w:val="16"/>
                <w:szCs w:val="18"/>
                <w:lang w:val="de-DE" w:eastAsia="ja-JP"/>
              </w:rPr>
              <w:t>FWI</w:t>
            </w:r>
          </w:p>
        </w:tc>
        <w:tc>
          <w:tcPr>
            <w:tcW w:w="3149" w:type="dxa"/>
            <w:shd w:val="clear" w:color="auto" w:fill="auto"/>
            <w:vAlign w:val="center"/>
          </w:tcPr>
          <w:p w14:paraId="568A5F5F" w14:textId="77777777" w:rsidR="006C1309" w:rsidRPr="009E440F" w:rsidRDefault="006C1309" w:rsidP="003B699C">
            <w:pPr>
              <w:spacing w:after="0"/>
              <w:jc w:val="both"/>
              <w:rPr>
                <w:rFonts w:ascii="Segoe UI" w:eastAsia="Times New Roman" w:hAnsi="Segoe UI" w:cs="Segoe UI"/>
                <w:color w:val="014171"/>
                <w:sz w:val="16"/>
                <w:szCs w:val="18"/>
                <w:lang w:val="de-DE" w:eastAsia="ja-JP"/>
              </w:rPr>
            </w:pPr>
            <w:r w:rsidRPr="0046753E">
              <w:rPr>
                <w:rFonts w:ascii="Segoe UI" w:eastAsia="Times New Roman" w:hAnsi="Segoe UI" w:cs="Segoe UI"/>
                <w:color w:val="014171"/>
                <w:sz w:val="16"/>
                <w:szCs w:val="18"/>
                <w:lang w:val="de-DE" w:eastAsia="ja-JP"/>
              </w:rPr>
              <w:t>Frühwarnindikatoren</w:t>
            </w:r>
          </w:p>
        </w:tc>
      </w:tr>
      <w:tr w:rsidR="009713B5" w:rsidRPr="009E440F" w14:paraId="37C37443" w14:textId="77777777" w:rsidTr="00CA5252">
        <w:trPr>
          <w:trHeight w:val="397"/>
          <w:jc w:val="center"/>
        </w:trPr>
        <w:tc>
          <w:tcPr>
            <w:tcW w:w="954" w:type="dxa"/>
            <w:shd w:val="clear" w:color="auto" w:fill="auto"/>
            <w:noWrap/>
            <w:vAlign w:val="center"/>
          </w:tcPr>
          <w:p w14:paraId="211DDE09" w14:textId="77777777" w:rsidR="009713B5" w:rsidRPr="00617D0C" w:rsidRDefault="009713B5" w:rsidP="00CA5252">
            <w:pPr>
              <w:spacing w:after="0"/>
              <w:jc w:val="both"/>
              <w:rPr>
                <w:rFonts w:ascii="Segoe UI" w:eastAsia="Times New Roman" w:hAnsi="Segoe UI" w:cs="Segoe UI"/>
                <w:b/>
                <w:bCs/>
                <w:color w:val="014171"/>
                <w:sz w:val="16"/>
                <w:szCs w:val="18"/>
                <w:lang w:val="de-DE" w:eastAsia="ja-JP"/>
              </w:rPr>
            </w:pPr>
            <w:r w:rsidRPr="00617D0C">
              <w:rPr>
                <w:rFonts w:ascii="Segoe UI" w:eastAsia="Times New Roman" w:hAnsi="Segoe UI" w:cs="Segoe UI"/>
                <w:b/>
                <w:bCs/>
                <w:color w:val="014171"/>
                <w:sz w:val="16"/>
                <w:szCs w:val="18"/>
                <w:lang w:val="de-DE" w:eastAsia="ja-JP"/>
              </w:rPr>
              <w:t>GF</w:t>
            </w:r>
          </w:p>
        </w:tc>
        <w:tc>
          <w:tcPr>
            <w:tcW w:w="3149" w:type="dxa"/>
            <w:shd w:val="clear" w:color="auto" w:fill="auto"/>
            <w:noWrap/>
            <w:vAlign w:val="center"/>
          </w:tcPr>
          <w:p w14:paraId="11DBC93A" w14:textId="77777777" w:rsidR="009713B5" w:rsidRPr="009E440F" w:rsidRDefault="009713B5" w:rsidP="00CA5252">
            <w:pPr>
              <w:spacing w:after="0"/>
              <w:jc w:val="both"/>
              <w:rPr>
                <w:rFonts w:ascii="Segoe UI" w:eastAsia="Times New Roman" w:hAnsi="Segoe UI" w:cs="Segoe UI"/>
                <w:color w:val="014171"/>
                <w:sz w:val="16"/>
                <w:szCs w:val="18"/>
                <w:lang w:val="de-DE" w:eastAsia="ja-JP"/>
              </w:rPr>
            </w:pPr>
            <w:r w:rsidRPr="00617D0C">
              <w:rPr>
                <w:rFonts w:ascii="Segoe UI" w:eastAsia="Times New Roman" w:hAnsi="Segoe UI" w:cs="Segoe UI"/>
                <w:color w:val="014171"/>
                <w:sz w:val="16"/>
                <w:szCs w:val="18"/>
                <w:lang w:val="de-DE" w:eastAsia="ja-JP"/>
              </w:rPr>
              <w:t>Geschäftsführer</w:t>
            </w:r>
          </w:p>
        </w:tc>
      </w:tr>
      <w:tr w:rsidR="00A22D32" w:rsidRPr="009E440F" w14:paraId="0ED01981" w14:textId="77777777" w:rsidTr="007A2631">
        <w:trPr>
          <w:trHeight w:val="397"/>
          <w:jc w:val="center"/>
        </w:trPr>
        <w:tc>
          <w:tcPr>
            <w:tcW w:w="954" w:type="dxa"/>
            <w:shd w:val="clear" w:color="auto" w:fill="auto"/>
            <w:noWrap/>
            <w:vAlign w:val="center"/>
          </w:tcPr>
          <w:p w14:paraId="2881760E" w14:textId="09D38D7A" w:rsidR="00C45062" w:rsidRPr="0046753E" w:rsidRDefault="00C45062" w:rsidP="00E360A0">
            <w:pPr>
              <w:spacing w:after="0"/>
              <w:jc w:val="both"/>
              <w:rPr>
                <w:rFonts w:ascii="Segoe UI" w:eastAsia="Times New Roman" w:hAnsi="Segoe UI" w:cs="Segoe UI"/>
                <w:b/>
                <w:bCs/>
                <w:color w:val="014171"/>
                <w:sz w:val="16"/>
                <w:szCs w:val="18"/>
                <w:lang w:val="de-DE" w:eastAsia="ja-JP"/>
              </w:rPr>
            </w:pPr>
            <w:r w:rsidRPr="0046753E">
              <w:rPr>
                <w:rFonts w:ascii="Segoe UI" w:eastAsia="Times New Roman" w:hAnsi="Segoe UI" w:cs="Segoe UI"/>
                <w:b/>
                <w:bCs/>
                <w:color w:val="014171"/>
                <w:sz w:val="16"/>
                <w:szCs w:val="18"/>
                <w:lang w:val="de-DE" w:eastAsia="ja-JP"/>
              </w:rPr>
              <w:t>ICAAP</w:t>
            </w:r>
          </w:p>
        </w:tc>
        <w:tc>
          <w:tcPr>
            <w:tcW w:w="3149" w:type="dxa"/>
            <w:shd w:val="clear" w:color="auto" w:fill="auto"/>
            <w:noWrap/>
            <w:vAlign w:val="center"/>
          </w:tcPr>
          <w:p w14:paraId="099AB2F5" w14:textId="19810670" w:rsidR="00C45062" w:rsidRPr="00AB3754" w:rsidRDefault="00A65291" w:rsidP="00E360A0">
            <w:pPr>
              <w:spacing w:after="0"/>
              <w:jc w:val="both"/>
              <w:rPr>
                <w:rFonts w:ascii="Segoe UI" w:eastAsia="Times New Roman" w:hAnsi="Segoe UI" w:cs="Segoe UI"/>
                <w:color w:val="014171"/>
                <w:sz w:val="16"/>
                <w:szCs w:val="18"/>
                <w:lang w:eastAsia="ja-JP"/>
              </w:rPr>
            </w:pPr>
            <w:r w:rsidRPr="00AB3754">
              <w:rPr>
                <w:rFonts w:ascii="Segoe UI" w:eastAsia="Times New Roman" w:hAnsi="Segoe UI" w:cs="Segoe UI"/>
                <w:color w:val="014171"/>
                <w:sz w:val="16"/>
                <w:szCs w:val="18"/>
                <w:lang w:eastAsia="ja-JP"/>
              </w:rPr>
              <w:t>Internes Kapitaladäquanzverfahren</w:t>
            </w:r>
            <w:r w:rsidR="0046753E" w:rsidRPr="00AB3754">
              <w:rPr>
                <w:rFonts w:ascii="Segoe UI" w:eastAsia="Times New Roman" w:hAnsi="Segoe UI" w:cs="Segoe UI"/>
                <w:color w:val="014171"/>
                <w:sz w:val="16"/>
                <w:szCs w:val="18"/>
                <w:lang w:eastAsia="ja-JP"/>
              </w:rPr>
              <w:t xml:space="preserve"> (</w:t>
            </w:r>
            <w:r w:rsidR="0046753E" w:rsidRPr="00AB3754">
              <w:rPr>
                <w:rFonts w:ascii="Segoe UI" w:eastAsia="Times New Roman" w:hAnsi="Segoe UI" w:cs="Segoe UI"/>
                <w:i/>
                <w:color w:val="014171"/>
                <w:sz w:val="16"/>
                <w:szCs w:val="18"/>
                <w:lang w:eastAsia="ja-JP"/>
              </w:rPr>
              <w:t>Internal Capital Adequacy Assessment Process</w:t>
            </w:r>
            <w:r w:rsidR="0046753E" w:rsidRPr="00AB3754">
              <w:rPr>
                <w:rFonts w:ascii="Segoe UI" w:eastAsia="Times New Roman" w:hAnsi="Segoe UI" w:cs="Segoe UI"/>
                <w:color w:val="014171"/>
                <w:sz w:val="16"/>
                <w:szCs w:val="18"/>
                <w:lang w:eastAsia="ja-JP"/>
              </w:rPr>
              <w:t>)</w:t>
            </w:r>
          </w:p>
        </w:tc>
      </w:tr>
      <w:tr w:rsidR="00584B1D" w:rsidRPr="006C6B73" w14:paraId="200B6EF2" w14:textId="77777777" w:rsidTr="007A2631">
        <w:trPr>
          <w:trHeight w:val="397"/>
          <w:jc w:val="center"/>
        </w:trPr>
        <w:tc>
          <w:tcPr>
            <w:tcW w:w="954" w:type="dxa"/>
            <w:shd w:val="clear" w:color="auto" w:fill="auto"/>
            <w:noWrap/>
            <w:vAlign w:val="center"/>
          </w:tcPr>
          <w:p w14:paraId="4A3BE5F2" w14:textId="6AB8C4BC" w:rsidR="00584B1D" w:rsidRPr="0046753E" w:rsidRDefault="00584B1D" w:rsidP="00E360A0">
            <w:pPr>
              <w:spacing w:after="0"/>
              <w:jc w:val="both"/>
              <w:rPr>
                <w:rFonts w:ascii="Segoe UI" w:eastAsia="Times New Roman" w:hAnsi="Segoe UI" w:cs="Segoe UI"/>
                <w:b/>
                <w:bCs/>
                <w:color w:val="014171"/>
                <w:sz w:val="16"/>
                <w:szCs w:val="18"/>
                <w:lang w:val="de-DE"/>
              </w:rPr>
            </w:pPr>
            <w:r w:rsidRPr="0046753E">
              <w:rPr>
                <w:rFonts w:ascii="Segoe UI" w:eastAsia="Times New Roman" w:hAnsi="Segoe UI" w:cs="Segoe UI"/>
                <w:b/>
                <w:bCs/>
                <w:color w:val="014171"/>
                <w:sz w:val="16"/>
                <w:szCs w:val="18"/>
                <w:lang w:val="de-DE"/>
              </w:rPr>
              <w:t>IFD</w:t>
            </w:r>
          </w:p>
        </w:tc>
        <w:tc>
          <w:tcPr>
            <w:tcW w:w="3149" w:type="dxa"/>
            <w:shd w:val="clear" w:color="auto" w:fill="auto"/>
            <w:noWrap/>
            <w:vAlign w:val="center"/>
          </w:tcPr>
          <w:p w14:paraId="2F8AC56D" w14:textId="77777777" w:rsidR="006C5CDC" w:rsidRDefault="003D4CA0" w:rsidP="00E360A0">
            <w:pPr>
              <w:spacing w:after="0"/>
              <w:jc w:val="both"/>
              <w:rPr>
                <w:rFonts w:ascii="Segoe UI" w:eastAsia="Times New Roman" w:hAnsi="Segoe UI" w:cs="Segoe UI"/>
                <w:color w:val="014171"/>
                <w:sz w:val="16"/>
                <w:szCs w:val="18"/>
                <w:lang w:val="de-DE"/>
              </w:rPr>
            </w:pPr>
            <w:r w:rsidRPr="0046753E">
              <w:rPr>
                <w:rFonts w:ascii="Segoe UI" w:eastAsia="Times New Roman" w:hAnsi="Segoe UI" w:cs="Segoe UI"/>
                <w:color w:val="014171"/>
                <w:sz w:val="16"/>
                <w:szCs w:val="18"/>
                <w:lang w:val="de-DE"/>
              </w:rPr>
              <w:t>Richtlinie über die Beaufsichtigung von Wertpapierfirmen</w:t>
            </w:r>
          </w:p>
          <w:p w14:paraId="76F13F04" w14:textId="4AA919DC" w:rsidR="00584B1D" w:rsidRPr="009E440F" w:rsidRDefault="0046753E" w:rsidP="00E360A0">
            <w:pPr>
              <w:spacing w:after="0"/>
              <w:jc w:val="both"/>
              <w:rPr>
                <w:rFonts w:ascii="Segoe UI" w:eastAsia="Times New Roman" w:hAnsi="Segoe UI" w:cs="Segoe UI"/>
                <w:color w:val="014171"/>
                <w:sz w:val="16"/>
                <w:szCs w:val="18"/>
                <w:lang w:val="de-DE"/>
              </w:rPr>
            </w:pPr>
            <w:r w:rsidRPr="0046753E">
              <w:rPr>
                <w:rFonts w:ascii="Segoe UI" w:eastAsia="Times New Roman" w:hAnsi="Segoe UI" w:cs="Segoe UI"/>
                <w:color w:val="014171"/>
                <w:sz w:val="16"/>
                <w:szCs w:val="18"/>
                <w:lang w:val="de-DE"/>
              </w:rPr>
              <w:t>(</w:t>
            </w:r>
            <w:r w:rsidRPr="0046753E">
              <w:rPr>
                <w:rFonts w:ascii="Segoe UI" w:eastAsia="Times New Roman" w:hAnsi="Segoe UI" w:cs="Segoe UI"/>
                <w:i/>
                <w:color w:val="014171"/>
                <w:sz w:val="16"/>
                <w:szCs w:val="18"/>
                <w:lang w:val="de-DE"/>
              </w:rPr>
              <w:t>Investment Firms Directive</w:t>
            </w:r>
            <w:r w:rsidRPr="0046753E">
              <w:rPr>
                <w:rFonts w:ascii="Segoe UI" w:eastAsia="Times New Roman" w:hAnsi="Segoe UI" w:cs="Segoe UI"/>
                <w:color w:val="014171"/>
                <w:sz w:val="16"/>
                <w:szCs w:val="18"/>
                <w:lang w:val="de-DE"/>
              </w:rPr>
              <w:t>)</w:t>
            </w:r>
          </w:p>
        </w:tc>
      </w:tr>
      <w:tr w:rsidR="00A22D32" w:rsidRPr="00AB3754" w14:paraId="0E53F959" w14:textId="77777777" w:rsidTr="007A2631">
        <w:trPr>
          <w:trHeight w:val="397"/>
          <w:jc w:val="center"/>
        </w:trPr>
        <w:tc>
          <w:tcPr>
            <w:tcW w:w="954" w:type="dxa"/>
            <w:shd w:val="clear" w:color="auto" w:fill="auto"/>
            <w:noWrap/>
            <w:vAlign w:val="center"/>
          </w:tcPr>
          <w:p w14:paraId="1A042A28" w14:textId="28CB9740" w:rsidR="0031662A" w:rsidRPr="0046753E" w:rsidRDefault="00D95F9E" w:rsidP="00E360A0">
            <w:pPr>
              <w:spacing w:after="0"/>
              <w:jc w:val="both"/>
              <w:rPr>
                <w:rFonts w:ascii="Segoe UI" w:eastAsia="Times New Roman" w:hAnsi="Segoe UI" w:cs="Segoe UI"/>
                <w:b/>
                <w:bCs/>
                <w:color w:val="014171"/>
                <w:sz w:val="16"/>
                <w:szCs w:val="18"/>
                <w:lang w:val="de-DE" w:eastAsia="ja-JP"/>
              </w:rPr>
            </w:pPr>
            <w:r w:rsidRPr="0046753E">
              <w:rPr>
                <w:rFonts w:ascii="Segoe UI" w:eastAsia="Times New Roman" w:hAnsi="Segoe UI" w:cs="Segoe UI"/>
                <w:b/>
                <w:bCs/>
                <w:color w:val="014171"/>
                <w:sz w:val="16"/>
                <w:szCs w:val="18"/>
                <w:lang w:val="de-DE" w:eastAsia="ja-JP"/>
              </w:rPr>
              <w:t>IF</w:t>
            </w:r>
            <w:r w:rsidR="0031662A" w:rsidRPr="0046753E">
              <w:rPr>
                <w:rFonts w:ascii="Segoe UI" w:eastAsia="Times New Roman" w:hAnsi="Segoe UI" w:cs="Segoe UI"/>
                <w:b/>
                <w:bCs/>
                <w:color w:val="014171"/>
                <w:sz w:val="16"/>
                <w:szCs w:val="18"/>
                <w:lang w:val="de-DE" w:eastAsia="ja-JP"/>
              </w:rPr>
              <w:t>R</w:t>
            </w:r>
          </w:p>
        </w:tc>
        <w:tc>
          <w:tcPr>
            <w:tcW w:w="3149" w:type="dxa"/>
            <w:shd w:val="clear" w:color="auto" w:fill="auto"/>
            <w:noWrap/>
            <w:vAlign w:val="center"/>
          </w:tcPr>
          <w:p w14:paraId="3B0B168A" w14:textId="77777777" w:rsidR="006C5CDC" w:rsidRDefault="00A939DB" w:rsidP="00377C35">
            <w:pPr>
              <w:spacing w:after="0"/>
              <w:jc w:val="both"/>
              <w:rPr>
                <w:rFonts w:ascii="Segoe UI" w:eastAsia="Times New Roman" w:hAnsi="Segoe UI" w:cs="Segoe UI"/>
                <w:color w:val="014171"/>
                <w:sz w:val="16"/>
                <w:szCs w:val="18"/>
                <w:lang w:val="de-DE" w:eastAsia="ja-JP"/>
              </w:rPr>
            </w:pPr>
            <w:r w:rsidRPr="0046753E">
              <w:rPr>
                <w:rFonts w:ascii="Segoe UI" w:eastAsia="Times New Roman" w:hAnsi="Segoe UI" w:cs="Segoe UI"/>
                <w:color w:val="014171"/>
                <w:sz w:val="16"/>
                <w:szCs w:val="18"/>
                <w:lang w:val="de-DE" w:eastAsia="ja-JP"/>
              </w:rPr>
              <w:t>Verordnung über Aufsichtsanforderungen an Wertpapierfirmen</w:t>
            </w:r>
          </w:p>
          <w:p w14:paraId="2CD1F941" w14:textId="58F829A2" w:rsidR="0031662A" w:rsidRPr="009E440F" w:rsidRDefault="0046753E" w:rsidP="00377C35">
            <w:pPr>
              <w:spacing w:after="0"/>
              <w:jc w:val="both"/>
              <w:rPr>
                <w:rFonts w:ascii="Segoe UI" w:eastAsia="Times New Roman" w:hAnsi="Segoe UI" w:cs="Segoe UI"/>
                <w:color w:val="014171"/>
                <w:sz w:val="16"/>
                <w:szCs w:val="18"/>
                <w:lang w:val="de-DE" w:eastAsia="ja-JP"/>
              </w:rPr>
            </w:pPr>
            <w:r>
              <w:rPr>
                <w:rFonts w:ascii="Segoe UI" w:eastAsia="Times New Roman" w:hAnsi="Segoe UI" w:cs="Segoe UI"/>
                <w:color w:val="014171"/>
                <w:sz w:val="16"/>
                <w:szCs w:val="18"/>
                <w:lang w:val="de-DE" w:eastAsia="ja-JP"/>
              </w:rPr>
              <w:t>(</w:t>
            </w:r>
            <w:r w:rsidRPr="0046753E">
              <w:rPr>
                <w:rFonts w:ascii="Segoe UI" w:eastAsia="Times New Roman" w:hAnsi="Segoe UI" w:cs="Segoe UI"/>
                <w:i/>
                <w:color w:val="014171"/>
                <w:sz w:val="16"/>
                <w:szCs w:val="18"/>
                <w:lang w:val="de-DE" w:eastAsia="ja-JP"/>
              </w:rPr>
              <w:t>Investment Firms Regulation</w:t>
            </w:r>
            <w:r>
              <w:rPr>
                <w:rFonts w:ascii="Segoe UI" w:eastAsia="Times New Roman" w:hAnsi="Segoe UI" w:cs="Segoe UI"/>
                <w:color w:val="014171"/>
                <w:sz w:val="16"/>
                <w:szCs w:val="18"/>
                <w:lang w:val="de-DE" w:eastAsia="ja-JP"/>
              </w:rPr>
              <w:t>)</w:t>
            </w:r>
          </w:p>
        </w:tc>
      </w:tr>
      <w:tr w:rsidR="008E1A6F" w:rsidRPr="009E440F" w14:paraId="6287DF72" w14:textId="77777777" w:rsidTr="007A2631">
        <w:trPr>
          <w:trHeight w:val="397"/>
          <w:jc w:val="center"/>
        </w:trPr>
        <w:tc>
          <w:tcPr>
            <w:tcW w:w="954" w:type="dxa"/>
            <w:shd w:val="clear" w:color="auto" w:fill="auto"/>
            <w:noWrap/>
            <w:vAlign w:val="center"/>
          </w:tcPr>
          <w:p w14:paraId="2817361D" w14:textId="28578FBD" w:rsidR="008E1A6F" w:rsidRPr="0046753E" w:rsidRDefault="008E1A6F" w:rsidP="00E360A0">
            <w:pPr>
              <w:spacing w:after="0"/>
              <w:jc w:val="both"/>
              <w:rPr>
                <w:rFonts w:ascii="Segoe UI" w:eastAsia="Times New Roman" w:hAnsi="Segoe UI" w:cs="Segoe UI"/>
                <w:b/>
                <w:bCs/>
                <w:color w:val="014171"/>
                <w:sz w:val="16"/>
                <w:szCs w:val="18"/>
                <w:lang w:val="de-DE" w:eastAsia="ja-JP"/>
              </w:rPr>
            </w:pPr>
            <w:r w:rsidRPr="0046753E">
              <w:rPr>
                <w:rFonts w:ascii="Segoe UI" w:eastAsia="Times New Roman" w:hAnsi="Segoe UI" w:cs="Segoe UI"/>
                <w:b/>
                <w:bCs/>
                <w:color w:val="014171"/>
                <w:sz w:val="16"/>
                <w:szCs w:val="18"/>
                <w:lang w:val="de-DE" w:eastAsia="ja-JP"/>
              </w:rPr>
              <w:t>IVV</w:t>
            </w:r>
          </w:p>
        </w:tc>
        <w:tc>
          <w:tcPr>
            <w:tcW w:w="3149" w:type="dxa"/>
            <w:shd w:val="clear" w:color="auto" w:fill="auto"/>
            <w:noWrap/>
            <w:vAlign w:val="center"/>
          </w:tcPr>
          <w:p w14:paraId="1D83C0CB" w14:textId="11E87053" w:rsidR="008E1A6F" w:rsidRPr="009E440F" w:rsidRDefault="00A5642B" w:rsidP="00584B1D">
            <w:pPr>
              <w:spacing w:after="0"/>
              <w:jc w:val="both"/>
              <w:rPr>
                <w:rFonts w:ascii="Segoe UI" w:eastAsia="Times New Roman" w:hAnsi="Segoe UI" w:cs="Segoe UI"/>
                <w:color w:val="014171"/>
                <w:sz w:val="16"/>
                <w:szCs w:val="18"/>
                <w:lang w:val="de-DE" w:eastAsia="ja-JP"/>
              </w:rPr>
            </w:pPr>
            <w:r w:rsidRPr="0046753E">
              <w:rPr>
                <w:rFonts w:ascii="Segoe UI" w:eastAsia="Times New Roman" w:hAnsi="Segoe UI" w:cs="Segoe UI"/>
                <w:color w:val="014171"/>
                <w:sz w:val="16"/>
                <w:szCs w:val="18"/>
                <w:lang w:val="de-DE" w:eastAsia="ja-JP"/>
              </w:rPr>
              <w:t>Institutsvergütungsverordnung</w:t>
            </w:r>
          </w:p>
        </w:tc>
      </w:tr>
      <w:tr w:rsidR="00A22D32" w:rsidRPr="009713B5" w14:paraId="2EA5B7D4" w14:textId="77777777" w:rsidTr="007A2631">
        <w:trPr>
          <w:trHeight w:val="397"/>
          <w:jc w:val="center"/>
        </w:trPr>
        <w:tc>
          <w:tcPr>
            <w:tcW w:w="954" w:type="dxa"/>
            <w:shd w:val="clear" w:color="auto" w:fill="auto"/>
            <w:noWrap/>
            <w:vAlign w:val="center"/>
          </w:tcPr>
          <w:p w14:paraId="556997A3" w14:textId="77777777" w:rsidR="0031662A" w:rsidRPr="009713B5" w:rsidRDefault="0031662A" w:rsidP="00E360A0">
            <w:pPr>
              <w:spacing w:after="0"/>
              <w:jc w:val="both"/>
              <w:rPr>
                <w:rFonts w:ascii="Segoe UI" w:eastAsia="Times New Roman" w:hAnsi="Segoe UI" w:cs="Segoe UI"/>
                <w:b/>
                <w:bCs/>
                <w:color w:val="014171"/>
                <w:sz w:val="16"/>
                <w:szCs w:val="18"/>
                <w:lang w:val="de-DE" w:eastAsia="ja-JP"/>
              </w:rPr>
            </w:pPr>
            <w:r w:rsidRPr="009713B5">
              <w:rPr>
                <w:rFonts w:ascii="Segoe UI" w:eastAsia="Times New Roman" w:hAnsi="Segoe UI" w:cs="Segoe UI"/>
                <w:b/>
                <w:bCs/>
                <w:color w:val="014171"/>
                <w:sz w:val="16"/>
                <w:szCs w:val="18"/>
                <w:lang w:val="de-DE" w:eastAsia="ja-JP"/>
              </w:rPr>
              <w:t>K-ASA</w:t>
            </w:r>
          </w:p>
        </w:tc>
        <w:tc>
          <w:tcPr>
            <w:tcW w:w="3149" w:type="dxa"/>
            <w:shd w:val="clear" w:color="auto" w:fill="auto"/>
            <w:noWrap/>
            <w:vAlign w:val="center"/>
          </w:tcPr>
          <w:p w14:paraId="73AF5A0E" w14:textId="0352A51C" w:rsidR="0031662A" w:rsidRPr="009713B5" w:rsidRDefault="00FD09B2" w:rsidP="00E360A0">
            <w:pPr>
              <w:spacing w:after="0"/>
              <w:jc w:val="both"/>
              <w:rPr>
                <w:rFonts w:ascii="Segoe UI" w:eastAsia="Times New Roman" w:hAnsi="Segoe UI" w:cs="Segoe UI"/>
                <w:color w:val="014171"/>
                <w:sz w:val="16"/>
                <w:szCs w:val="18"/>
                <w:lang w:val="de-DE"/>
              </w:rPr>
            </w:pPr>
            <w:r w:rsidRPr="009713B5">
              <w:rPr>
                <w:rFonts w:ascii="Segoe UI" w:eastAsia="Times New Roman" w:hAnsi="Segoe UI" w:cs="Segoe UI"/>
                <w:color w:val="014171"/>
                <w:sz w:val="16"/>
                <w:szCs w:val="18"/>
                <w:lang w:val="de-DE"/>
              </w:rPr>
              <w:t>K-Fak</w:t>
            </w:r>
            <w:r w:rsidR="0031662A" w:rsidRPr="009713B5">
              <w:rPr>
                <w:rFonts w:ascii="Segoe UI" w:eastAsia="Times New Roman" w:hAnsi="Segoe UI" w:cs="Segoe UI"/>
                <w:color w:val="014171"/>
                <w:sz w:val="16"/>
                <w:szCs w:val="18"/>
                <w:lang w:val="de-DE"/>
              </w:rPr>
              <w:t xml:space="preserve">tor </w:t>
            </w:r>
            <w:r w:rsidRPr="009713B5">
              <w:rPr>
                <w:rFonts w:ascii="Segoe UI" w:eastAsia="Times New Roman" w:hAnsi="Segoe UI" w:cs="Segoe UI"/>
                <w:color w:val="014171"/>
                <w:sz w:val="16"/>
                <w:szCs w:val="18"/>
                <w:lang w:val="de-DE"/>
              </w:rPr>
              <w:t>bzgl. der verwahrten und verwalteten Vermögenswerte</w:t>
            </w:r>
          </w:p>
          <w:p w14:paraId="4EEB298C" w14:textId="014D6F15" w:rsidR="002146AD" w:rsidRPr="00AB3754" w:rsidRDefault="002146AD" w:rsidP="00E360A0">
            <w:pPr>
              <w:spacing w:after="0"/>
              <w:jc w:val="both"/>
              <w:rPr>
                <w:rFonts w:ascii="Segoe UI" w:eastAsia="Times New Roman" w:hAnsi="Segoe UI" w:cs="Segoe UI"/>
                <w:color w:val="014171"/>
                <w:sz w:val="16"/>
                <w:szCs w:val="18"/>
                <w:lang w:eastAsia="ja-JP"/>
              </w:rPr>
            </w:pPr>
            <w:r w:rsidRPr="00AB3754">
              <w:rPr>
                <w:rFonts w:ascii="Segoe UI" w:eastAsia="Times New Roman" w:hAnsi="Segoe UI" w:cs="Segoe UI"/>
                <w:color w:val="014171"/>
                <w:sz w:val="16"/>
                <w:szCs w:val="18"/>
              </w:rPr>
              <w:t>(</w:t>
            </w:r>
            <w:r w:rsidRPr="00AB3754">
              <w:rPr>
                <w:rFonts w:ascii="Segoe UI" w:eastAsia="Times New Roman" w:hAnsi="Segoe UI" w:cs="Segoe UI"/>
                <w:i/>
                <w:color w:val="014171"/>
                <w:sz w:val="16"/>
                <w:szCs w:val="18"/>
              </w:rPr>
              <w:t>K Factor regarding Assets Safeguarded and Administered</w:t>
            </w:r>
            <w:r w:rsidRPr="00AB3754">
              <w:rPr>
                <w:rFonts w:ascii="Segoe UI" w:eastAsia="Times New Roman" w:hAnsi="Segoe UI" w:cs="Segoe UI"/>
                <w:color w:val="014171"/>
                <w:sz w:val="16"/>
                <w:szCs w:val="18"/>
              </w:rPr>
              <w:t>)</w:t>
            </w:r>
          </w:p>
        </w:tc>
      </w:tr>
      <w:tr w:rsidR="00A22D32" w:rsidRPr="006C6B73" w14:paraId="5892DF07" w14:textId="77777777" w:rsidTr="007A2631">
        <w:trPr>
          <w:trHeight w:val="397"/>
          <w:jc w:val="center"/>
        </w:trPr>
        <w:tc>
          <w:tcPr>
            <w:tcW w:w="954" w:type="dxa"/>
            <w:shd w:val="clear" w:color="auto" w:fill="auto"/>
            <w:noWrap/>
            <w:vAlign w:val="center"/>
          </w:tcPr>
          <w:p w14:paraId="2689FCEF" w14:textId="77777777" w:rsidR="0031662A" w:rsidRPr="009713B5" w:rsidRDefault="0031662A" w:rsidP="00E360A0">
            <w:pPr>
              <w:spacing w:after="0"/>
              <w:jc w:val="both"/>
              <w:rPr>
                <w:rFonts w:ascii="Segoe UI" w:eastAsia="Times New Roman" w:hAnsi="Segoe UI" w:cs="Segoe UI"/>
                <w:b/>
                <w:bCs/>
                <w:color w:val="014171"/>
                <w:sz w:val="16"/>
                <w:szCs w:val="18"/>
                <w:lang w:val="de-DE" w:eastAsia="ja-JP"/>
              </w:rPr>
            </w:pPr>
            <w:r w:rsidRPr="009713B5">
              <w:rPr>
                <w:rFonts w:ascii="Segoe UI" w:eastAsia="Times New Roman" w:hAnsi="Segoe UI" w:cs="Segoe UI"/>
                <w:b/>
                <w:bCs/>
                <w:color w:val="014171"/>
                <w:sz w:val="16"/>
                <w:szCs w:val="18"/>
                <w:lang w:val="de-DE" w:eastAsia="ja-JP"/>
              </w:rPr>
              <w:t>K-AUM</w:t>
            </w:r>
          </w:p>
        </w:tc>
        <w:tc>
          <w:tcPr>
            <w:tcW w:w="3149" w:type="dxa"/>
            <w:shd w:val="clear" w:color="auto" w:fill="auto"/>
            <w:noWrap/>
            <w:vAlign w:val="center"/>
          </w:tcPr>
          <w:p w14:paraId="68352AD8" w14:textId="3E179819" w:rsidR="0031662A" w:rsidRPr="009713B5" w:rsidRDefault="00FD09B2" w:rsidP="00FD09B2">
            <w:pPr>
              <w:spacing w:after="0"/>
              <w:jc w:val="both"/>
              <w:rPr>
                <w:rFonts w:ascii="Segoe UI" w:eastAsia="Times New Roman" w:hAnsi="Segoe UI" w:cs="Segoe UI"/>
                <w:color w:val="014171"/>
                <w:sz w:val="16"/>
                <w:szCs w:val="18"/>
                <w:lang w:val="de-DE"/>
              </w:rPr>
            </w:pPr>
            <w:r w:rsidRPr="009713B5">
              <w:rPr>
                <w:rFonts w:ascii="Segoe UI" w:eastAsia="Times New Roman" w:hAnsi="Segoe UI" w:cs="Segoe UI"/>
                <w:color w:val="014171"/>
                <w:sz w:val="16"/>
                <w:szCs w:val="18"/>
                <w:lang w:val="de-DE"/>
              </w:rPr>
              <w:t>K-Fak</w:t>
            </w:r>
            <w:r w:rsidR="0031662A" w:rsidRPr="009713B5">
              <w:rPr>
                <w:rFonts w:ascii="Segoe UI" w:eastAsia="Times New Roman" w:hAnsi="Segoe UI" w:cs="Segoe UI"/>
                <w:color w:val="014171"/>
                <w:sz w:val="16"/>
                <w:szCs w:val="18"/>
                <w:lang w:val="de-DE"/>
              </w:rPr>
              <w:t xml:space="preserve">tor </w:t>
            </w:r>
            <w:r w:rsidRPr="009713B5">
              <w:rPr>
                <w:rFonts w:ascii="Segoe UI" w:eastAsia="Times New Roman" w:hAnsi="Segoe UI" w:cs="Segoe UI"/>
                <w:color w:val="014171"/>
                <w:sz w:val="16"/>
                <w:szCs w:val="18"/>
                <w:lang w:val="de-DE"/>
              </w:rPr>
              <w:t>bzgl. in der Anlageberatung betreuter Vermögenswerte von Kunden</w:t>
            </w:r>
          </w:p>
          <w:p w14:paraId="16B92A27" w14:textId="31387920" w:rsidR="002146AD" w:rsidRPr="00AB3754" w:rsidRDefault="002146AD" w:rsidP="00FD09B2">
            <w:pPr>
              <w:spacing w:after="0"/>
              <w:jc w:val="both"/>
              <w:rPr>
                <w:rFonts w:ascii="Segoe UI" w:eastAsia="Times New Roman" w:hAnsi="Segoe UI" w:cs="Segoe UI"/>
                <w:color w:val="014171"/>
                <w:sz w:val="16"/>
                <w:szCs w:val="18"/>
              </w:rPr>
            </w:pPr>
            <w:r w:rsidRPr="00AB3754">
              <w:rPr>
                <w:rFonts w:ascii="Segoe UI" w:eastAsia="Times New Roman" w:hAnsi="Segoe UI" w:cs="Segoe UI"/>
                <w:color w:val="014171"/>
                <w:sz w:val="16"/>
                <w:szCs w:val="18"/>
              </w:rPr>
              <w:t>(</w:t>
            </w:r>
            <w:r w:rsidRPr="00AB3754">
              <w:rPr>
                <w:rFonts w:ascii="Segoe UI" w:eastAsia="Times New Roman" w:hAnsi="Segoe UI" w:cs="Segoe UI"/>
                <w:i/>
                <w:color w:val="014171"/>
                <w:sz w:val="16"/>
                <w:szCs w:val="18"/>
              </w:rPr>
              <w:t>K Factor regarding Assets under Management</w:t>
            </w:r>
            <w:r w:rsidRPr="00AB3754">
              <w:rPr>
                <w:rFonts w:ascii="Segoe UI" w:eastAsia="Times New Roman" w:hAnsi="Segoe UI" w:cs="Segoe UI"/>
                <w:color w:val="014171"/>
                <w:sz w:val="16"/>
                <w:szCs w:val="18"/>
              </w:rPr>
              <w:t>)</w:t>
            </w:r>
          </w:p>
        </w:tc>
      </w:tr>
      <w:tr w:rsidR="00A22D32" w:rsidRPr="006C6B73" w14:paraId="79DBD6DD" w14:textId="77777777" w:rsidTr="007A2631">
        <w:trPr>
          <w:trHeight w:val="397"/>
          <w:jc w:val="center"/>
        </w:trPr>
        <w:tc>
          <w:tcPr>
            <w:tcW w:w="954" w:type="dxa"/>
            <w:shd w:val="clear" w:color="auto" w:fill="auto"/>
            <w:noWrap/>
            <w:vAlign w:val="center"/>
          </w:tcPr>
          <w:p w14:paraId="1582E69D" w14:textId="77777777" w:rsidR="0031662A" w:rsidRPr="009713B5" w:rsidRDefault="0031662A" w:rsidP="00E360A0">
            <w:pPr>
              <w:spacing w:after="0"/>
              <w:jc w:val="both"/>
              <w:rPr>
                <w:rFonts w:ascii="Segoe UI" w:eastAsia="Times New Roman" w:hAnsi="Segoe UI" w:cs="Segoe UI"/>
                <w:b/>
                <w:bCs/>
                <w:color w:val="014171"/>
                <w:sz w:val="16"/>
                <w:szCs w:val="18"/>
                <w:lang w:val="de-DE" w:eastAsia="ja-JP"/>
              </w:rPr>
            </w:pPr>
            <w:r w:rsidRPr="009713B5">
              <w:rPr>
                <w:rFonts w:ascii="Segoe UI" w:eastAsia="Times New Roman" w:hAnsi="Segoe UI" w:cs="Segoe UI"/>
                <w:b/>
                <w:bCs/>
                <w:color w:val="014171"/>
                <w:sz w:val="16"/>
                <w:szCs w:val="18"/>
                <w:lang w:val="de-DE" w:eastAsia="ja-JP"/>
              </w:rPr>
              <w:t>K-CMG</w:t>
            </w:r>
          </w:p>
        </w:tc>
        <w:tc>
          <w:tcPr>
            <w:tcW w:w="3149" w:type="dxa"/>
            <w:shd w:val="clear" w:color="auto" w:fill="auto"/>
            <w:noWrap/>
            <w:vAlign w:val="center"/>
          </w:tcPr>
          <w:p w14:paraId="480259CF" w14:textId="1309B1F9" w:rsidR="002146AD" w:rsidRPr="009713B5" w:rsidRDefault="007D4F95" w:rsidP="009713B5">
            <w:pPr>
              <w:spacing w:after="0"/>
              <w:jc w:val="both"/>
              <w:rPr>
                <w:rFonts w:ascii="Segoe UI" w:eastAsia="Times New Roman" w:hAnsi="Segoe UI" w:cs="Segoe UI"/>
                <w:color w:val="014171"/>
                <w:sz w:val="16"/>
                <w:szCs w:val="18"/>
                <w:lang w:val="de-DE" w:eastAsia="ja-JP"/>
              </w:rPr>
            </w:pPr>
            <w:r w:rsidRPr="009713B5">
              <w:rPr>
                <w:rFonts w:ascii="Segoe UI" w:eastAsia="Times New Roman" w:hAnsi="Segoe UI" w:cs="Segoe UI"/>
                <w:color w:val="014171"/>
                <w:sz w:val="16"/>
                <w:szCs w:val="18"/>
                <w:lang w:val="de-DE" w:eastAsia="ja-JP"/>
              </w:rPr>
              <w:t xml:space="preserve">K-Faktor </w:t>
            </w:r>
            <w:r w:rsidR="002146AD">
              <w:rPr>
                <w:rFonts w:ascii="Segoe UI" w:eastAsia="Times New Roman" w:hAnsi="Segoe UI" w:cs="Segoe UI"/>
                <w:color w:val="014171"/>
                <w:sz w:val="16"/>
                <w:szCs w:val="18"/>
                <w:lang w:val="de-DE" w:eastAsia="ja-JP"/>
              </w:rPr>
              <w:t>bzgl.</w:t>
            </w:r>
            <w:r w:rsidRPr="009713B5">
              <w:rPr>
                <w:rFonts w:ascii="Segoe UI" w:eastAsia="Times New Roman" w:hAnsi="Segoe UI" w:cs="Segoe UI"/>
                <w:color w:val="014171"/>
                <w:sz w:val="16"/>
                <w:szCs w:val="18"/>
                <w:lang w:val="de-DE" w:eastAsia="ja-JP"/>
              </w:rPr>
              <w:t xml:space="preserve"> geleisteter Einschüsse für Clearing Geschäfte</w:t>
            </w:r>
          </w:p>
          <w:p w14:paraId="59D5CB0F" w14:textId="7824D3FF" w:rsidR="0031662A" w:rsidRPr="00AB3754" w:rsidRDefault="002146AD" w:rsidP="009713B5">
            <w:pPr>
              <w:spacing w:after="0"/>
              <w:jc w:val="both"/>
              <w:rPr>
                <w:rFonts w:ascii="Segoe UI" w:eastAsia="Times New Roman" w:hAnsi="Segoe UI" w:cs="Segoe UI"/>
                <w:color w:val="014171"/>
                <w:sz w:val="16"/>
                <w:szCs w:val="18"/>
              </w:rPr>
            </w:pPr>
            <w:r w:rsidRPr="00AB3754">
              <w:rPr>
                <w:rFonts w:ascii="Segoe UI" w:eastAsia="Times New Roman" w:hAnsi="Segoe UI" w:cs="Segoe UI"/>
                <w:color w:val="014171"/>
                <w:sz w:val="16"/>
                <w:szCs w:val="18"/>
                <w:lang w:eastAsia="ja-JP"/>
              </w:rPr>
              <w:t>(</w:t>
            </w:r>
            <w:r w:rsidRPr="00AB3754">
              <w:rPr>
                <w:rFonts w:ascii="Segoe UI" w:eastAsia="Times New Roman" w:hAnsi="Segoe UI" w:cs="Segoe UI"/>
                <w:i/>
                <w:color w:val="014171"/>
                <w:sz w:val="16"/>
                <w:szCs w:val="18"/>
                <w:lang w:eastAsia="ja-JP"/>
              </w:rPr>
              <w:t>K Factor regarding Clearing Margin Given</w:t>
            </w:r>
            <w:r w:rsidRPr="00AB3754">
              <w:rPr>
                <w:rFonts w:ascii="Segoe UI" w:eastAsia="Times New Roman" w:hAnsi="Segoe UI" w:cs="Segoe UI"/>
                <w:color w:val="014171"/>
                <w:sz w:val="16"/>
                <w:szCs w:val="18"/>
                <w:lang w:eastAsia="ja-JP"/>
              </w:rPr>
              <w:t>)</w:t>
            </w:r>
          </w:p>
        </w:tc>
      </w:tr>
      <w:tr w:rsidR="00A22D32" w:rsidRPr="006C6B73" w14:paraId="76C93110" w14:textId="77777777" w:rsidTr="007A2631">
        <w:trPr>
          <w:trHeight w:val="397"/>
          <w:jc w:val="center"/>
        </w:trPr>
        <w:tc>
          <w:tcPr>
            <w:tcW w:w="954" w:type="dxa"/>
            <w:shd w:val="clear" w:color="auto" w:fill="auto"/>
            <w:noWrap/>
            <w:vAlign w:val="center"/>
          </w:tcPr>
          <w:p w14:paraId="01CEC304" w14:textId="77777777" w:rsidR="0031662A" w:rsidRPr="009713B5" w:rsidRDefault="0031662A" w:rsidP="00E360A0">
            <w:pPr>
              <w:spacing w:after="0"/>
              <w:jc w:val="both"/>
              <w:rPr>
                <w:rFonts w:ascii="Segoe UI" w:eastAsia="Times New Roman" w:hAnsi="Segoe UI" w:cs="Segoe UI"/>
                <w:b/>
                <w:bCs/>
                <w:color w:val="014171"/>
                <w:sz w:val="16"/>
                <w:szCs w:val="18"/>
                <w:lang w:val="de-DE" w:eastAsia="ja-JP"/>
              </w:rPr>
            </w:pPr>
            <w:r w:rsidRPr="009713B5">
              <w:rPr>
                <w:rFonts w:ascii="Segoe UI" w:eastAsia="Times New Roman" w:hAnsi="Segoe UI" w:cs="Segoe UI"/>
                <w:b/>
                <w:bCs/>
                <w:color w:val="014171"/>
                <w:sz w:val="16"/>
                <w:szCs w:val="18"/>
                <w:lang w:val="de-DE" w:eastAsia="ja-JP"/>
              </w:rPr>
              <w:t>K-CMH</w:t>
            </w:r>
          </w:p>
        </w:tc>
        <w:tc>
          <w:tcPr>
            <w:tcW w:w="3149" w:type="dxa"/>
            <w:shd w:val="clear" w:color="auto" w:fill="auto"/>
            <w:noWrap/>
            <w:vAlign w:val="center"/>
          </w:tcPr>
          <w:p w14:paraId="4F178899" w14:textId="15A686B0" w:rsidR="0031662A" w:rsidRPr="009713B5" w:rsidRDefault="00FD09B2" w:rsidP="00E360A0">
            <w:pPr>
              <w:spacing w:after="0"/>
              <w:jc w:val="both"/>
              <w:rPr>
                <w:rFonts w:ascii="Segoe UI" w:eastAsia="Times New Roman" w:hAnsi="Segoe UI" w:cs="Segoe UI"/>
                <w:color w:val="014171"/>
                <w:sz w:val="16"/>
                <w:szCs w:val="18"/>
                <w:lang w:val="de-DE"/>
              </w:rPr>
            </w:pPr>
            <w:r w:rsidRPr="009713B5">
              <w:rPr>
                <w:rFonts w:ascii="Segoe UI" w:eastAsia="Times New Roman" w:hAnsi="Segoe UI" w:cs="Segoe UI"/>
                <w:color w:val="014171"/>
                <w:sz w:val="16"/>
                <w:szCs w:val="18"/>
                <w:lang w:val="de-DE"/>
              </w:rPr>
              <w:t>K-Fak</w:t>
            </w:r>
            <w:r w:rsidR="0031662A" w:rsidRPr="009713B5">
              <w:rPr>
                <w:rFonts w:ascii="Segoe UI" w:eastAsia="Times New Roman" w:hAnsi="Segoe UI" w:cs="Segoe UI"/>
                <w:color w:val="014171"/>
                <w:sz w:val="16"/>
                <w:szCs w:val="18"/>
                <w:lang w:val="de-DE"/>
              </w:rPr>
              <w:t xml:space="preserve">tor </w:t>
            </w:r>
            <w:r w:rsidRPr="009713B5">
              <w:rPr>
                <w:rFonts w:ascii="Segoe UI" w:eastAsia="Times New Roman" w:hAnsi="Segoe UI" w:cs="Segoe UI"/>
                <w:color w:val="014171"/>
                <w:sz w:val="16"/>
                <w:szCs w:val="18"/>
                <w:lang w:val="de-DE"/>
              </w:rPr>
              <w:t>bzgl. gehaltener Kundengelder</w:t>
            </w:r>
          </w:p>
          <w:p w14:paraId="741C2520" w14:textId="5F68EF17" w:rsidR="002146AD" w:rsidRPr="009E440F" w:rsidRDefault="002146AD" w:rsidP="00E360A0">
            <w:pPr>
              <w:spacing w:after="0"/>
              <w:jc w:val="both"/>
              <w:rPr>
                <w:rFonts w:ascii="Segoe UI" w:eastAsia="Times New Roman" w:hAnsi="Segoe UI" w:cs="Segoe UI"/>
                <w:color w:val="014171"/>
                <w:sz w:val="16"/>
                <w:szCs w:val="18"/>
                <w:lang w:val="de-DE" w:eastAsia="ja-JP"/>
              </w:rPr>
            </w:pPr>
            <w:r w:rsidRPr="009713B5">
              <w:rPr>
                <w:rFonts w:ascii="Segoe UI" w:eastAsia="Times New Roman" w:hAnsi="Segoe UI" w:cs="Segoe UI"/>
                <w:color w:val="014171"/>
                <w:sz w:val="16"/>
                <w:szCs w:val="18"/>
                <w:lang w:val="de-DE"/>
              </w:rPr>
              <w:t>(</w:t>
            </w:r>
            <w:r w:rsidRPr="009713B5">
              <w:rPr>
                <w:rFonts w:ascii="Segoe UI" w:eastAsia="Times New Roman" w:hAnsi="Segoe UI" w:cs="Segoe UI"/>
                <w:i/>
                <w:color w:val="014171"/>
                <w:sz w:val="16"/>
                <w:szCs w:val="18"/>
                <w:lang w:val="de-DE"/>
              </w:rPr>
              <w:t>K Factor regarding Client Money Held</w:t>
            </w:r>
            <w:r w:rsidRPr="009713B5">
              <w:rPr>
                <w:rFonts w:ascii="Segoe UI" w:eastAsia="Times New Roman" w:hAnsi="Segoe UI" w:cs="Segoe UI"/>
                <w:color w:val="014171"/>
                <w:sz w:val="16"/>
                <w:szCs w:val="18"/>
                <w:lang w:val="de-DE"/>
              </w:rPr>
              <w:t>)</w:t>
            </w:r>
          </w:p>
        </w:tc>
      </w:tr>
      <w:tr w:rsidR="00E50C37" w:rsidRPr="009713B5" w14:paraId="3E7A4968" w14:textId="77777777" w:rsidTr="007A2631">
        <w:trPr>
          <w:trHeight w:val="397"/>
          <w:jc w:val="center"/>
        </w:trPr>
        <w:tc>
          <w:tcPr>
            <w:tcW w:w="954" w:type="dxa"/>
            <w:shd w:val="clear" w:color="auto" w:fill="auto"/>
            <w:noWrap/>
            <w:vAlign w:val="center"/>
          </w:tcPr>
          <w:p w14:paraId="080EFF4F" w14:textId="5007D88B" w:rsidR="00E50C37" w:rsidRPr="009713B5" w:rsidRDefault="00E50C37" w:rsidP="00E360A0">
            <w:pPr>
              <w:spacing w:after="0"/>
              <w:jc w:val="both"/>
              <w:rPr>
                <w:rFonts w:ascii="Segoe UI" w:eastAsia="Times New Roman" w:hAnsi="Segoe UI" w:cs="Segoe UI"/>
                <w:b/>
                <w:bCs/>
                <w:color w:val="014171"/>
                <w:sz w:val="16"/>
                <w:szCs w:val="18"/>
                <w:lang w:val="de-DE" w:eastAsia="ja-JP"/>
              </w:rPr>
            </w:pPr>
            <w:r w:rsidRPr="009713B5">
              <w:rPr>
                <w:rFonts w:ascii="Segoe UI" w:eastAsia="Times New Roman" w:hAnsi="Segoe UI" w:cs="Segoe UI"/>
                <w:b/>
                <w:bCs/>
                <w:color w:val="014171"/>
                <w:sz w:val="16"/>
                <w:szCs w:val="18"/>
                <w:lang w:val="de-DE" w:eastAsia="ja-JP"/>
              </w:rPr>
              <w:t>K-COH</w:t>
            </w:r>
          </w:p>
        </w:tc>
        <w:tc>
          <w:tcPr>
            <w:tcW w:w="3149" w:type="dxa"/>
            <w:shd w:val="clear" w:color="auto" w:fill="auto"/>
            <w:noWrap/>
            <w:vAlign w:val="center"/>
          </w:tcPr>
          <w:p w14:paraId="65A91F51" w14:textId="0AF9D8DB" w:rsidR="00E50C37" w:rsidRPr="009713B5" w:rsidRDefault="00E50C37" w:rsidP="00E360A0">
            <w:pPr>
              <w:spacing w:after="0"/>
              <w:jc w:val="both"/>
              <w:rPr>
                <w:rFonts w:ascii="Segoe UI" w:eastAsia="Times New Roman" w:hAnsi="Segoe UI" w:cs="Segoe UI"/>
                <w:color w:val="014171"/>
                <w:sz w:val="16"/>
                <w:szCs w:val="18"/>
                <w:lang w:val="de-DE"/>
              </w:rPr>
            </w:pPr>
            <w:r w:rsidRPr="009713B5">
              <w:rPr>
                <w:rFonts w:ascii="Segoe UI" w:eastAsia="Times New Roman" w:hAnsi="Segoe UI" w:cs="Segoe UI"/>
                <w:color w:val="014171"/>
                <w:sz w:val="16"/>
                <w:szCs w:val="18"/>
                <w:lang w:val="de-DE"/>
              </w:rPr>
              <w:t>K-Faktor bzgl. der bearbeiteten Kundenaufträge</w:t>
            </w:r>
          </w:p>
          <w:p w14:paraId="42652CF3" w14:textId="2A514E93" w:rsidR="002B0BA0" w:rsidRPr="00AB3754" w:rsidRDefault="002B0BA0" w:rsidP="00E360A0">
            <w:pPr>
              <w:spacing w:after="0"/>
              <w:jc w:val="both"/>
              <w:rPr>
                <w:rFonts w:ascii="Segoe UI" w:eastAsia="Times New Roman" w:hAnsi="Segoe UI" w:cs="Segoe UI"/>
                <w:color w:val="014171"/>
                <w:sz w:val="16"/>
                <w:szCs w:val="18"/>
              </w:rPr>
            </w:pPr>
            <w:r w:rsidRPr="00AB3754">
              <w:rPr>
                <w:rFonts w:ascii="Segoe UI" w:eastAsia="Times New Roman" w:hAnsi="Segoe UI" w:cs="Segoe UI"/>
                <w:color w:val="014171"/>
                <w:sz w:val="16"/>
                <w:szCs w:val="18"/>
              </w:rPr>
              <w:t>(</w:t>
            </w:r>
            <w:r w:rsidRPr="00AB3754">
              <w:rPr>
                <w:rFonts w:ascii="Segoe UI" w:eastAsia="Times New Roman" w:hAnsi="Segoe UI" w:cs="Segoe UI"/>
                <w:i/>
                <w:color w:val="014171"/>
                <w:sz w:val="16"/>
                <w:szCs w:val="18"/>
              </w:rPr>
              <w:t>K Factor regarding Client Orders Handled</w:t>
            </w:r>
            <w:r w:rsidRPr="00AB3754">
              <w:rPr>
                <w:rFonts w:ascii="Segoe UI" w:eastAsia="Times New Roman" w:hAnsi="Segoe UI" w:cs="Segoe UI"/>
                <w:color w:val="014171"/>
                <w:sz w:val="16"/>
                <w:szCs w:val="18"/>
              </w:rPr>
              <w:t>)</w:t>
            </w:r>
          </w:p>
        </w:tc>
      </w:tr>
      <w:tr w:rsidR="00A22D32" w:rsidRPr="007D4F95" w14:paraId="194A221B" w14:textId="77777777" w:rsidTr="007A2631">
        <w:trPr>
          <w:trHeight w:val="397"/>
          <w:jc w:val="center"/>
        </w:trPr>
        <w:tc>
          <w:tcPr>
            <w:tcW w:w="954" w:type="dxa"/>
            <w:shd w:val="clear" w:color="auto" w:fill="auto"/>
            <w:noWrap/>
            <w:vAlign w:val="center"/>
          </w:tcPr>
          <w:p w14:paraId="1F6C2E12" w14:textId="77777777" w:rsidR="0031662A" w:rsidRPr="009713B5" w:rsidRDefault="0031662A" w:rsidP="00E360A0">
            <w:pPr>
              <w:spacing w:after="0"/>
              <w:jc w:val="both"/>
              <w:rPr>
                <w:rFonts w:ascii="Segoe UI" w:eastAsia="Times New Roman" w:hAnsi="Segoe UI" w:cs="Segoe UI"/>
                <w:b/>
                <w:bCs/>
                <w:color w:val="014171"/>
                <w:sz w:val="16"/>
                <w:szCs w:val="18"/>
                <w:lang w:val="de-DE" w:eastAsia="ja-JP"/>
              </w:rPr>
            </w:pPr>
            <w:r w:rsidRPr="009713B5">
              <w:rPr>
                <w:rFonts w:ascii="Segoe UI" w:eastAsia="Times New Roman" w:hAnsi="Segoe UI" w:cs="Segoe UI"/>
                <w:b/>
                <w:bCs/>
                <w:color w:val="014171"/>
                <w:sz w:val="16"/>
                <w:szCs w:val="18"/>
                <w:lang w:val="de-DE" w:eastAsia="ja-JP"/>
              </w:rPr>
              <w:t>K-CON</w:t>
            </w:r>
          </w:p>
        </w:tc>
        <w:tc>
          <w:tcPr>
            <w:tcW w:w="3149" w:type="dxa"/>
            <w:shd w:val="clear" w:color="auto" w:fill="auto"/>
            <w:noWrap/>
            <w:vAlign w:val="center"/>
          </w:tcPr>
          <w:p w14:paraId="275500A1" w14:textId="1BB663FB" w:rsidR="0031662A" w:rsidRPr="009713B5" w:rsidRDefault="00E50C37" w:rsidP="00E360A0">
            <w:pPr>
              <w:spacing w:after="0"/>
              <w:jc w:val="both"/>
              <w:rPr>
                <w:rFonts w:ascii="Segoe UI" w:eastAsia="Times New Roman" w:hAnsi="Segoe UI" w:cs="Segoe UI"/>
                <w:color w:val="014171"/>
                <w:sz w:val="16"/>
                <w:szCs w:val="18"/>
                <w:lang w:val="de-DE"/>
              </w:rPr>
            </w:pPr>
            <w:r w:rsidRPr="009713B5">
              <w:rPr>
                <w:rFonts w:ascii="Segoe UI" w:eastAsia="Times New Roman" w:hAnsi="Segoe UI" w:cs="Segoe UI"/>
                <w:color w:val="014171"/>
                <w:sz w:val="16"/>
                <w:szCs w:val="18"/>
                <w:lang w:val="de-DE"/>
              </w:rPr>
              <w:t>K-Fak</w:t>
            </w:r>
            <w:r w:rsidR="0031662A" w:rsidRPr="009713B5">
              <w:rPr>
                <w:rFonts w:ascii="Segoe UI" w:eastAsia="Times New Roman" w:hAnsi="Segoe UI" w:cs="Segoe UI"/>
                <w:color w:val="014171"/>
                <w:sz w:val="16"/>
                <w:szCs w:val="18"/>
                <w:lang w:val="de-DE"/>
              </w:rPr>
              <w:t xml:space="preserve">tor </w:t>
            </w:r>
            <w:r w:rsidRPr="009713B5">
              <w:rPr>
                <w:rFonts w:ascii="Segoe UI" w:eastAsia="Times New Roman" w:hAnsi="Segoe UI" w:cs="Segoe UI"/>
                <w:color w:val="014171"/>
                <w:sz w:val="16"/>
                <w:szCs w:val="18"/>
                <w:lang w:val="de-DE"/>
              </w:rPr>
              <w:t>bzgl. Konzentrationsrisiko</w:t>
            </w:r>
          </w:p>
          <w:p w14:paraId="14303ABD" w14:textId="56894629" w:rsidR="002B0BA0" w:rsidRPr="009E440F" w:rsidRDefault="002B0BA0" w:rsidP="00E360A0">
            <w:pPr>
              <w:spacing w:after="0"/>
              <w:jc w:val="both"/>
              <w:rPr>
                <w:rFonts w:ascii="Segoe UI" w:eastAsia="Times New Roman" w:hAnsi="Segoe UI" w:cs="Segoe UI"/>
                <w:color w:val="014171"/>
                <w:sz w:val="16"/>
                <w:szCs w:val="18"/>
                <w:lang w:val="de-DE"/>
              </w:rPr>
            </w:pPr>
            <w:r w:rsidRPr="009713B5">
              <w:rPr>
                <w:rFonts w:ascii="Segoe UI" w:eastAsia="Times New Roman" w:hAnsi="Segoe UI" w:cs="Segoe UI"/>
                <w:color w:val="014171"/>
                <w:sz w:val="16"/>
                <w:szCs w:val="18"/>
                <w:lang w:val="de-DE"/>
              </w:rPr>
              <w:t>(</w:t>
            </w:r>
            <w:r w:rsidRPr="009713B5">
              <w:rPr>
                <w:rFonts w:ascii="Segoe UI" w:eastAsia="Times New Roman" w:hAnsi="Segoe UI" w:cs="Segoe UI"/>
                <w:i/>
                <w:color w:val="014171"/>
                <w:sz w:val="16"/>
                <w:szCs w:val="18"/>
                <w:lang w:val="de-DE"/>
              </w:rPr>
              <w:t>K Factor regarding Concentration Risk</w:t>
            </w:r>
            <w:r w:rsidRPr="009713B5">
              <w:rPr>
                <w:rFonts w:ascii="Segoe UI" w:eastAsia="Times New Roman" w:hAnsi="Segoe UI" w:cs="Segoe UI"/>
                <w:color w:val="014171"/>
                <w:sz w:val="16"/>
                <w:szCs w:val="18"/>
                <w:lang w:val="de-DE"/>
              </w:rPr>
              <w:t>)</w:t>
            </w:r>
          </w:p>
        </w:tc>
      </w:tr>
      <w:tr w:rsidR="00A22D32" w:rsidRPr="006C6B73" w14:paraId="76F9B740" w14:textId="77777777" w:rsidTr="007A2631">
        <w:trPr>
          <w:trHeight w:val="397"/>
          <w:jc w:val="center"/>
        </w:trPr>
        <w:tc>
          <w:tcPr>
            <w:tcW w:w="954" w:type="dxa"/>
            <w:shd w:val="clear" w:color="auto" w:fill="auto"/>
            <w:noWrap/>
            <w:vAlign w:val="center"/>
          </w:tcPr>
          <w:p w14:paraId="4C0B1730" w14:textId="77777777" w:rsidR="0031662A" w:rsidRPr="009713B5" w:rsidRDefault="0031662A" w:rsidP="00E360A0">
            <w:pPr>
              <w:spacing w:after="0"/>
              <w:jc w:val="both"/>
              <w:rPr>
                <w:rFonts w:ascii="Segoe UI" w:eastAsia="Times New Roman" w:hAnsi="Segoe UI" w:cs="Segoe UI"/>
                <w:b/>
                <w:bCs/>
                <w:color w:val="014171"/>
                <w:sz w:val="16"/>
                <w:szCs w:val="18"/>
                <w:lang w:val="de-DE" w:eastAsia="ja-JP"/>
              </w:rPr>
            </w:pPr>
            <w:r w:rsidRPr="009713B5">
              <w:rPr>
                <w:rFonts w:ascii="Segoe UI" w:eastAsia="Times New Roman" w:hAnsi="Segoe UI" w:cs="Segoe UI"/>
                <w:b/>
                <w:bCs/>
                <w:color w:val="014171"/>
                <w:sz w:val="16"/>
                <w:szCs w:val="18"/>
                <w:lang w:val="de-DE" w:eastAsia="ja-JP"/>
              </w:rPr>
              <w:t>K-DTF</w:t>
            </w:r>
          </w:p>
        </w:tc>
        <w:tc>
          <w:tcPr>
            <w:tcW w:w="3149" w:type="dxa"/>
            <w:shd w:val="clear" w:color="auto" w:fill="auto"/>
            <w:noWrap/>
            <w:vAlign w:val="center"/>
          </w:tcPr>
          <w:p w14:paraId="76D83234" w14:textId="55A8E4A2" w:rsidR="0031662A" w:rsidRPr="009713B5" w:rsidRDefault="00E50C37" w:rsidP="00E360A0">
            <w:pPr>
              <w:spacing w:after="0"/>
              <w:jc w:val="both"/>
              <w:rPr>
                <w:rFonts w:ascii="Segoe UI" w:eastAsia="Times New Roman" w:hAnsi="Segoe UI" w:cs="Segoe UI"/>
                <w:color w:val="014171"/>
                <w:sz w:val="16"/>
                <w:szCs w:val="18"/>
                <w:lang w:val="de-DE"/>
              </w:rPr>
            </w:pPr>
            <w:r w:rsidRPr="009713B5">
              <w:rPr>
                <w:rFonts w:ascii="Segoe UI" w:eastAsia="Times New Roman" w:hAnsi="Segoe UI" w:cs="Segoe UI"/>
                <w:color w:val="014171"/>
                <w:sz w:val="16"/>
                <w:szCs w:val="18"/>
                <w:lang w:val="de-DE"/>
              </w:rPr>
              <w:t>K-Fak</w:t>
            </w:r>
            <w:r w:rsidR="0031662A" w:rsidRPr="009713B5">
              <w:rPr>
                <w:rFonts w:ascii="Segoe UI" w:eastAsia="Times New Roman" w:hAnsi="Segoe UI" w:cs="Segoe UI"/>
                <w:color w:val="014171"/>
                <w:sz w:val="16"/>
                <w:szCs w:val="18"/>
                <w:lang w:val="de-DE"/>
              </w:rPr>
              <w:t xml:space="preserve">tor </w:t>
            </w:r>
            <w:r w:rsidRPr="009713B5">
              <w:rPr>
                <w:rFonts w:ascii="Segoe UI" w:eastAsia="Times New Roman" w:hAnsi="Segoe UI" w:cs="Segoe UI"/>
                <w:color w:val="014171"/>
                <w:sz w:val="16"/>
                <w:szCs w:val="18"/>
                <w:lang w:val="de-DE"/>
              </w:rPr>
              <w:t>bzgl. täglicher Handelsströme</w:t>
            </w:r>
          </w:p>
          <w:p w14:paraId="60855AD0" w14:textId="3045916E" w:rsidR="002B0BA0" w:rsidRPr="009E440F" w:rsidRDefault="002B0BA0" w:rsidP="00E360A0">
            <w:pPr>
              <w:spacing w:after="0"/>
              <w:jc w:val="both"/>
              <w:rPr>
                <w:rFonts w:ascii="Segoe UI" w:eastAsia="Times New Roman" w:hAnsi="Segoe UI" w:cs="Segoe UI"/>
                <w:color w:val="014171"/>
                <w:sz w:val="16"/>
                <w:szCs w:val="18"/>
                <w:lang w:val="de-DE"/>
              </w:rPr>
            </w:pPr>
            <w:r w:rsidRPr="009713B5">
              <w:rPr>
                <w:rFonts w:ascii="Segoe UI" w:eastAsia="Times New Roman" w:hAnsi="Segoe UI" w:cs="Segoe UI"/>
                <w:color w:val="014171"/>
                <w:sz w:val="16"/>
                <w:szCs w:val="18"/>
                <w:lang w:val="de-DE"/>
              </w:rPr>
              <w:t>(</w:t>
            </w:r>
            <w:r w:rsidRPr="009713B5">
              <w:rPr>
                <w:rFonts w:ascii="Segoe UI" w:eastAsia="Times New Roman" w:hAnsi="Segoe UI" w:cs="Segoe UI"/>
                <w:i/>
                <w:color w:val="014171"/>
                <w:sz w:val="16"/>
                <w:szCs w:val="18"/>
                <w:lang w:val="de-DE"/>
              </w:rPr>
              <w:t>K Factor regarding Daily Trading Flow</w:t>
            </w:r>
            <w:r w:rsidRPr="009713B5">
              <w:rPr>
                <w:rFonts w:ascii="Segoe UI" w:eastAsia="Times New Roman" w:hAnsi="Segoe UI" w:cs="Segoe UI"/>
                <w:color w:val="014171"/>
                <w:sz w:val="16"/>
                <w:szCs w:val="18"/>
                <w:lang w:val="de-DE"/>
              </w:rPr>
              <w:t>)</w:t>
            </w:r>
          </w:p>
        </w:tc>
      </w:tr>
      <w:tr w:rsidR="009713B5" w:rsidRPr="009E440F" w14:paraId="7A55B272" w14:textId="77777777" w:rsidTr="00CA5252">
        <w:trPr>
          <w:trHeight w:val="397"/>
          <w:jc w:val="center"/>
        </w:trPr>
        <w:tc>
          <w:tcPr>
            <w:tcW w:w="954" w:type="dxa"/>
            <w:shd w:val="clear" w:color="auto" w:fill="auto"/>
            <w:noWrap/>
            <w:vAlign w:val="center"/>
          </w:tcPr>
          <w:p w14:paraId="2DC74EAC" w14:textId="77777777" w:rsidR="009713B5" w:rsidRPr="0046753E" w:rsidRDefault="009713B5" w:rsidP="00CA5252">
            <w:pPr>
              <w:spacing w:after="0"/>
              <w:jc w:val="both"/>
              <w:rPr>
                <w:rFonts w:ascii="Segoe UI" w:eastAsia="Times New Roman" w:hAnsi="Segoe UI" w:cs="Segoe UI"/>
                <w:b/>
                <w:bCs/>
                <w:color w:val="014171"/>
                <w:sz w:val="16"/>
                <w:szCs w:val="18"/>
                <w:lang w:val="de-DE" w:eastAsia="ja-JP"/>
              </w:rPr>
            </w:pPr>
            <w:r w:rsidRPr="0046753E">
              <w:rPr>
                <w:rFonts w:ascii="Segoe UI" w:eastAsia="Times New Roman" w:hAnsi="Segoe UI" w:cs="Segoe UI"/>
                <w:b/>
                <w:bCs/>
                <w:color w:val="014171"/>
                <w:sz w:val="16"/>
                <w:szCs w:val="18"/>
                <w:lang w:val="de-DE" w:eastAsia="ja-JP"/>
              </w:rPr>
              <w:t>KFA</w:t>
            </w:r>
          </w:p>
        </w:tc>
        <w:tc>
          <w:tcPr>
            <w:tcW w:w="3149" w:type="dxa"/>
            <w:shd w:val="clear" w:color="auto" w:fill="auto"/>
            <w:noWrap/>
            <w:vAlign w:val="center"/>
          </w:tcPr>
          <w:p w14:paraId="5221EB88" w14:textId="77777777" w:rsidR="009713B5" w:rsidRPr="009E440F" w:rsidRDefault="009713B5" w:rsidP="00CA5252">
            <w:pPr>
              <w:spacing w:after="0"/>
              <w:jc w:val="both"/>
              <w:rPr>
                <w:rFonts w:ascii="Segoe UI" w:eastAsia="Times New Roman" w:hAnsi="Segoe UI" w:cs="Segoe UI"/>
                <w:color w:val="014171"/>
                <w:sz w:val="16"/>
                <w:szCs w:val="18"/>
                <w:lang w:val="de-DE" w:eastAsia="ja-JP"/>
              </w:rPr>
            </w:pPr>
            <w:r w:rsidRPr="0046753E">
              <w:rPr>
                <w:rFonts w:ascii="Segoe UI" w:eastAsia="Times New Roman" w:hAnsi="Segoe UI" w:cs="Segoe UI"/>
                <w:color w:val="014171"/>
                <w:sz w:val="16"/>
                <w:szCs w:val="18"/>
                <w:lang w:val="de-DE" w:eastAsia="ja-JP"/>
              </w:rPr>
              <w:t>K</w:t>
            </w:r>
            <w:r>
              <w:rPr>
                <w:rFonts w:ascii="Segoe UI" w:eastAsia="Times New Roman" w:hAnsi="Segoe UI" w:cs="Segoe UI"/>
                <w:color w:val="014171"/>
                <w:sz w:val="16"/>
                <w:szCs w:val="18"/>
                <w:lang w:val="de-DE" w:eastAsia="ja-JP"/>
              </w:rPr>
              <w:t>-</w:t>
            </w:r>
            <w:r w:rsidRPr="0046753E">
              <w:rPr>
                <w:rFonts w:ascii="Segoe UI" w:eastAsia="Times New Roman" w:hAnsi="Segoe UI" w:cs="Segoe UI"/>
                <w:color w:val="014171"/>
                <w:sz w:val="16"/>
                <w:szCs w:val="18"/>
                <w:lang w:val="de-DE" w:eastAsia="ja-JP"/>
              </w:rPr>
              <w:t>Faktor Anforderung</w:t>
            </w:r>
          </w:p>
        </w:tc>
      </w:tr>
      <w:tr w:rsidR="00A22D32" w:rsidRPr="006C6B73" w14:paraId="37A2A835" w14:textId="77777777" w:rsidTr="007A2631">
        <w:trPr>
          <w:trHeight w:val="397"/>
          <w:jc w:val="center"/>
        </w:trPr>
        <w:tc>
          <w:tcPr>
            <w:tcW w:w="954" w:type="dxa"/>
            <w:shd w:val="clear" w:color="auto" w:fill="auto"/>
            <w:noWrap/>
            <w:vAlign w:val="center"/>
          </w:tcPr>
          <w:p w14:paraId="64F7FC59" w14:textId="77777777" w:rsidR="0031662A" w:rsidRPr="009713B5" w:rsidRDefault="0031662A" w:rsidP="00E360A0">
            <w:pPr>
              <w:spacing w:after="0"/>
              <w:jc w:val="both"/>
              <w:rPr>
                <w:rFonts w:ascii="Segoe UI" w:eastAsia="Times New Roman" w:hAnsi="Segoe UI" w:cs="Segoe UI"/>
                <w:b/>
                <w:bCs/>
                <w:color w:val="014171"/>
                <w:sz w:val="16"/>
                <w:szCs w:val="18"/>
                <w:lang w:val="de-DE" w:eastAsia="ja-JP"/>
              </w:rPr>
            </w:pPr>
            <w:r w:rsidRPr="009713B5">
              <w:rPr>
                <w:rFonts w:ascii="Segoe UI" w:eastAsia="Times New Roman" w:hAnsi="Segoe UI" w:cs="Segoe UI"/>
                <w:b/>
                <w:bCs/>
                <w:color w:val="014171"/>
                <w:sz w:val="16"/>
                <w:szCs w:val="18"/>
                <w:lang w:val="de-DE" w:eastAsia="ja-JP"/>
              </w:rPr>
              <w:t>K-NPR</w:t>
            </w:r>
          </w:p>
        </w:tc>
        <w:tc>
          <w:tcPr>
            <w:tcW w:w="3149" w:type="dxa"/>
            <w:shd w:val="clear" w:color="auto" w:fill="auto"/>
            <w:noWrap/>
            <w:vAlign w:val="center"/>
          </w:tcPr>
          <w:p w14:paraId="59B07476" w14:textId="27529270" w:rsidR="002B0BA0" w:rsidRDefault="00E50C37" w:rsidP="00E360A0">
            <w:pPr>
              <w:spacing w:after="0"/>
              <w:jc w:val="both"/>
              <w:rPr>
                <w:rFonts w:ascii="Segoe UI" w:eastAsia="Times New Roman" w:hAnsi="Segoe UI" w:cs="Segoe UI"/>
                <w:color w:val="014171"/>
                <w:sz w:val="16"/>
                <w:szCs w:val="18"/>
                <w:lang w:val="de-DE"/>
              </w:rPr>
            </w:pPr>
            <w:r w:rsidRPr="009713B5">
              <w:rPr>
                <w:rFonts w:ascii="Segoe UI" w:eastAsia="Times New Roman" w:hAnsi="Segoe UI" w:cs="Segoe UI"/>
                <w:color w:val="014171"/>
                <w:sz w:val="16"/>
                <w:szCs w:val="18"/>
                <w:lang w:val="de-DE"/>
              </w:rPr>
              <w:t>K-Fak</w:t>
            </w:r>
            <w:r w:rsidR="0031662A" w:rsidRPr="009713B5">
              <w:rPr>
                <w:rFonts w:ascii="Segoe UI" w:eastAsia="Times New Roman" w:hAnsi="Segoe UI" w:cs="Segoe UI"/>
                <w:color w:val="014171"/>
                <w:sz w:val="16"/>
                <w:szCs w:val="18"/>
                <w:lang w:val="de-DE"/>
              </w:rPr>
              <w:t xml:space="preserve">tor </w:t>
            </w:r>
            <w:r w:rsidRPr="009713B5">
              <w:rPr>
                <w:rFonts w:ascii="Segoe UI" w:eastAsia="Times New Roman" w:hAnsi="Segoe UI" w:cs="Segoe UI"/>
                <w:color w:val="014171"/>
                <w:sz w:val="16"/>
                <w:szCs w:val="18"/>
                <w:lang w:val="de-DE"/>
              </w:rPr>
              <w:t>bzgl. der Nettopositionsrisik</w:t>
            </w:r>
            <w:r w:rsidR="007D4F95" w:rsidRPr="009713B5">
              <w:rPr>
                <w:rFonts w:ascii="Segoe UI" w:eastAsia="Times New Roman" w:hAnsi="Segoe UI" w:cs="Segoe UI"/>
                <w:color w:val="014171"/>
                <w:sz w:val="16"/>
                <w:szCs w:val="18"/>
                <w:lang w:val="de-DE"/>
              </w:rPr>
              <w:t>en</w:t>
            </w:r>
          </w:p>
          <w:p w14:paraId="1898C3F7" w14:textId="5487B85A" w:rsidR="0031662A" w:rsidRPr="009E440F" w:rsidRDefault="002B0BA0" w:rsidP="00E360A0">
            <w:pPr>
              <w:spacing w:after="0"/>
              <w:jc w:val="both"/>
              <w:rPr>
                <w:rFonts w:ascii="Segoe UI" w:eastAsia="Times New Roman" w:hAnsi="Segoe UI" w:cs="Segoe UI"/>
                <w:color w:val="014171"/>
                <w:sz w:val="16"/>
                <w:szCs w:val="18"/>
                <w:lang w:val="de-DE"/>
              </w:rPr>
            </w:pPr>
            <w:r>
              <w:rPr>
                <w:rFonts w:ascii="Segoe UI" w:eastAsia="Times New Roman" w:hAnsi="Segoe UI" w:cs="Segoe UI"/>
                <w:color w:val="014171"/>
                <w:sz w:val="16"/>
                <w:szCs w:val="18"/>
                <w:lang w:val="de-DE"/>
              </w:rPr>
              <w:t>(</w:t>
            </w:r>
            <w:r w:rsidRPr="009713B5">
              <w:rPr>
                <w:rFonts w:ascii="Segoe UI" w:eastAsia="Times New Roman" w:hAnsi="Segoe UI" w:cs="Segoe UI"/>
                <w:i/>
                <w:color w:val="014171"/>
                <w:sz w:val="16"/>
                <w:szCs w:val="18"/>
                <w:lang w:val="de-DE"/>
              </w:rPr>
              <w:t>K Factor regarding Net Position Risk</w:t>
            </w:r>
            <w:r>
              <w:rPr>
                <w:rFonts w:ascii="Segoe UI" w:eastAsia="Times New Roman" w:hAnsi="Segoe UI" w:cs="Segoe UI"/>
                <w:color w:val="014171"/>
                <w:sz w:val="16"/>
                <w:szCs w:val="18"/>
                <w:lang w:val="de-DE"/>
              </w:rPr>
              <w:t>)</w:t>
            </w:r>
          </w:p>
        </w:tc>
      </w:tr>
      <w:tr w:rsidR="00C61EE4" w:rsidRPr="00AB3754" w14:paraId="71E4D4A6" w14:textId="77777777" w:rsidTr="007A2631">
        <w:trPr>
          <w:trHeight w:val="397"/>
          <w:jc w:val="center"/>
        </w:trPr>
        <w:tc>
          <w:tcPr>
            <w:tcW w:w="954" w:type="dxa"/>
            <w:shd w:val="clear" w:color="auto" w:fill="auto"/>
            <w:noWrap/>
            <w:vAlign w:val="center"/>
          </w:tcPr>
          <w:p w14:paraId="5D85EAD2" w14:textId="5C67BEDF" w:rsidR="00C61EE4" w:rsidRPr="009713B5" w:rsidRDefault="00C61EE4" w:rsidP="00E360A0">
            <w:pPr>
              <w:spacing w:after="0"/>
              <w:jc w:val="both"/>
              <w:rPr>
                <w:rFonts w:ascii="Segoe UI" w:eastAsia="Times New Roman" w:hAnsi="Segoe UI" w:cs="Segoe UI"/>
                <w:b/>
                <w:bCs/>
                <w:color w:val="014171"/>
                <w:sz w:val="16"/>
                <w:szCs w:val="18"/>
                <w:lang w:val="de-DE" w:eastAsia="ja-JP"/>
              </w:rPr>
            </w:pPr>
            <w:r w:rsidRPr="009713B5">
              <w:rPr>
                <w:rFonts w:ascii="Segoe UI" w:eastAsia="Times New Roman" w:hAnsi="Segoe UI" w:cs="Segoe UI"/>
                <w:b/>
                <w:bCs/>
                <w:color w:val="014171"/>
                <w:sz w:val="16"/>
                <w:szCs w:val="18"/>
                <w:lang w:val="de-DE" w:eastAsia="ja-JP"/>
              </w:rPr>
              <w:t>KPI</w:t>
            </w:r>
          </w:p>
        </w:tc>
        <w:tc>
          <w:tcPr>
            <w:tcW w:w="3149" w:type="dxa"/>
            <w:shd w:val="clear" w:color="auto" w:fill="auto"/>
            <w:noWrap/>
            <w:vAlign w:val="center"/>
          </w:tcPr>
          <w:p w14:paraId="04AF6554" w14:textId="4F8AA25C" w:rsidR="00C61EE4" w:rsidRPr="009713B5" w:rsidRDefault="00A65291" w:rsidP="00E360A0">
            <w:pPr>
              <w:spacing w:after="0"/>
              <w:jc w:val="both"/>
              <w:rPr>
                <w:rFonts w:ascii="Segoe UI" w:eastAsia="Times New Roman" w:hAnsi="Segoe UI" w:cs="Segoe UI"/>
                <w:color w:val="014171"/>
                <w:sz w:val="16"/>
                <w:szCs w:val="18"/>
                <w:lang w:val="de-DE"/>
              </w:rPr>
            </w:pPr>
            <w:r w:rsidRPr="009713B5">
              <w:rPr>
                <w:rFonts w:ascii="Segoe UI" w:eastAsia="Times New Roman" w:hAnsi="Segoe UI" w:cs="Segoe UI"/>
                <w:color w:val="014171"/>
                <w:sz w:val="16"/>
                <w:szCs w:val="18"/>
                <w:lang w:val="de-DE"/>
              </w:rPr>
              <w:t>Wesentliche Leistungsindikatoren</w:t>
            </w:r>
          </w:p>
          <w:p w14:paraId="758E5F24" w14:textId="5579C4BA" w:rsidR="002B0BA0" w:rsidRPr="009E440F" w:rsidRDefault="002B0BA0" w:rsidP="00E360A0">
            <w:pPr>
              <w:spacing w:after="0"/>
              <w:jc w:val="both"/>
              <w:rPr>
                <w:rFonts w:ascii="Segoe UI" w:eastAsia="Times New Roman" w:hAnsi="Segoe UI" w:cs="Segoe UI"/>
                <w:color w:val="014171"/>
                <w:sz w:val="16"/>
                <w:szCs w:val="18"/>
                <w:lang w:val="de-DE"/>
              </w:rPr>
            </w:pPr>
            <w:r w:rsidRPr="009713B5">
              <w:rPr>
                <w:rFonts w:ascii="Segoe UI" w:eastAsia="Times New Roman" w:hAnsi="Segoe UI" w:cs="Segoe UI"/>
                <w:color w:val="014171"/>
                <w:sz w:val="16"/>
                <w:szCs w:val="18"/>
                <w:lang w:val="de-DE"/>
              </w:rPr>
              <w:t>(</w:t>
            </w:r>
            <w:r w:rsidRPr="009713B5">
              <w:rPr>
                <w:rFonts w:ascii="Segoe UI" w:eastAsia="Times New Roman" w:hAnsi="Segoe UI" w:cs="Segoe UI"/>
                <w:i/>
                <w:color w:val="014171"/>
                <w:sz w:val="16"/>
                <w:szCs w:val="18"/>
                <w:lang w:val="de-DE"/>
              </w:rPr>
              <w:t>Key Performance Indicators</w:t>
            </w:r>
            <w:r w:rsidRPr="009713B5">
              <w:rPr>
                <w:rFonts w:ascii="Segoe UI" w:eastAsia="Times New Roman" w:hAnsi="Segoe UI" w:cs="Segoe UI"/>
                <w:color w:val="014171"/>
                <w:sz w:val="16"/>
                <w:szCs w:val="18"/>
                <w:lang w:val="de-DE"/>
              </w:rPr>
              <w:t>)</w:t>
            </w:r>
          </w:p>
        </w:tc>
      </w:tr>
      <w:tr w:rsidR="00A22D32" w:rsidRPr="006C6B73" w14:paraId="15932100" w14:textId="77777777" w:rsidTr="007A2631">
        <w:trPr>
          <w:trHeight w:val="397"/>
          <w:jc w:val="center"/>
        </w:trPr>
        <w:tc>
          <w:tcPr>
            <w:tcW w:w="954" w:type="dxa"/>
            <w:shd w:val="clear" w:color="auto" w:fill="auto"/>
            <w:noWrap/>
            <w:vAlign w:val="center"/>
          </w:tcPr>
          <w:p w14:paraId="761BCC0C" w14:textId="77777777" w:rsidR="0031662A" w:rsidRPr="009713B5" w:rsidRDefault="0031662A" w:rsidP="00E360A0">
            <w:pPr>
              <w:spacing w:after="0"/>
              <w:jc w:val="both"/>
              <w:rPr>
                <w:rFonts w:ascii="Segoe UI" w:eastAsia="Times New Roman" w:hAnsi="Segoe UI" w:cs="Segoe UI"/>
                <w:b/>
                <w:bCs/>
                <w:color w:val="014171"/>
                <w:sz w:val="16"/>
                <w:szCs w:val="18"/>
                <w:lang w:val="de-DE" w:eastAsia="ja-JP"/>
              </w:rPr>
            </w:pPr>
            <w:r w:rsidRPr="009713B5">
              <w:rPr>
                <w:rFonts w:ascii="Segoe UI" w:eastAsia="Times New Roman" w:hAnsi="Segoe UI" w:cs="Segoe UI"/>
                <w:b/>
                <w:bCs/>
                <w:color w:val="014171"/>
                <w:sz w:val="16"/>
                <w:szCs w:val="18"/>
                <w:lang w:val="de-DE" w:eastAsia="ja-JP"/>
              </w:rPr>
              <w:t>K-TCD</w:t>
            </w:r>
          </w:p>
        </w:tc>
        <w:tc>
          <w:tcPr>
            <w:tcW w:w="3149" w:type="dxa"/>
            <w:shd w:val="clear" w:color="auto" w:fill="auto"/>
            <w:noWrap/>
            <w:vAlign w:val="center"/>
          </w:tcPr>
          <w:p w14:paraId="70DFFEE9" w14:textId="43B00BE1" w:rsidR="0031662A" w:rsidRPr="009713B5" w:rsidRDefault="00E50C37" w:rsidP="00E50C37">
            <w:pPr>
              <w:spacing w:after="0"/>
              <w:jc w:val="both"/>
              <w:rPr>
                <w:rFonts w:ascii="Segoe UI" w:eastAsia="Times New Roman" w:hAnsi="Segoe UI" w:cs="Segoe UI"/>
                <w:color w:val="014171"/>
                <w:sz w:val="16"/>
                <w:szCs w:val="18"/>
                <w:lang w:val="de-DE" w:eastAsia="ja-JP"/>
              </w:rPr>
            </w:pPr>
            <w:r w:rsidRPr="00AB3754">
              <w:rPr>
                <w:rFonts w:ascii="Segoe UI" w:eastAsia="Times New Roman" w:hAnsi="Segoe UI" w:cs="Segoe UI"/>
                <w:color w:val="014171"/>
                <w:sz w:val="16"/>
                <w:szCs w:val="18"/>
                <w:lang w:val="de-DE" w:eastAsia="ja-JP"/>
              </w:rPr>
              <w:t>K-Fak</w:t>
            </w:r>
            <w:r w:rsidR="0031662A" w:rsidRPr="00AB3754">
              <w:rPr>
                <w:rFonts w:ascii="Segoe UI" w:eastAsia="Times New Roman" w:hAnsi="Segoe UI" w:cs="Segoe UI"/>
                <w:color w:val="014171"/>
                <w:sz w:val="16"/>
                <w:szCs w:val="18"/>
                <w:lang w:val="de-DE" w:eastAsia="ja-JP"/>
              </w:rPr>
              <w:t xml:space="preserve">tor </w:t>
            </w:r>
            <w:r w:rsidRPr="00AB3754">
              <w:rPr>
                <w:rFonts w:ascii="Segoe UI" w:eastAsia="Times New Roman" w:hAnsi="Segoe UI" w:cs="Segoe UI"/>
                <w:color w:val="014171"/>
                <w:sz w:val="16"/>
                <w:szCs w:val="18"/>
                <w:lang w:val="de-DE" w:eastAsia="ja-JP"/>
              </w:rPr>
              <w:t xml:space="preserve">bzgl. </w:t>
            </w:r>
            <w:r w:rsidR="00B20402" w:rsidRPr="00AB3754">
              <w:rPr>
                <w:rFonts w:ascii="Segoe UI" w:eastAsia="Times New Roman" w:hAnsi="Segoe UI" w:cs="Segoe UI"/>
                <w:color w:val="014171"/>
                <w:sz w:val="16"/>
                <w:szCs w:val="18"/>
                <w:lang w:val="de-DE" w:eastAsia="ja-JP"/>
              </w:rPr>
              <w:t xml:space="preserve">dem </w:t>
            </w:r>
            <w:r w:rsidRPr="009713B5">
              <w:rPr>
                <w:rFonts w:ascii="Segoe UI" w:eastAsia="Times New Roman" w:hAnsi="Segoe UI" w:cs="Segoe UI"/>
                <w:color w:val="014171"/>
                <w:sz w:val="16"/>
                <w:szCs w:val="18"/>
                <w:lang w:val="de-DE" w:eastAsia="ja-JP"/>
              </w:rPr>
              <w:t>Ausfall einer Handelsgegenparteien</w:t>
            </w:r>
          </w:p>
          <w:p w14:paraId="236FDD8D" w14:textId="0C4E2905" w:rsidR="009713B5" w:rsidRPr="00AB3754" w:rsidRDefault="009713B5" w:rsidP="00E50C37">
            <w:pPr>
              <w:spacing w:after="0"/>
              <w:jc w:val="both"/>
              <w:rPr>
                <w:rFonts w:ascii="Segoe UI" w:eastAsia="Times New Roman" w:hAnsi="Segoe UI" w:cs="Segoe UI"/>
                <w:color w:val="014171"/>
                <w:sz w:val="16"/>
                <w:szCs w:val="18"/>
              </w:rPr>
            </w:pPr>
            <w:r w:rsidRPr="00AB3754">
              <w:rPr>
                <w:rFonts w:ascii="Segoe UI" w:eastAsia="Times New Roman" w:hAnsi="Segoe UI" w:cs="Segoe UI"/>
                <w:color w:val="014171"/>
                <w:sz w:val="16"/>
                <w:szCs w:val="18"/>
                <w:lang w:eastAsia="ja-JP"/>
              </w:rPr>
              <w:t>(</w:t>
            </w:r>
            <w:r w:rsidRPr="00AB3754">
              <w:rPr>
                <w:rFonts w:ascii="Segoe UI" w:eastAsia="Times New Roman" w:hAnsi="Segoe UI" w:cs="Segoe UI"/>
                <w:i/>
                <w:color w:val="014171"/>
                <w:sz w:val="16"/>
                <w:szCs w:val="18"/>
                <w:lang w:eastAsia="ja-JP"/>
              </w:rPr>
              <w:t xml:space="preserve">K Factor regarding </w:t>
            </w:r>
            <w:r w:rsidRPr="009713B5">
              <w:rPr>
                <w:rFonts w:ascii="Segoe UI" w:eastAsia="Times New Roman" w:hAnsi="Segoe UI" w:cs="Segoe UI"/>
                <w:i/>
                <w:color w:val="014171"/>
                <w:sz w:val="16"/>
                <w:szCs w:val="18"/>
                <w:lang w:eastAsia="ja-JP"/>
              </w:rPr>
              <w:t>Trading Counterparty Default</w:t>
            </w:r>
            <w:r w:rsidRPr="009713B5">
              <w:rPr>
                <w:rFonts w:ascii="Segoe UI" w:eastAsia="Times New Roman" w:hAnsi="Segoe UI" w:cs="Segoe UI"/>
                <w:color w:val="014171"/>
                <w:sz w:val="16"/>
                <w:szCs w:val="18"/>
                <w:lang w:eastAsia="ja-JP"/>
              </w:rPr>
              <w:t>)</w:t>
            </w:r>
          </w:p>
        </w:tc>
      </w:tr>
      <w:tr w:rsidR="00514E14" w:rsidRPr="009E440F" w14:paraId="0788ED25" w14:textId="77777777" w:rsidTr="007A2631">
        <w:trPr>
          <w:trHeight w:val="397"/>
          <w:jc w:val="center"/>
        </w:trPr>
        <w:tc>
          <w:tcPr>
            <w:tcW w:w="954" w:type="dxa"/>
            <w:shd w:val="clear" w:color="auto" w:fill="auto"/>
            <w:noWrap/>
            <w:vAlign w:val="center"/>
          </w:tcPr>
          <w:p w14:paraId="02CB8DB4" w14:textId="069DA8B1" w:rsidR="00514E14" w:rsidRPr="00617D0C" w:rsidRDefault="00514E14" w:rsidP="00E360A0">
            <w:pPr>
              <w:spacing w:after="0"/>
              <w:jc w:val="both"/>
              <w:rPr>
                <w:rFonts w:ascii="Segoe UI" w:eastAsia="Times New Roman" w:hAnsi="Segoe UI" w:cs="Segoe UI"/>
                <w:b/>
                <w:bCs/>
                <w:color w:val="014171"/>
                <w:sz w:val="16"/>
                <w:szCs w:val="18"/>
                <w:lang w:val="de-DE" w:eastAsia="ja-JP"/>
              </w:rPr>
            </w:pPr>
            <w:r w:rsidRPr="00617D0C">
              <w:rPr>
                <w:rFonts w:ascii="Segoe UI" w:eastAsia="Times New Roman" w:hAnsi="Segoe UI" w:cs="Segoe UI"/>
                <w:b/>
                <w:bCs/>
                <w:color w:val="014171"/>
                <w:sz w:val="16"/>
                <w:szCs w:val="18"/>
                <w:lang w:val="de-DE" w:eastAsia="ja-JP"/>
              </w:rPr>
              <w:t>KWG</w:t>
            </w:r>
          </w:p>
        </w:tc>
        <w:tc>
          <w:tcPr>
            <w:tcW w:w="3149" w:type="dxa"/>
            <w:shd w:val="clear" w:color="auto" w:fill="auto"/>
            <w:noWrap/>
            <w:vAlign w:val="center"/>
          </w:tcPr>
          <w:p w14:paraId="5607E27E" w14:textId="7D1CCBF4" w:rsidR="00514E14" w:rsidRPr="009E440F" w:rsidRDefault="00974A3D" w:rsidP="00E360A0">
            <w:pPr>
              <w:spacing w:after="0"/>
              <w:jc w:val="both"/>
              <w:rPr>
                <w:rFonts w:ascii="Segoe UI" w:eastAsia="Times New Roman" w:hAnsi="Segoe UI" w:cs="Segoe UI"/>
                <w:color w:val="014171"/>
                <w:sz w:val="16"/>
                <w:szCs w:val="18"/>
                <w:lang w:val="de-DE" w:eastAsia="ja-JP"/>
              </w:rPr>
            </w:pPr>
            <w:r w:rsidRPr="00617D0C">
              <w:rPr>
                <w:rFonts w:ascii="Segoe UI" w:eastAsia="Times New Roman" w:hAnsi="Segoe UI" w:cs="Segoe UI"/>
                <w:color w:val="014171"/>
                <w:sz w:val="16"/>
                <w:szCs w:val="18"/>
                <w:lang w:val="de-DE" w:eastAsia="ja-JP"/>
              </w:rPr>
              <w:t>Kreditwesengesetz</w:t>
            </w:r>
          </w:p>
        </w:tc>
      </w:tr>
      <w:tr w:rsidR="0024004B" w:rsidRPr="009E440F" w14:paraId="15704E02" w14:textId="77777777" w:rsidTr="007A2631">
        <w:trPr>
          <w:trHeight w:val="397"/>
          <w:jc w:val="center"/>
        </w:trPr>
        <w:tc>
          <w:tcPr>
            <w:tcW w:w="954" w:type="dxa"/>
            <w:shd w:val="clear" w:color="auto" w:fill="auto"/>
            <w:noWrap/>
            <w:vAlign w:val="center"/>
          </w:tcPr>
          <w:p w14:paraId="3D3A7A42" w14:textId="30C0C9CD" w:rsidR="0024004B" w:rsidRPr="00617D0C" w:rsidRDefault="0024004B" w:rsidP="00E360A0">
            <w:pPr>
              <w:spacing w:after="0"/>
              <w:jc w:val="both"/>
              <w:rPr>
                <w:rFonts w:ascii="Segoe UI" w:eastAsia="Times New Roman" w:hAnsi="Segoe UI" w:cs="Segoe UI"/>
                <w:b/>
                <w:bCs/>
                <w:color w:val="014171"/>
                <w:sz w:val="16"/>
                <w:szCs w:val="18"/>
                <w:lang w:val="de-DE" w:eastAsia="ja-JP"/>
              </w:rPr>
            </w:pPr>
            <w:r w:rsidRPr="00617D0C">
              <w:rPr>
                <w:rFonts w:ascii="Segoe UI" w:eastAsia="Times New Roman" w:hAnsi="Segoe UI" w:cs="Segoe UI"/>
                <w:b/>
                <w:bCs/>
                <w:color w:val="014171"/>
                <w:sz w:val="16"/>
                <w:szCs w:val="18"/>
                <w:lang w:val="de-DE" w:eastAsia="ja-JP"/>
              </w:rPr>
              <w:t>MaRisk</w:t>
            </w:r>
          </w:p>
        </w:tc>
        <w:tc>
          <w:tcPr>
            <w:tcW w:w="3149" w:type="dxa"/>
            <w:shd w:val="clear" w:color="auto" w:fill="auto"/>
            <w:noWrap/>
            <w:vAlign w:val="center"/>
          </w:tcPr>
          <w:p w14:paraId="07710242" w14:textId="4CD61D0A" w:rsidR="0024004B" w:rsidRPr="009E440F" w:rsidRDefault="006C1309" w:rsidP="00E360A0">
            <w:pPr>
              <w:spacing w:after="0"/>
              <w:jc w:val="both"/>
              <w:rPr>
                <w:rFonts w:ascii="Segoe UI" w:eastAsia="Times New Roman" w:hAnsi="Segoe UI" w:cs="Segoe UI"/>
                <w:color w:val="014171"/>
                <w:sz w:val="16"/>
                <w:szCs w:val="18"/>
                <w:lang w:val="de-DE" w:eastAsia="ja-JP"/>
              </w:rPr>
            </w:pPr>
            <w:r w:rsidRPr="00617D0C">
              <w:rPr>
                <w:rFonts w:ascii="Segoe UI" w:eastAsia="Times New Roman" w:hAnsi="Segoe UI" w:cs="Segoe UI"/>
                <w:color w:val="014171"/>
                <w:sz w:val="16"/>
                <w:szCs w:val="18"/>
                <w:lang w:val="de-DE" w:eastAsia="ja-JP"/>
              </w:rPr>
              <w:t>Mindestanforderungen an das Risikomanagement</w:t>
            </w:r>
          </w:p>
        </w:tc>
      </w:tr>
      <w:tr w:rsidR="00A22D32" w:rsidRPr="00AB3754" w14:paraId="20E77105" w14:textId="77777777" w:rsidTr="007A2631">
        <w:trPr>
          <w:trHeight w:val="397"/>
          <w:jc w:val="center"/>
        </w:trPr>
        <w:tc>
          <w:tcPr>
            <w:tcW w:w="954" w:type="dxa"/>
            <w:shd w:val="clear" w:color="auto" w:fill="auto"/>
            <w:noWrap/>
            <w:vAlign w:val="center"/>
          </w:tcPr>
          <w:p w14:paraId="4865A802" w14:textId="27A5403A" w:rsidR="0031662A" w:rsidRPr="00617D0C" w:rsidRDefault="0031662A" w:rsidP="00E360A0">
            <w:pPr>
              <w:spacing w:after="0"/>
              <w:jc w:val="both"/>
              <w:rPr>
                <w:rFonts w:ascii="Segoe UI" w:eastAsia="Times New Roman" w:hAnsi="Segoe UI" w:cs="Segoe UI"/>
                <w:b/>
                <w:bCs/>
                <w:color w:val="014171"/>
                <w:sz w:val="16"/>
                <w:szCs w:val="18"/>
                <w:lang w:val="de-DE"/>
              </w:rPr>
            </w:pPr>
            <w:r w:rsidRPr="00617D0C">
              <w:rPr>
                <w:rFonts w:ascii="Segoe UI" w:eastAsia="Times New Roman" w:hAnsi="Segoe UI" w:cs="Segoe UI"/>
                <w:b/>
                <w:bCs/>
                <w:color w:val="014171"/>
                <w:sz w:val="16"/>
                <w:szCs w:val="18"/>
                <w:lang w:val="de-DE"/>
              </w:rPr>
              <w:t>MiFID</w:t>
            </w:r>
            <w:r w:rsidR="007D427F" w:rsidRPr="00617D0C">
              <w:rPr>
                <w:rFonts w:ascii="Segoe UI" w:eastAsia="Times New Roman" w:hAnsi="Segoe UI" w:cs="Segoe UI"/>
                <w:b/>
                <w:bCs/>
                <w:color w:val="014171"/>
                <w:sz w:val="16"/>
                <w:szCs w:val="18"/>
                <w:lang w:val="de-DE"/>
              </w:rPr>
              <w:t xml:space="preserve"> II</w:t>
            </w:r>
          </w:p>
        </w:tc>
        <w:tc>
          <w:tcPr>
            <w:tcW w:w="3149" w:type="dxa"/>
            <w:shd w:val="clear" w:color="auto" w:fill="auto"/>
            <w:noWrap/>
            <w:vAlign w:val="center"/>
          </w:tcPr>
          <w:p w14:paraId="44CE182F" w14:textId="77777777" w:rsidR="006C5CDC" w:rsidRDefault="00CD4BEE" w:rsidP="00617D0C">
            <w:pPr>
              <w:spacing w:after="0"/>
              <w:jc w:val="both"/>
              <w:rPr>
                <w:rFonts w:ascii="Segoe UI" w:eastAsia="Times New Roman" w:hAnsi="Segoe UI" w:cs="Segoe UI"/>
                <w:color w:val="014171"/>
                <w:sz w:val="16"/>
                <w:szCs w:val="18"/>
                <w:lang w:val="de-DE"/>
              </w:rPr>
            </w:pPr>
            <w:r w:rsidRPr="00617D0C">
              <w:rPr>
                <w:rFonts w:ascii="Segoe UI" w:eastAsia="Times New Roman" w:hAnsi="Segoe UI" w:cs="Segoe UI"/>
                <w:color w:val="014171"/>
                <w:sz w:val="16"/>
                <w:szCs w:val="18"/>
                <w:lang w:val="de-DE"/>
              </w:rPr>
              <w:t>Richtlinie über Märkte für Finanzinstrumente</w:t>
            </w:r>
          </w:p>
          <w:p w14:paraId="7EEB389A" w14:textId="12A534C5" w:rsidR="0031662A" w:rsidRPr="009E440F" w:rsidRDefault="00617D0C" w:rsidP="00617D0C">
            <w:pPr>
              <w:spacing w:after="0"/>
              <w:jc w:val="both"/>
              <w:rPr>
                <w:rFonts w:ascii="Segoe UI" w:eastAsia="Times New Roman" w:hAnsi="Segoe UI" w:cs="Segoe UI"/>
                <w:color w:val="014171"/>
                <w:sz w:val="16"/>
                <w:szCs w:val="18"/>
                <w:lang w:val="de-DE"/>
              </w:rPr>
            </w:pPr>
            <w:r w:rsidRPr="00617D0C">
              <w:rPr>
                <w:rFonts w:ascii="Segoe UI" w:eastAsia="Times New Roman" w:hAnsi="Segoe UI" w:cs="Segoe UI"/>
                <w:color w:val="014171"/>
                <w:sz w:val="16"/>
                <w:szCs w:val="18"/>
                <w:lang w:val="de-DE"/>
              </w:rPr>
              <w:t>(</w:t>
            </w:r>
            <w:r w:rsidRPr="00617D0C">
              <w:rPr>
                <w:rFonts w:ascii="Segoe UI" w:eastAsia="Times New Roman" w:hAnsi="Segoe UI" w:cs="Segoe UI"/>
                <w:i/>
                <w:color w:val="014171"/>
                <w:sz w:val="16"/>
                <w:szCs w:val="18"/>
                <w:lang w:val="de-DE"/>
              </w:rPr>
              <w:t>Markets in Financial Instruments Directive</w:t>
            </w:r>
            <w:r w:rsidRPr="00617D0C">
              <w:rPr>
                <w:rFonts w:ascii="Segoe UI" w:eastAsia="Times New Roman" w:hAnsi="Segoe UI" w:cs="Segoe UI"/>
                <w:color w:val="014171"/>
                <w:sz w:val="16"/>
                <w:szCs w:val="18"/>
                <w:lang w:val="de-DE"/>
              </w:rPr>
              <w:t>)</w:t>
            </w:r>
          </w:p>
        </w:tc>
      </w:tr>
      <w:tr w:rsidR="0024004B" w:rsidRPr="009E440F" w14:paraId="38ECF971" w14:textId="77777777" w:rsidTr="007A2631">
        <w:trPr>
          <w:trHeight w:val="397"/>
          <w:jc w:val="center"/>
        </w:trPr>
        <w:tc>
          <w:tcPr>
            <w:tcW w:w="954" w:type="dxa"/>
            <w:shd w:val="clear" w:color="auto" w:fill="auto"/>
            <w:noWrap/>
            <w:vAlign w:val="center"/>
          </w:tcPr>
          <w:p w14:paraId="443E15A9" w14:textId="6B4E366E" w:rsidR="0024004B" w:rsidRPr="00617D0C" w:rsidRDefault="0024004B" w:rsidP="00E360A0">
            <w:pPr>
              <w:spacing w:after="0"/>
              <w:jc w:val="both"/>
              <w:rPr>
                <w:rFonts w:ascii="Segoe UI" w:eastAsia="Times New Roman" w:hAnsi="Segoe UI" w:cs="Segoe UI"/>
                <w:b/>
                <w:bCs/>
                <w:color w:val="014171"/>
                <w:sz w:val="16"/>
                <w:szCs w:val="18"/>
                <w:lang w:val="de-DE" w:eastAsia="ja-JP"/>
              </w:rPr>
            </w:pPr>
            <w:r w:rsidRPr="00617D0C">
              <w:rPr>
                <w:rFonts w:ascii="Segoe UI" w:eastAsia="Times New Roman" w:hAnsi="Segoe UI" w:cs="Segoe UI"/>
                <w:b/>
                <w:bCs/>
                <w:color w:val="014171"/>
                <w:sz w:val="16"/>
                <w:szCs w:val="18"/>
                <w:lang w:val="de-DE" w:eastAsia="ja-JP"/>
              </w:rPr>
              <w:t>RAS</w:t>
            </w:r>
          </w:p>
        </w:tc>
        <w:tc>
          <w:tcPr>
            <w:tcW w:w="3149" w:type="dxa"/>
            <w:shd w:val="clear" w:color="auto" w:fill="auto"/>
            <w:noWrap/>
            <w:vAlign w:val="center"/>
          </w:tcPr>
          <w:p w14:paraId="1CD1D534" w14:textId="3BBC7CD9" w:rsidR="0024004B" w:rsidRPr="009E440F" w:rsidRDefault="0024004B" w:rsidP="00E360A0">
            <w:pPr>
              <w:spacing w:after="0"/>
              <w:jc w:val="both"/>
              <w:rPr>
                <w:rFonts w:ascii="Segoe UI" w:eastAsia="Times New Roman" w:hAnsi="Segoe UI" w:cs="Segoe UI"/>
                <w:color w:val="014171"/>
                <w:sz w:val="16"/>
                <w:szCs w:val="18"/>
                <w:lang w:val="de-DE" w:eastAsia="ja-JP"/>
              </w:rPr>
            </w:pPr>
            <w:r w:rsidRPr="00617D0C">
              <w:rPr>
                <w:rFonts w:ascii="Segoe UI" w:eastAsia="Times New Roman" w:hAnsi="Segoe UI" w:cs="Segoe UI"/>
                <w:color w:val="014171"/>
                <w:sz w:val="16"/>
                <w:szCs w:val="18"/>
                <w:lang w:val="de-DE" w:eastAsia="ja-JP"/>
              </w:rPr>
              <w:t>Risk Appetite Statement</w:t>
            </w:r>
          </w:p>
        </w:tc>
      </w:tr>
      <w:tr w:rsidR="00C61EE4" w:rsidRPr="00AB3754" w14:paraId="277D712D" w14:textId="77777777" w:rsidTr="007A2631">
        <w:trPr>
          <w:trHeight w:val="397"/>
          <w:jc w:val="center"/>
        </w:trPr>
        <w:tc>
          <w:tcPr>
            <w:tcW w:w="954" w:type="dxa"/>
            <w:shd w:val="clear" w:color="auto" w:fill="auto"/>
            <w:noWrap/>
            <w:vAlign w:val="center"/>
          </w:tcPr>
          <w:p w14:paraId="3680DF59" w14:textId="0E639E33" w:rsidR="00C61EE4" w:rsidRPr="00617D0C" w:rsidRDefault="00C61EE4" w:rsidP="00E360A0">
            <w:pPr>
              <w:spacing w:after="0"/>
              <w:jc w:val="both"/>
              <w:rPr>
                <w:rFonts w:ascii="Segoe UI" w:eastAsia="Times New Roman" w:hAnsi="Segoe UI" w:cs="Segoe UI"/>
                <w:b/>
                <w:bCs/>
                <w:color w:val="014171"/>
                <w:sz w:val="16"/>
                <w:szCs w:val="18"/>
                <w:lang w:val="de-DE" w:eastAsia="ja-JP"/>
              </w:rPr>
            </w:pPr>
            <w:r w:rsidRPr="00617D0C">
              <w:rPr>
                <w:rFonts w:ascii="Segoe UI" w:eastAsia="Times New Roman" w:hAnsi="Segoe UI" w:cs="Segoe UI"/>
                <w:b/>
                <w:bCs/>
                <w:color w:val="014171"/>
                <w:sz w:val="16"/>
                <w:szCs w:val="18"/>
                <w:lang w:val="de-DE" w:eastAsia="ja-JP"/>
              </w:rPr>
              <w:t>RCSA</w:t>
            </w:r>
          </w:p>
        </w:tc>
        <w:tc>
          <w:tcPr>
            <w:tcW w:w="3149" w:type="dxa"/>
            <w:shd w:val="clear" w:color="auto" w:fill="auto"/>
            <w:noWrap/>
            <w:vAlign w:val="center"/>
          </w:tcPr>
          <w:p w14:paraId="744913B0" w14:textId="77777777" w:rsidR="006C5CDC" w:rsidRDefault="006C1309" w:rsidP="00617D0C">
            <w:pPr>
              <w:spacing w:after="0"/>
              <w:jc w:val="both"/>
              <w:rPr>
                <w:rFonts w:ascii="Segoe UI" w:eastAsia="Times New Roman" w:hAnsi="Segoe UI" w:cs="Segoe UI"/>
                <w:color w:val="014171"/>
                <w:sz w:val="16"/>
                <w:szCs w:val="18"/>
                <w:lang w:val="de-DE" w:eastAsia="ja-JP"/>
              </w:rPr>
            </w:pPr>
            <w:r w:rsidRPr="00617D0C">
              <w:rPr>
                <w:rFonts w:ascii="Segoe UI" w:eastAsia="Times New Roman" w:hAnsi="Segoe UI" w:cs="Segoe UI"/>
                <w:color w:val="014171"/>
                <w:sz w:val="16"/>
                <w:szCs w:val="18"/>
                <w:lang w:val="de-DE" w:eastAsia="ja-JP"/>
              </w:rPr>
              <w:t>Selbstbeurteilung der Risiken und Kontrollen</w:t>
            </w:r>
          </w:p>
          <w:p w14:paraId="090532E0" w14:textId="6A6921F2" w:rsidR="00C61EE4" w:rsidRPr="009E440F" w:rsidRDefault="00617D0C" w:rsidP="00617D0C">
            <w:pPr>
              <w:spacing w:after="0"/>
              <w:jc w:val="both"/>
              <w:rPr>
                <w:rFonts w:ascii="Segoe UI" w:eastAsia="Times New Roman" w:hAnsi="Segoe UI" w:cs="Segoe UI"/>
                <w:color w:val="014171"/>
                <w:sz w:val="16"/>
                <w:szCs w:val="18"/>
                <w:lang w:val="de-DE" w:eastAsia="ja-JP"/>
              </w:rPr>
            </w:pPr>
            <w:r w:rsidRPr="00617D0C">
              <w:rPr>
                <w:rFonts w:ascii="Segoe UI" w:eastAsia="Times New Roman" w:hAnsi="Segoe UI" w:cs="Segoe UI"/>
                <w:color w:val="014171"/>
                <w:sz w:val="16"/>
                <w:szCs w:val="18"/>
                <w:lang w:val="de-DE" w:eastAsia="ja-JP"/>
              </w:rPr>
              <w:t>(</w:t>
            </w:r>
            <w:r w:rsidR="0018154D">
              <w:rPr>
                <w:rFonts w:ascii="Segoe UI" w:eastAsia="Times New Roman" w:hAnsi="Segoe UI" w:cs="Segoe UI"/>
                <w:i/>
                <w:color w:val="014171"/>
                <w:sz w:val="16"/>
                <w:szCs w:val="18"/>
                <w:lang w:val="de-DE" w:eastAsia="ja-JP"/>
              </w:rPr>
              <w:t>Risk &amp;</w:t>
            </w:r>
            <w:r w:rsidRPr="00617D0C">
              <w:rPr>
                <w:rFonts w:ascii="Segoe UI" w:eastAsia="Times New Roman" w:hAnsi="Segoe UI" w:cs="Segoe UI"/>
                <w:i/>
                <w:color w:val="014171"/>
                <w:sz w:val="16"/>
                <w:szCs w:val="18"/>
                <w:lang w:val="de-DE" w:eastAsia="ja-JP"/>
              </w:rPr>
              <w:t xml:space="preserve"> Control Self</w:t>
            </w:r>
            <w:r w:rsidR="0018154D">
              <w:rPr>
                <w:rFonts w:ascii="Segoe UI" w:eastAsia="Times New Roman" w:hAnsi="Segoe UI" w:cs="Segoe UI"/>
                <w:i/>
                <w:color w:val="014171"/>
                <w:sz w:val="16"/>
                <w:szCs w:val="18"/>
                <w:lang w:val="de-DE" w:eastAsia="ja-JP"/>
              </w:rPr>
              <w:t>-</w:t>
            </w:r>
            <w:r w:rsidRPr="00617D0C">
              <w:rPr>
                <w:rFonts w:ascii="Segoe UI" w:eastAsia="Times New Roman" w:hAnsi="Segoe UI" w:cs="Segoe UI"/>
                <w:i/>
                <w:color w:val="014171"/>
                <w:sz w:val="16"/>
                <w:szCs w:val="18"/>
                <w:lang w:val="de-DE" w:eastAsia="ja-JP"/>
              </w:rPr>
              <w:t xml:space="preserve"> Assessment</w:t>
            </w:r>
            <w:r w:rsidRPr="00617D0C">
              <w:rPr>
                <w:rFonts w:ascii="Segoe UI" w:eastAsia="Times New Roman" w:hAnsi="Segoe UI" w:cs="Segoe UI"/>
                <w:color w:val="014171"/>
                <w:sz w:val="16"/>
                <w:szCs w:val="18"/>
                <w:lang w:val="de-DE" w:eastAsia="ja-JP"/>
              </w:rPr>
              <w:t>)</w:t>
            </w:r>
          </w:p>
        </w:tc>
      </w:tr>
      <w:tr w:rsidR="00A668CC" w:rsidRPr="009E440F" w14:paraId="0E6C213A" w14:textId="77777777" w:rsidTr="007A2631">
        <w:trPr>
          <w:trHeight w:val="397"/>
          <w:jc w:val="center"/>
        </w:trPr>
        <w:tc>
          <w:tcPr>
            <w:tcW w:w="954" w:type="dxa"/>
            <w:shd w:val="clear" w:color="auto" w:fill="auto"/>
            <w:noWrap/>
            <w:vAlign w:val="center"/>
          </w:tcPr>
          <w:p w14:paraId="2CF01F2E" w14:textId="4D9FDAFA" w:rsidR="00A668CC" w:rsidRPr="00617D0C" w:rsidRDefault="00A668CC" w:rsidP="00E360A0">
            <w:pPr>
              <w:spacing w:after="0"/>
              <w:jc w:val="both"/>
              <w:rPr>
                <w:rFonts w:ascii="Segoe UI" w:eastAsia="Times New Roman" w:hAnsi="Segoe UI" w:cs="Segoe UI"/>
                <w:b/>
                <w:bCs/>
                <w:color w:val="014171"/>
                <w:sz w:val="16"/>
                <w:szCs w:val="18"/>
                <w:lang w:val="de-DE" w:eastAsia="ja-JP"/>
              </w:rPr>
            </w:pPr>
            <w:r w:rsidRPr="00617D0C">
              <w:rPr>
                <w:rFonts w:ascii="Segoe UI" w:eastAsia="Times New Roman" w:hAnsi="Segoe UI" w:cs="Segoe UI"/>
                <w:b/>
                <w:bCs/>
                <w:color w:val="014171"/>
                <w:sz w:val="16"/>
                <w:szCs w:val="18"/>
                <w:lang w:val="de-DE" w:eastAsia="ja-JP"/>
              </w:rPr>
              <w:t>Ri</w:t>
            </w:r>
            <w:r w:rsidR="00617D0C" w:rsidRPr="00617D0C">
              <w:rPr>
                <w:rFonts w:ascii="Segoe UI" w:eastAsia="Times New Roman" w:hAnsi="Segoe UI" w:cs="Segoe UI"/>
                <w:b/>
                <w:bCs/>
                <w:color w:val="014171"/>
                <w:sz w:val="16"/>
                <w:szCs w:val="18"/>
                <w:lang w:val="de-DE" w:eastAsia="ja-JP"/>
              </w:rPr>
              <w:t>K</w:t>
            </w:r>
            <w:r w:rsidRPr="00617D0C">
              <w:rPr>
                <w:rFonts w:ascii="Segoe UI" w:eastAsia="Times New Roman" w:hAnsi="Segoe UI" w:cs="Segoe UI"/>
                <w:b/>
                <w:bCs/>
                <w:color w:val="014171"/>
                <w:sz w:val="16"/>
                <w:szCs w:val="18"/>
                <w:lang w:val="de-DE" w:eastAsia="ja-JP"/>
              </w:rPr>
              <w:t>o</w:t>
            </w:r>
          </w:p>
        </w:tc>
        <w:tc>
          <w:tcPr>
            <w:tcW w:w="3149" w:type="dxa"/>
            <w:shd w:val="clear" w:color="auto" w:fill="auto"/>
            <w:noWrap/>
            <w:vAlign w:val="center"/>
          </w:tcPr>
          <w:p w14:paraId="12E8F783" w14:textId="3DA72831" w:rsidR="00A668CC" w:rsidRPr="009E440F" w:rsidRDefault="00A668CC" w:rsidP="00617D0C">
            <w:pPr>
              <w:spacing w:after="0"/>
              <w:jc w:val="both"/>
              <w:rPr>
                <w:rFonts w:ascii="Segoe UI" w:eastAsia="Times New Roman" w:hAnsi="Segoe UI" w:cs="Segoe UI"/>
                <w:color w:val="014171"/>
                <w:sz w:val="16"/>
                <w:szCs w:val="18"/>
                <w:lang w:val="de-DE" w:eastAsia="ja-JP"/>
              </w:rPr>
            </w:pPr>
            <w:r w:rsidRPr="00617D0C">
              <w:rPr>
                <w:rFonts w:ascii="Segoe UI" w:eastAsia="Times New Roman" w:hAnsi="Segoe UI" w:cs="Segoe UI"/>
                <w:color w:val="014171"/>
                <w:sz w:val="16"/>
                <w:szCs w:val="18"/>
                <w:lang w:val="de-DE" w:eastAsia="ja-JP"/>
              </w:rPr>
              <w:t>Ris</w:t>
            </w:r>
            <w:r w:rsidR="00617D0C" w:rsidRPr="00617D0C">
              <w:rPr>
                <w:rFonts w:ascii="Segoe UI" w:eastAsia="Times New Roman" w:hAnsi="Segoe UI" w:cs="Segoe UI"/>
                <w:color w:val="014171"/>
                <w:sz w:val="16"/>
                <w:szCs w:val="18"/>
                <w:lang w:val="de-DE" w:eastAsia="ja-JP"/>
              </w:rPr>
              <w:t>i</w:t>
            </w:r>
            <w:r w:rsidRPr="00617D0C">
              <w:rPr>
                <w:rFonts w:ascii="Segoe UI" w:eastAsia="Times New Roman" w:hAnsi="Segoe UI" w:cs="Segoe UI"/>
                <w:color w:val="014171"/>
                <w:sz w:val="16"/>
                <w:szCs w:val="18"/>
                <w:lang w:val="de-DE" w:eastAsia="ja-JP"/>
              </w:rPr>
              <w:t>k</w:t>
            </w:r>
            <w:r w:rsidR="00617D0C" w:rsidRPr="00617D0C">
              <w:rPr>
                <w:rFonts w:ascii="Segoe UI" w:eastAsia="Times New Roman" w:hAnsi="Segoe UI" w:cs="Segoe UI"/>
                <w:color w:val="014171"/>
                <w:sz w:val="16"/>
                <w:szCs w:val="18"/>
                <w:lang w:val="de-DE" w:eastAsia="ja-JP"/>
              </w:rPr>
              <w:t>o</w:t>
            </w:r>
            <w:r w:rsidRPr="00617D0C">
              <w:rPr>
                <w:rFonts w:ascii="Segoe UI" w:eastAsia="Times New Roman" w:hAnsi="Segoe UI" w:cs="Segoe UI"/>
                <w:color w:val="014171"/>
                <w:sz w:val="16"/>
                <w:szCs w:val="18"/>
                <w:lang w:val="de-DE" w:eastAsia="ja-JP"/>
              </w:rPr>
              <w:t xml:space="preserve"> </w:t>
            </w:r>
            <w:r w:rsidR="00617D0C" w:rsidRPr="00617D0C">
              <w:rPr>
                <w:rFonts w:ascii="Segoe UI" w:eastAsia="Times New Roman" w:hAnsi="Segoe UI" w:cs="Segoe UI"/>
                <w:color w:val="014171"/>
                <w:sz w:val="16"/>
                <w:szCs w:val="18"/>
                <w:lang w:val="de-DE" w:eastAsia="ja-JP"/>
              </w:rPr>
              <w:t>Komitee</w:t>
            </w:r>
          </w:p>
        </w:tc>
      </w:tr>
      <w:tr w:rsidR="0024004B" w:rsidRPr="009E440F" w14:paraId="05BFE4F4" w14:textId="77777777" w:rsidTr="007A2631">
        <w:trPr>
          <w:trHeight w:val="397"/>
          <w:jc w:val="center"/>
        </w:trPr>
        <w:tc>
          <w:tcPr>
            <w:tcW w:w="954" w:type="dxa"/>
            <w:shd w:val="clear" w:color="auto" w:fill="auto"/>
            <w:noWrap/>
            <w:vAlign w:val="center"/>
          </w:tcPr>
          <w:p w14:paraId="55306ADD" w14:textId="52A0BEA4" w:rsidR="0024004B" w:rsidRPr="00617D0C" w:rsidRDefault="0024004B" w:rsidP="00E360A0">
            <w:pPr>
              <w:spacing w:after="0"/>
              <w:jc w:val="both"/>
              <w:rPr>
                <w:rFonts w:ascii="Segoe UI" w:eastAsia="Times New Roman" w:hAnsi="Segoe UI" w:cs="Segoe UI"/>
                <w:b/>
                <w:bCs/>
                <w:color w:val="014171"/>
                <w:sz w:val="16"/>
                <w:szCs w:val="18"/>
                <w:lang w:val="de-DE" w:eastAsia="ja-JP"/>
              </w:rPr>
            </w:pPr>
            <w:r w:rsidRPr="00617D0C">
              <w:rPr>
                <w:rFonts w:ascii="Segoe UI" w:eastAsia="Times New Roman" w:hAnsi="Segoe UI" w:cs="Segoe UI"/>
                <w:b/>
                <w:bCs/>
                <w:color w:val="014171"/>
                <w:sz w:val="16"/>
                <w:szCs w:val="18"/>
                <w:lang w:val="de-DE" w:eastAsia="ja-JP"/>
              </w:rPr>
              <w:t>RLF</w:t>
            </w:r>
          </w:p>
        </w:tc>
        <w:tc>
          <w:tcPr>
            <w:tcW w:w="3149" w:type="dxa"/>
            <w:shd w:val="clear" w:color="auto" w:fill="auto"/>
            <w:noWrap/>
            <w:vAlign w:val="center"/>
          </w:tcPr>
          <w:p w14:paraId="3D80801E" w14:textId="0435B564" w:rsidR="0024004B" w:rsidRPr="009E440F" w:rsidRDefault="0024004B" w:rsidP="00E360A0">
            <w:pPr>
              <w:spacing w:after="0"/>
              <w:jc w:val="both"/>
              <w:rPr>
                <w:rFonts w:ascii="Segoe UI" w:eastAsia="Times New Roman" w:hAnsi="Segoe UI" w:cs="Segoe UI"/>
                <w:color w:val="014171"/>
                <w:sz w:val="16"/>
                <w:szCs w:val="18"/>
                <w:lang w:val="de-DE" w:eastAsia="ja-JP"/>
              </w:rPr>
            </w:pPr>
            <w:r w:rsidRPr="00617D0C">
              <w:rPr>
                <w:rFonts w:ascii="Segoe UI" w:eastAsia="Times New Roman" w:hAnsi="Segoe UI" w:cs="Segoe UI"/>
                <w:color w:val="014171"/>
                <w:sz w:val="16"/>
                <w:szCs w:val="18"/>
                <w:lang w:val="de-DE" w:eastAsia="ja-JP"/>
              </w:rPr>
              <w:t>Risk Limit Framework</w:t>
            </w:r>
          </w:p>
        </w:tc>
      </w:tr>
      <w:tr w:rsidR="0053210F" w:rsidRPr="009E440F" w14:paraId="54B9D6C0" w14:textId="77777777" w:rsidTr="007A2631">
        <w:trPr>
          <w:trHeight w:val="397"/>
          <w:jc w:val="center"/>
        </w:trPr>
        <w:tc>
          <w:tcPr>
            <w:tcW w:w="954" w:type="dxa"/>
            <w:shd w:val="clear" w:color="auto" w:fill="auto"/>
            <w:noWrap/>
            <w:vAlign w:val="center"/>
          </w:tcPr>
          <w:p w14:paraId="7FE5D714" w14:textId="1A18FCA8" w:rsidR="0053210F" w:rsidRPr="00617D0C" w:rsidRDefault="0053210F" w:rsidP="00E360A0">
            <w:pPr>
              <w:spacing w:after="0"/>
              <w:jc w:val="both"/>
              <w:rPr>
                <w:rFonts w:ascii="Segoe UI" w:eastAsia="Times New Roman" w:hAnsi="Segoe UI" w:cs="Segoe UI"/>
                <w:b/>
                <w:bCs/>
                <w:color w:val="014171"/>
                <w:sz w:val="16"/>
                <w:szCs w:val="18"/>
                <w:lang w:val="de-DE" w:eastAsia="ja-JP"/>
              </w:rPr>
            </w:pPr>
            <w:r w:rsidRPr="00617D0C">
              <w:rPr>
                <w:rFonts w:ascii="Segoe UI" w:eastAsia="Times New Roman" w:hAnsi="Segoe UI" w:cs="Segoe UI"/>
                <w:b/>
                <w:bCs/>
                <w:color w:val="014171"/>
                <w:sz w:val="16"/>
                <w:szCs w:val="18"/>
                <w:lang w:val="de-DE" w:eastAsia="ja-JP"/>
              </w:rPr>
              <w:t>RMF</w:t>
            </w:r>
          </w:p>
        </w:tc>
        <w:tc>
          <w:tcPr>
            <w:tcW w:w="3149" w:type="dxa"/>
            <w:shd w:val="clear" w:color="auto" w:fill="auto"/>
            <w:noWrap/>
            <w:vAlign w:val="center"/>
          </w:tcPr>
          <w:p w14:paraId="2F791F7D" w14:textId="1FBD555C" w:rsidR="0053210F" w:rsidRPr="009E440F" w:rsidRDefault="0053210F" w:rsidP="00E360A0">
            <w:pPr>
              <w:spacing w:after="0"/>
              <w:jc w:val="both"/>
              <w:rPr>
                <w:rFonts w:ascii="Segoe UI" w:eastAsia="Times New Roman" w:hAnsi="Segoe UI" w:cs="Segoe UI"/>
                <w:color w:val="014171"/>
                <w:sz w:val="16"/>
                <w:szCs w:val="18"/>
                <w:lang w:val="de-DE" w:eastAsia="ja-JP"/>
              </w:rPr>
            </w:pPr>
            <w:r w:rsidRPr="00617D0C">
              <w:rPr>
                <w:rFonts w:ascii="Segoe UI" w:eastAsia="Times New Roman" w:hAnsi="Segoe UI" w:cs="Segoe UI"/>
                <w:color w:val="014171"/>
                <w:sz w:val="16"/>
                <w:szCs w:val="18"/>
                <w:lang w:val="de-DE" w:eastAsia="ja-JP"/>
              </w:rPr>
              <w:t>Risk Management Framework</w:t>
            </w:r>
          </w:p>
        </w:tc>
      </w:tr>
      <w:tr w:rsidR="00E50C37" w:rsidRPr="00AB3754" w14:paraId="26C2E7C8" w14:textId="77777777" w:rsidTr="007A2631">
        <w:trPr>
          <w:trHeight w:val="397"/>
          <w:jc w:val="center"/>
        </w:trPr>
        <w:tc>
          <w:tcPr>
            <w:tcW w:w="954" w:type="dxa"/>
            <w:shd w:val="clear" w:color="auto" w:fill="auto"/>
            <w:noWrap/>
            <w:vAlign w:val="center"/>
          </w:tcPr>
          <w:p w14:paraId="6A5C95EB" w14:textId="093F402E" w:rsidR="00E50C37" w:rsidRPr="00617D0C" w:rsidRDefault="00E50C37" w:rsidP="00E360A0">
            <w:pPr>
              <w:spacing w:after="0"/>
              <w:jc w:val="both"/>
              <w:rPr>
                <w:rFonts w:ascii="Segoe UI" w:eastAsia="Times New Roman" w:hAnsi="Segoe UI" w:cs="Segoe UI"/>
                <w:b/>
                <w:bCs/>
                <w:color w:val="014171"/>
                <w:sz w:val="16"/>
                <w:szCs w:val="18"/>
                <w:lang w:val="de-DE" w:eastAsia="ja-JP"/>
              </w:rPr>
            </w:pPr>
            <w:r w:rsidRPr="00617D0C">
              <w:rPr>
                <w:rFonts w:ascii="Segoe UI" w:eastAsia="Times New Roman" w:hAnsi="Segoe UI" w:cs="Segoe UI"/>
                <w:b/>
                <w:bCs/>
                <w:color w:val="014171"/>
                <w:sz w:val="16"/>
                <w:szCs w:val="18"/>
                <w:lang w:val="de-DE" w:eastAsia="ja-JP"/>
              </w:rPr>
              <w:t>RtC</w:t>
            </w:r>
          </w:p>
        </w:tc>
        <w:tc>
          <w:tcPr>
            <w:tcW w:w="3149" w:type="dxa"/>
            <w:shd w:val="clear" w:color="auto" w:fill="auto"/>
            <w:noWrap/>
            <w:vAlign w:val="center"/>
          </w:tcPr>
          <w:p w14:paraId="7CF038E0" w14:textId="493B33F4" w:rsidR="00E50C37" w:rsidRPr="00617D0C" w:rsidRDefault="00A5642B" w:rsidP="00E360A0">
            <w:pPr>
              <w:spacing w:after="0"/>
              <w:jc w:val="both"/>
              <w:rPr>
                <w:rFonts w:ascii="Segoe UI" w:eastAsia="Times New Roman" w:hAnsi="Segoe UI" w:cs="Segoe UI"/>
                <w:color w:val="014171"/>
                <w:sz w:val="16"/>
                <w:szCs w:val="18"/>
                <w:lang w:val="de-DE" w:eastAsia="ja-JP"/>
              </w:rPr>
            </w:pPr>
            <w:r w:rsidRPr="00617D0C">
              <w:rPr>
                <w:rFonts w:ascii="Segoe UI" w:eastAsia="Times New Roman" w:hAnsi="Segoe UI" w:cs="Segoe UI"/>
                <w:color w:val="014171"/>
                <w:sz w:val="16"/>
                <w:szCs w:val="18"/>
                <w:lang w:val="de-DE" w:eastAsia="ja-JP"/>
              </w:rPr>
              <w:t>K-Faktoren für Kundenrisiken</w:t>
            </w:r>
            <w:r w:rsidR="0046753E" w:rsidRPr="00617D0C">
              <w:rPr>
                <w:rFonts w:ascii="Segoe UI" w:eastAsia="Times New Roman" w:hAnsi="Segoe UI" w:cs="Segoe UI"/>
                <w:color w:val="014171"/>
                <w:sz w:val="16"/>
                <w:szCs w:val="18"/>
                <w:lang w:val="de-DE" w:eastAsia="ja-JP"/>
              </w:rPr>
              <w:t xml:space="preserve"> (</w:t>
            </w:r>
            <w:r w:rsidR="0046753E" w:rsidRPr="00617D0C">
              <w:rPr>
                <w:rFonts w:ascii="Segoe UI" w:eastAsia="Times New Roman" w:hAnsi="Segoe UI" w:cs="Segoe UI"/>
                <w:i/>
                <w:color w:val="014171"/>
                <w:sz w:val="16"/>
                <w:szCs w:val="18"/>
                <w:lang w:val="de-DE" w:eastAsia="ja-JP"/>
              </w:rPr>
              <w:t>Risk-to-Client</w:t>
            </w:r>
            <w:r w:rsidR="0046753E" w:rsidRPr="00617D0C">
              <w:rPr>
                <w:rFonts w:ascii="Segoe UI" w:eastAsia="Times New Roman" w:hAnsi="Segoe UI" w:cs="Segoe UI"/>
                <w:color w:val="014171"/>
                <w:sz w:val="16"/>
                <w:szCs w:val="18"/>
                <w:lang w:val="de-DE" w:eastAsia="ja-JP"/>
              </w:rPr>
              <w:t>)</w:t>
            </w:r>
          </w:p>
        </w:tc>
      </w:tr>
      <w:tr w:rsidR="00E50C37" w:rsidRPr="0018154D" w14:paraId="35641010" w14:textId="77777777" w:rsidTr="007A2631">
        <w:trPr>
          <w:trHeight w:val="397"/>
          <w:jc w:val="center"/>
        </w:trPr>
        <w:tc>
          <w:tcPr>
            <w:tcW w:w="954" w:type="dxa"/>
            <w:shd w:val="clear" w:color="auto" w:fill="auto"/>
            <w:noWrap/>
            <w:vAlign w:val="center"/>
          </w:tcPr>
          <w:p w14:paraId="77FC612A" w14:textId="04AA253F" w:rsidR="00E50C37" w:rsidRPr="00617D0C" w:rsidRDefault="00E50C37" w:rsidP="00E360A0">
            <w:pPr>
              <w:spacing w:after="0"/>
              <w:jc w:val="both"/>
              <w:rPr>
                <w:rFonts w:ascii="Segoe UI" w:eastAsia="Times New Roman" w:hAnsi="Segoe UI" w:cs="Segoe UI"/>
                <w:b/>
                <w:bCs/>
                <w:color w:val="014171"/>
                <w:sz w:val="16"/>
                <w:szCs w:val="18"/>
                <w:lang w:val="de-DE" w:eastAsia="ja-JP"/>
              </w:rPr>
            </w:pPr>
            <w:r w:rsidRPr="00617D0C">
              <w:rPr>
                <w:rFonts w:ascii="Segoe UI" w:eastAsia="Times New Roman" w:hAnsi="Segoe UI" w:cs="Segoe UI"/>
                <w:b/>
                <w:bCs/>
                <w:color w:val="014171"/>
                <w:sz w:val="16"/>
                <w:szCs w:val="18"/>
                <w:lang w:val="de-DE" w:eastAsia="ja-JP"/>
              </w:rPr>
              <w:t>RtF</w:t>
            </w:r>
          </w:p>
        </w:tc>
        <w:tc>
          <w:tcPr>
            <w:tcW w:w="3149" w:type="dxa"/>
            <w:shd w:val="clear" w:color="auto" w:fill="auto"/>
            <w:noWrap/>
            <w:vAlign w:val="center"/>
          </w:tcPr>
          <w:p w14:paraId="28288431" w14:textId="6484B1D6" w:rsidR="00E50C37" w:rsidRPr="00617D0C" w:rsidRDefault="00E50C37" w:rsidP="00E360A0">
            <w:pPr>
              <w:spacing w:after="0"/>
              <w:jc w:val="both"/>
              <w:rPr>
                <w:rFonts w:ascii="Segoe UI" w:eastAsia="Times New Roman" w:hAnsi="Segoe UI" w:cs="Segoe UI"/>
                <w:color w:val="014171"/>
                <w:sz w:val="16"/>
                <w:szCs w:val="18"/>
                <w:lang w:val="de-DE" w:eastAsia="ja-JP"/>
              </w:rPr>
            </w:pPr>
            <w:r w:rsidRPr="00617D0C">
              <w:rPr>
                <w:rFonts w:ascii="Segoe UI" w:eastAsia="Times New Roman" w:hAnsi="Segoe UI" w:cs="Segoe UI"/>
                <w:color w:val="014171"/>
                <w:sz w:val="16"/>
                <w:szCs w:val="18"/>
                <w:lang w:val="de-DE" w:eastAsia="ja-JP"/>
              </w:rPr>
              <w:t>K-Faktoren für Firmenrisiken</w:t>
            </w:r>
            <w:r w:rsidR="0046753E" w:rsidRPr="00617D0C">
              <w:rPr>
                <w:rFonts w:ascii="Segoe UI" w:eastAsia="Times New Roman" w:hAnsi="Segoe UI" w:cs="Segoe UI"/>
                <w:color w:val="014171"/>
                <w:sz w:val="16"/>
                <w:szCs w:val="18"/>
                <w:lang w:val="de-DE" w:eastAsia="ja-JP"/>
              </w:rPr>
              <w:t xml:space="preserve"> (</w:t>
            </w:r>
            <w:r w:rsidR="0046753E" w:rsidRPr="00617D0C">
              <w:rPr>
                <w:rFonts w:ascii="Segoe UI" w:eastAsia="Times New Roman" w:hAnsi="Segoe UI" w:cs="Segoe UI"/>
                <w:i/>
                <w:color w:val="014171"/>
                <w:sz w:val="16"/>
                <w:szCs w:val="18"/>
                <w:lang w:val="de-DE" w:eastAsia="ja-JP"/>
              </w:rPr>
              <w:t>Risk-to-Firm</w:t>
            </w:r>
            <w:r w:rsidR="0046753E" w:rsidRPr="00617D0C">
              <w:rPr>
                <w:rFonts w:ascii="Segoe UI" w:eastAsia="Times New Roman" w:hAnsi="Segoe UI" w:cs="Segoe UI"/>
                <w:color w:val="014171"/>
                <w:sz w:val="16"/>
                <w:szCs w:val="18"/>
                <w:lang w:val="de-DE" w:eastAsia="ja-JP"/>
              </w:rPr>
              <w:t>)</w:t>
            </w:r>
          </w:p>
        </w:tc>
      </w:tr>
      <w:tr w:rsidR="00E50C37" w:rsidRPr="00AB3754" w14:paraId="44A1E1FB" w14:textId="77777777" w:rsidTr="007A2631">
        <w:trPr>
          <w:trHeight w:val="397"/>
          <w:jc w:val="center"/>
        </w:trPr>
        <w:tc>
          <w:tcPr>
            <w:tcW w:w="954" w:type="dxa"/>
            <w:shd w:val="clear" w:color="auto" w:fill="auto"/>
            <w:noWrap/>
            <w:vAlign w:val="center"/>
          </w:tcPr>
          <w:p w14:paraId="66A28BCE" w14:textId="4C4A9990" w:rsidR="00E50C37" w:rsidRPr="00617D0C" w:rsidRDefault="00E50C37" w:rsidP="00E360A0">
            <w:pPr>
              <w:spacing w:after="0"/>
              <w:jc w:val="both"/>
              <w:rPr>
                <w:rFonts w:ascii="Segoe UI" w:eastAsia="Times New Roman" w:hAnsi="Segoe UI" w:cs="Segoe UI"/>
                <w:b/>
                <w:bCs/>
                <w:color w:val="014171"/>
                <w:sz w:val="16"/>
                <w:szCs w:val="18"/>
                <w:lang w:val="de-DE" w:eastAsia="ja-JP"/>
              </w:rPr>
            </w:pPr>
            <w:r w:rsidRPr="00617D0C">
              <w:rPr>
                <w:rFonts w:ascii="Segoe UI" w:eastAsia="Times New Roman" w:hAnsi="Segoe UI" w:cs="Segoe UI"/>
                <w:b/>
                <w:bCs/>
                <w:color w:val="014171"/>
                <w:sz w:val="16"/>
                <w:szCs w:val="18"/>
                <w:lang w:val="de-DE" w:eastAsia="ja-JP"/>
              </w:rPr>
              <w:t>RtM</w:t>
            </w:r>
          </w:p>
        </w:tc>
        <w:tc>
          <w:tcPr>
            <w:tcW w:w="3149" w:type="dxa"/>
            <w:shd w:val="clear" w:color="auto" w:fill="auto"/>
            <w:noWrap/>
            <w:vAlign w:val="center"/>
          </w:tcPr>
          <w:p w14:paraId="04DA4551" w14:textId="3DB6E47F" w:rsidR="00E50C37" w:rsidRPr="00E50C37" w:rsidRDefault="00E50C37" w:rsidP="00E360A0">
            <w:pPr>
              <w:spacing w:after="0"/>
              <w:jc w:val="both"/>
              <w:rPr>
                <w:rFonts w:ascii="Segoe UI" w:eastAsia="Times New Roman" w:hAnsi="Segoe UI" w:cs="Segoe UI"/>
                <w:color w:val="014171"/>
                <w:sz w:val="16"/>
                <w:szCs w:val="18"/>
                <w:lang w:val="de-DE" w:eastAsia="ja-JP"/>
              </w:rPr>
            </w:pPr>
            <w:r w:rsidRPr="00617D0C">
              <w:rPr>
                <w:rFonts w:ascii="Segoe UI" w:eastAsia="Times New Roman" w:hAnsi="Segoe UI" w:cs="Segoe UI"/>
                <w:color w:val="014171"/>
                <w:sz w:val="16"/>
                <w:szCs w:val="18"/>
                <w:lang w:val="de-DE" w:eastAsia="ja-JP"/>
              </w:rPr>
              <w:t>K-Faktoren für Marktrisiken</w:t>
            </w:r>
            <w:r w:rsidR="0046753E" w:rsidRPr="00617D0C">
              <w:rPr>
                <w:rFonts w:ascii="Segoe UI" w:eastAsia="Times New Roman" w:hAnsi="Segoe UI" w:cs="Segoe UI"/>
                <w:color w:val="014171"/>
                <w:sz w:val="16"/>
                <w:szCs w:val="18"/>
                <w:lang w:val="de-DE" w:eastAsia="ja-JP"/>
              </w:rPr>
              <w:t xml:space="preserve"> (</w:t>
            </w:r>
            <w:r w:rsidR="0046753E" w:rsidRPr="00617D0C">
              <w:rPr>
                <w:rFonts w:ascii="Segoe UI" w:eastAsia="Times New Roman" w:hAnsi="Segoe UI" w:cs="Segoe UI"/>
                <w:i/>
                <w:color w:val="014171"/>
                <w:sz w:val="16"/>
                <w:szCs w:val="18"/>
                <w:lang w:val="de-DE" w:eastAsia="ja-JP"/>
              </w:rPr>
              <w:t>Risk-to-Market</w:t>
            </w:r>
            <w:r w:rsidR="0046753E" w:rsidRPr="00617D0C">
              <w:rPr>
                <w:rFonts w:ascii="Segoe UI" w:eastAsia="Times New Roman" w:hAnsi="Segoe UI" w:cs="Segoe UI"/>
                <w:color w:val="014171"/>
                <w:sz w:val="16"/>
                <w:szCs w:val="18"/>
                <w:lang w:val="de-DE" w:eastAsia="ja-JP"/>
              </w:rPr>
              <w:t>)</w:t>
            </w:r>
          </w:p>
        </w:tc>
      </w:tr>
      <w:tr w:rsidR="00F17536" w:rsidRPr="009E440F" w14:paraId="5140F8BF" w14:textId="77777777" w:rsidTr="007A2631">
        <w:trPr>
          <w:trHeight w:val="397"/>
          <w:jc w:val="center"/>
        </w:trPr>
        <w:tc>
          <w:tcPr>
            <w:tcW w:w="954" w:type="dxa"/>
            <w:shd w:val="clear" w:color="auto" w:fill="auto"/>
            <w:noWrap/>
            <w:vAlign w:val="center"/>
          </w:tcPr>
          <w:p w14:paraId="5C9CD72F" w14:textId="2CDC150C" w:rsidR="00F17536" w:rsidRPr="0046753E" w:rsidRDefault="00F17536" w:rsidP="00E360A0">
            <w:pPr>
              <w:spacing w:after="0"/>
              <w:jc w:val="both"/>
              <w:rPr>
                <w:rFonts w:ascii="Segoe UI" w:eastAsia="Times New Roman" w:hAnsi="Segoe UI" w:cs="Segoe UI"/>
                <w:b/>
                <w:bCs/>
                <w:color w:val="014171"/>
                <w:sz w:val="16"/>
                <w:szCs w:val="18"/>
                <w:lang w:val="de-DE" w:eastAsia="ja-JP"/>
              </w:rPr>
            </w:pPr>
            <w:r w:rsidRPr="0046753E">
              <w:rPr>
                <w:rFonts w:ascii="Segoe UI" w:eastAsia="Times New Roman" w:hAnsi="Segoe UI" w:cs="Segoe UI"/>
                <w:b/>
                <w:bCs/>
                <w:color w:val="014171"/>
                <w:sz w:val="16"/>
                <w:szCs w:val="18"/>
                <w:lang w:val="de-DE" w:eastAsia="ja-JP"/>
              </w:rPr>
              <w:t>SREP</w:t>
            </w:r>
          </w:p>
        </w:tc>
        <w:tc>
          <w:tcPr>
            <w:tcW w:w="3149" w:type="dxa"/>
            <w:shd w:val="clear" w:color="auto" w:fill="auto"/>
            <w:noWrap/>
            <w:vAlign w:val="center"/>
          </w:tcPr>
          <w:p w14:paraId="4AE01CB7" w14:textId="77777777" w:rsidR="006C5CDC" w:rsidRDefault="00313E3A" w:rsidP="00E360A0">
            <w:pPr>
              <w:spacing w:after="0"/>
              <w:jc w:val="both"/>
              <w:rPr>
                <w:rFonts w:ascii="Segoe UI" w:eastAsia="Times New Roman" w:hAnsi="Segoe UI" w:cs="Segoe UI"/>
                <w:color w:val="014171"/>
                <w:sz w:val="16"/>
                <w:szCs w:val="18"/>
                <w:lang w:val="de-DE" w:eastAsia="ja-JP"/>
              </w:rPr>
            </w:pPr>
            <w:r w:rsidRPr="0046753E">
              <w:rPr>
                <w:rFonts w:ascii="Segoe UI" w:eastAsia="Times New Roman" w:hAnsi="Segoe UI" w:cs="Segoe UI"/>
                <w:color w:val="014171"/>
                <w:sz w:val="16"/>
                <w:szCs w:val="18"/>
                <w:lang w:val="de-DE" w:eastAsia="ja-JP"/>
              </w:rPr>
              <w:t>Aufsichtlicher Überprüfungs- und Bewertungsprozess</w:t>
            </w:r>
          </w:p>
          <w:p w14:paraId="07F80769" w14:textId="3051E747" w:rsidR="00F17536" w:rsidRPr="009E440F" w:rsidRDefault="0046753E" w:rsidP="00E360A0">
            <w:pPr>
              <w:spacing w:after="0"/>
              <w:jc w:val="both"/>
              <w:rPr>
                <w:rFonts w:ascii="Segoe UI" w:eastAsia="Times New Roman" w:hAnsi="Segoe UI" w:cs="Segoe UI"/>
                <w:color w:val="014171"/>
                <w:sz w:val="16"/>
                <w:szCs w:val="18"/>
                <w:lang w:val="de-DE" w:eastAsia="ja-JP"/>
              </w:rPr>
            </w:pPr>
            <w:r w:rsidRPr="0046753E">
              <w:rPr>
                <w:rFonts w:ascii="Segoe UI" w:eastAsia="Times New Roman" w:hAnsi="Segoe UI" w:cs="Segoe UI"/>
                <w:color w:val="014171"/>
                <w:sz w:val="16"/>
                <w:szCs w:val="18"/>
                <w:lang w:val="de-DE" w:eastAsia="ja-JP"/>
              </w:rPr>
              <w:t>(</w:t>
            </w:r>
            <w:r w:rsidRPr="0046753E">
              <w:rPr>
                <w:rFonts w:ascii="Segoe UI" w:eastAsia="Times New Roman" w:hAnsi="Segoe UI" w:cs="Segoe UI"/>
                <w:i/>
                <w:color w:val="014171"/>
                <w:sz w:val="16"/>
                <w:szCs w:val="18"/>
                <w:lang w:val="de-DE" w:eastAsia="ja-JP"/>
              </w:rPr>
              <w:t>Supervisory Review and Evaluation Process</w:t>
            </w:r>
            <w:r w:rsidRPr="0046753E">
              <w:rPr>
                <w:rFonts w:ascii="Segoe UI" w:eastAsia="Times New Roman" w:hAnsi="Segoe UI" w:cs="Segoe UI"/>
                <w:color w:val="014171"/>
                <w:sz w:val="16"/>
                <w:szCs w:val="18"/>
                <w:lang w:val="de-DE" w:eastAsia="ja-JP"/>
              </w:rPr>
              <w:t>)</w:t>
            </w:r>
          </w:p>
        </w:tc>
      </w:tr>
      <w:tr w:rsidR="00A22D32" w:rsidRPr="00617D0C" w14:paraId="5EA3F26C" w14:textId="77777777" w:rsidTr="007A2631">
        <w:trPr>
          <w:trHeight w:val="397"/>
          <w:jc w:val="center"/>
        </w:trPr>
        <w:tc>
          <w:tcPr>
            <w:tcW w:w="954" w:type="dxa"/>
            <w:shd w:val="clear" w:color="auto" w:fill="auto"/>
            <w:noWrap/>
            <w:vAlign w:val="center"/>
          </w:tcPr>
          <w:p w14:paraId="1FCD499E" w14:textId="77777777" w:rsidR="0031662A" w:rsidRPr="00617D0C" w:rsidRDefault="0031662A" w:rsidP="00E360A0">
            <w:pPr>
              <w:spacing w:after="0"/>
              <w:jc w:val="both"/>
              <w:rPr>
                <w:rFonts w:ascii="Segoe UI" w:eastAsia="Times New Roman" w:hAnsi="Segoe UI" w:cs="Segoe UI"/>
                <w:b/>
                <w:bCs/>
                <w:color w:val="014171"/>
                <w:sz w:val="16"/>
                <w:szCs w:val="18"/>
                <w:lang w:val="de-DE" w:eastAsia="ja-JP"/>
              </w:rPr>
            </w:pPr>
            <w:r w:rsidRPr="00617D0C">
              <w:rPr>
                <w:rFonts w:ascii="Segoe UI" w:eastAsia="Times New Roman" w:hAnsi="Segoe UI" w:cs="Segoe UI"/>
                <w:b/>
                <w:bCs/>
                <w:color w:val="014171"/>
                <w:sz w:val="16"/>
                <w:szCs w:val="18"/>
                <w:lang w:val="de-DE" w:eastAsia="ja-JP"/>
              </w:rPr>
              <w:lastRenderedPageBreak/>
              <w:t>T1</w:t>
            </w:r>
          </w:p>
        </w:tc>
        <w:tc>
          <w:tcPr>
            <w:tcW w:w="3149" w:type="dxa"/>
            <w:shd w:val="clear" w:color="auto" w:fill="auto"/>
            <w:noWrap/>
            <w:vAlign w:val="center"/>
          </w:tcPr>
          <w:p w14:paraId="218DF95C" w14:textId="77777777" w:rsidR="0031662A" w:rsidRPr="00617D0C" w:rsidRDefault="0031662A" w:rsidP="00E360A0">
            <w:pPr>
              <w:spacing w:after="0"/>
              <w:jc w:val="both"/>
              <w:rPr>
                <w:rFonts w:ascii="Segoe UI" w:eastAsia="Times New Roman" w:hAnsi="Segoe UI" w:cs="Segoe UI"/>
                <w:color w:val="014171"/>
                <w:sz w:val="16"/>
                <w:szCs w:val="18"/>
                <w:lang w:val="de-DE" w:eastAsia="ja-JP"/>
              </w:rPr>
            </w:pPr>
            <w:r w:rsidRPr="00617D0C">
              <w:rPr>
                <w:rFonts w:ascii="Segoe UI" w:eastAsia="Times New Roman" w:hAnsi="Segoe UI" w:cs="Segoe UI"/>
                <w:color w:val="014171"/>
                <w:sz w:val="16"/>
                <w:szCs w:val="18"/>
                <w:lang w:val="de-DE" w:eastAsia="ja-JP"/>
              </w:rPr>
              <w:t>Tier 1</w:t>
            </w:r>
          </w:p>
        </w:tc>
      </w:tr>
      <w:tr w:rsidR="00A22D32" w:rsidRPr="009E440F" w14:paraId="0404D684" w14:textId="77777777" w:rsidTr="007A2631">
        <w:trPr>
          <w:trHeight w:val="397"/>
          <w:jc w:val="center"/>
        </w:trPr>
        <w:tc>
          <w:tcPr>
            <w:tcW w:w="954" w:type="dxa"/>
            <w:shd w:val="clear" w:color="auto" w:fill="auto"/>
            <w:noWrap/>
            <w:vAlign w:val="center"/>
          </w:tcPr>
          <w:p w14:paraId="5297F552" w14:textId="77777777" w:rsidR="0031662A" w:rsidRPr="00617D0C" w:rsidRDefault="0031662A" w:rsidP="00E360A0">
            <w:pPr>
              <w:spacing w:after="0"/>
              <w:jc w:val="both"/>
              <w:rPr>
                <w:rFonts w:ascii="Segoe UI" w:eastAsia="Times New Roman" w:hAnsi="Segoe UI" w:cs="Segoe UI"/>
                <w:b/>
                <w:bCs/>
                <w:color w:val="014171"/>
                <w:sz w:val="16"/>
                <w:szCs w:val="18"/>
                <w:lang w:val="de-DE" w:eastAsia="ja-JP"/>
              </w:rPr>
            </w:pPr>
            <w:r w:rsidRPr="00617D0C">
              <w:rPr>
                <w:rFonts w:ascii="Segoe UI" w:eastAsia="Times New Roman" w:hAnsi="Segoe UI" w:cs="Segoe UI"/>
                <w:b/>
                <w:bCs/>
                <w:color w:val="014171"/>
                <w:sz w:val="16"/>
                <w:szCs w:val="18"/>
                <w:lang w:val="de-DE" w:eastAsia="ja-JP"/>
              </w:rPr>
              <w:t>T2</w:t>
            </w:r>
          </w:p>
        </w:tc>
        <w:tc>
          <w:tcPr>
            <w:tcW w:w="3149" w:type="dxa"/>
            <w:shd w:val="clear" w:color="auto" w:fill="auto"/>
            <w:noWrap/>
            <w:vAlign w:val="center"/>
          </w:tcPr>
          <w:p w14:paraId="2AAB2DB2" w14:textId="77777777" w:rsidR="0031662A" w:rsidRPr="009E440F" w:rsidRDefault="0031662A" w:rsidP="00E360A0">
            <w:pPr>
              <w:spacing w:after="0"/>
              <w:jc w:val="both"/>
              <w:rPr>
                <w:rFonts w:ascii="Segoe UI" w:eastAsia="Times New Roman" w:hAnsi="Segoe UI" w:cs="Segoe UI"/>
                <w:color w:val="014171"/>
                <w:sz w:val="16"/>
                <w:szCs w:val="18"/>
                <w:lang w:val="de-DE" w:eastAsia="ja-JP"/>
              </w:rPr>
            </w:pPr>
            <w:r w:rsidRPr="00617D0C">
              <w:rPr>
                <w:rFonts w:ascii="Segoe UI" w:eastAsia="Times New Roman" w:hAnsi="Segoe UI" w:cs="Segoe UI"/>
                <w:color w:val="014171"/>
                <w:sz w:val="16"/>
                <w:szCs w:val="18"/>
                <w:lang w:val="de-DE" w:eastAsia="ja-JP"/>
              </w:rPr>
              <w:t>Tier 2</w:t>
            </w:r>
          </w:p>
        </w:tc>
      </w:tr>
      <w:tr w:rsidR="00294046" w:rsidRPr="009E440F" w14:paraId="49FD1355" w14:textId="77777777" w:rsidTr="00CA5252">
        <w:trPr>
          <w:trHeight w:val="397"/>
          <w:jc w:val="center"/>
        </w:trPr>
        <w:tc>
          <w:tcPr>
            <w:tcW w:w="954" w:type="dxa"/>
            <w:shd w:val="clear" w:color="auto" w:fill="auto"/>
            <w:noWrap/>
            <w:vAlign w:val="center"/>
          </w:tcPr>
          <w:p w14:paraId="22440FE4" w14:textId="77777777" w:rsidR="00294046" w:rsidRPr="00617D0C" w:rsidRDefault="00294046" w:rsidP="00CA5252">
            <w:pPr>
              <w:spacing w:after="0"/>
              <w:jc w:val="both"/>
              <w:rPr>
                <w:rFonts w:ascii="Segoe UI" w:eastAsia="Times New Roman" w:hAnsi="Segoe UI" w:cs="Segoe UI"/>
                <w:b/>
                <w:bCs/>
                <w:color w:val="014171"/>
                <w:sz w:val="16"/>
                <w:szCs w:val="18"/>
                <w:lang w:val="de-DE" w:eastAsia="ja-JP"/>
              </w:rPr>
            </w:pPr>
            <w:r w:rsidRPr="00617D0C">
              <w:rPr>
                <w:rFonts w:ascii="Segoe UI" w:eastAsia="Times New Roman" w:hAnsi="Segoe UI" w:cs="Segoe UI"/>
                <w:b/>
                <w:bCs/>
                <w:color w:val="014171"/>
                <w:sz w:val="16"/>
                <w:szCs w:val="18"/>
                <w:lang w:val="de-DE" w:eastAsia="ja-JP"/>
              </w:rPr>
              <w:t>VL</w:t>
            </w:r>
          </w:p>
        </w:tc>
        <w:tc>
          <w:tcPr>
            <w:tcW w:w="3149" w:type="dxa"/>
            <w:shd w:val="clear" w:color="auto" w:fill="auto"/>
            <w:noWrap/>
            <w:vAlign w:val="center"/>
          </w:tcPr>
          <w:p w14:paraId="28226157" w14:textId="77777777" w:rsidR="00294046" w:rsidRPr="009E440F" w:rsidRDefault="00294046" w:rsidP="00CA5252">
            <w:pPr>
              <w:spacing w:after="0"/>
              <w:jc w:val="both"/>
              <w:rPr>
                <w:rFonts w:ascii="Segoe UI" w:eastAsia="Times New Roman" w:hAnsi="Segoe UI" w:cs="Segoe UI"/>
                <w:color w:val="014171"/>
                <w:sz w:val="16"/>
                <w:szCs w:val="18"/>
                <w:lang w:val="de-DE" w:eastAsia="ja-JP"/>
              </w:rPr>
            </w:pPr>
            <w:r w:rsidRPr="00617D0C">
              <w:rPr>
                <w:rFonts w:ascii="Segoe UI" w:eastAsia="Times New Roman" w:hAnsi="Segoe UI" w:cs="Segoe UI"/>
                <w:color w:val="014171"/>
                <w:sz w:val="16"/>
                <w:szCs w:val="18"/>
                <w:lang w:val="de-DE" w:eastAsia="ja-JP"/>
              </w:rPr>
              <w:t>Verteidigungslinie</w:t>
            </w:r>
          </w:p>
        </w:tc>
      </w:tr>
      <w:tr w:rsidR="006C79FE" w:rsidRPr="00617D0C" w14:paraId="4181F75C" w14:textId="77777777" w:rsidTr="007A2631">
        <w:trPr>
          <w:trHeight w:val="397"/>
          <w:jc w:val="center"/>
        </w:trPr>
        <w:tc>
          <w:tcPr>
            <w:tcW w:w="954" w:type="dxa"/>
            <w:shd w:val="clear" w:color="auto" w:fill="auto"/>
            <w:noWrap/>
            <w:vAlign w:val="center"/>
          </w:tcPr>
          <w:p w14:paraId="05AAC3AF" w14:textId="10FC525B" w:rsidR="006C79FE" w:rsidRPr="00617D0C" w:rsidRDefault="006C79FE" w:rsidP="00E360A0">
            <w:pPr>
              <w:spacing w:after="0"/>
              <w:jc w:val="both"/>
              <w:rPr>
                <w:rFonts w:ascii="Segoe UI" w:eastAsia="Times New Roman" w:hAnsi="Segoe UI" w:cs="Segoe UI"/>
                <w:b/>
                <w:bCs/>
                <w:color w:val="014171"/>
                <w:sz w:val="16"/>
                <w:szCs w:val="18"/>
                <w:lang w:val="de-DE" w:eastAsia="ja-JP"/>
              </w:rPr>
            </w:pPr>
            <w:r w:rsidRPr="00617D0C">
              <w:rPr>
                <w:rFonts w:ascii="Segoe UI" w:eastAsia="Times New Roman" w:hAnsi="Segoe UI" w:cs="Segoe UI"/>
                <w:b/>
                <w:bCs/>
                <w:color w:val="014171"/>
                <w:sz w:val="16"/>
                <w:szCs w:val="18"/>
                <w:lang w:val="de-DE" w:eastAsia="ja-JP"/>
              </w:rPr>
              <w:t>WpIG</w:t>
            </w:r>
          </w:p>
        </w:tc>
        <w:tc>
          <w:tcPr>
            <w:tcW w:w="3149" w:type="dxa"/>
            <w:shd w:val="clear" w:color="auto" w:fill="auto"/>
            <w:noWrap/>
            <w:vAlign w:val="center"/>
          </w:tcPr>
          <w:p w14:paraId="0321C4A7" w14:textId="070FBFBA" w:rsidR="006C79FE" w:rsidRPr="00617D0C" w:rsidRDefault="00313E3A" w:rsidP="00E360A0">
            <w:pPr>
              <w:spacing w:after="0"/>
              <w:jc w:val="both"/>
              <w:rPr>
                <w:rFonts w:ascii="Segoe UI" w:eastAsia="Times New Roman" w:hAnsi="Segoe UI" w:cs="Segoe UI"/>
                <w:color w:val="014171"/>
                <w:sz w:val="16"/>
                <w:szCs w:val="18"/>
                <w:lang w:val="de-DE" w:eastAsia="ja-JP"/>
              </w:rPr>
            </w:pPr>
            <w:r w:rsidRPr="00617D0C">
              <w:rPr>
                <w:rFonts w:ascii="Segoe UI" w:eastAsia="Times New Roman" w:hAnsi="Segoe UI" w:cs="Segoe UI"/>
                <w:color w:val="014171"/>
                <w:sz w:val="16"/>
                <w:szCs w:val="18"/>
                <w:lang w:val="de-DE" w:eastAsia="ja-JP"/>
              </w:rPr>
              <w:t>Wertpapierinstitutsgesetz</w:t>
            </w:r>
          </w:p>
        </w:tc>
      </w:tr>
      <w:tr w:rsidR="008E1A6F" w:rsidRPr="0040745F" w14:paraId="39CD9818" w14:textId="77777777" w:rsidTr="007A2631">
        <w:trPr>
          <w:trHeight w:val="397"/>
          <w:jc w:val="center"/>
        </w:trPr>
        <w:tc>
          <w:tcPr>
            <w:tcW w:w="954" w:type="dxa"/>
            <w:shd w:val="clear" w:color="auto" w:fill="auto"/>
            <w:noWrap/>
            <w:vAlign w:val="center"/>
          </w:tcPr>
          <w:p w14:paraId="50CC97A6" w14:textId="59A33228" w:rsidR="008E1A6F" w:rsidRPr="00617D0C" w:rsidRDefault="008E1A6F" w:rsidP="00E360A0">
            <w:pPr>
              <w:spacing w:after="0"/>
              <w:jc w:val="both"/>
              <w:rPr>
                <w:rFonts w:ascii="Segoe UI" w:eastAsia="Times New Roman" w:hAnsi="Segoe UI" w:cs="Segoe UI"/>
                <w:b/>
                <w:bCs/>
                <w:color w:val="014171"/>
                <w:sz w:val="16"/>
                <w:szCs w:val="18"/>
                <w:lang w:val="de-DE" w:eastAsia="ja-JP"/>
              </w:rPr>
            </w:pPr>
            <w:r w:rsidRPr="00617D0C">
              <w:rPr>
                <w:rFonts w:ascii="Segoe UI" w:eastAsia="Times New Roman" w:hAnsi="Segoe UI" w:cs="Segoe UI"/>
                <w:b/>
                <w:bCs/>
                <w:color w:val="014171"/>
                <w:sz w:val="16"/>
                <w:szCs w:val="18"/>
                <w:lang w:val="de-DE" w:eastAsia="ja-JP"/>
              </w:rPr>
              <w:t>WVV</w:t>
            </w:r>
          </w:p>
        </w:tc>
        <w:tc>
          <w:tcPr>
            <w:tcW w:w="3149" w:type="dxa"/>
            <w:shd w:val="clear" w:color="auto" w:fill="auto"/>
            <w:noWrap/>
            <w:vAlign w:val="center"/>
          </w:tcPr>
          <w:p w14:paraId="53E2AB2C" w14:textId="634AAB8F" w:rsidR="008E1A6F" w:rsidRPr="0040745F" w:rsidRDefault="00A5642B" w:rsidP="00E360A0">
            <w:pPr>
              <w:spacing w:after="0"/>
              <w:jc w:val="both"/>
              <w:rPr>
                <w:rFonts w:ascii="Segoe UI" w:eastAsia="Times New Roman" w:hAnsi="Segoe UI" w:cs="Segoe UI"/>
                <w:color w:val="014171"/>
                <w:sz w:val="16"/>
                <w:szCs w:val="18"/>
                <w:lang w:val="de-DE" w:eastAsia="ja-JP"/>
              </w:rPr>
            </w:pPr>
            <w:r w:rsidRPr="00617D0C">
              <w:rPr>
                <w:rFonts w:ascii="Segoe UI" w:eastAsia="Times New Roman" w:hAnsi="Segoe UI" w:cs="Segoe UI"/>
                <w:color w:val="014171"/>
                <w:sz w:val="16"/>
                <w:szCs w:val="18"/>
                <w:lang w:val="de-DE" w:eastAsia="ja-JP"/>
              </w:rPr>
              <w:t>Wertpapierinstituts-Vergütungsverordnung</w:t>
            </w:r>
          </w:p>
        </w:tc>
      </w:tr>
    </w:tbl>
    <w:p w14:paraId="71228906" w14:textId="4BCC1D37" w:rsidR="00B4218A" w:rsidRPr="0040745F" w:rsidRDefault="00B4218A" w:rsidP="00E360A0">
      <w:pPr>
        <w:spacing w:after="0"/>
        <w:jc w:val="both"/>
        <w:rPr>
          <w:rFonts w:ascii="Segoe UI" w:hAnsi="Segoe UI" w:cs="Segoe UI"/>
          <w:color w:val="0F243E" w:themeColor="text2" w:themeShade="80"/>
          <w:sz w:val="16"/>
          <w:szCs w:val="16"/>
          <w:lang w:val="de-DE"/>
        </w:rPr>
        <w:sectPr w:rsidR="00B4218A" w:rsidRPr="0040745F" w:rsidSect="00B5174D">
          <w:type w:val="continuous"/>
          <w:pgSz w:w="11906" w:h="16838"/>
          <w:pgMar w:top="2269" w:right="1440" w:bottom="1560" w:left="1440" w:header="708" w:footer="711" w:gutter="0"/>
          <w:cols w:num="2" w:space="720"/>
          <w:titlePg/>
          <w:docGrid w:linePitch="360"/>
        </w:sectPr>
      </w:pPr>
    </w:p>
    <w:p w14:paraId="09B6DE8B" w14:textId="023AF23B" w:rsidR="00974482" w:rsidRPr="0040745F" w:rsidRDefault="00602D5E" w:rsidP="008A542A">
      <w:pPr>
        <w:pStyle w:val="Heading1"/>
        <w:rPr>
          <w:lang w:val="de-DE"/>
        </w:rPr>
      </w:pPr>
      <w:bookmarkStart w:id="2" w:name="_Toc102121151"/>
      <w:bookmarkStart w:id="3" w:name="_Toc123138004"/>
      <w:r w:rsidRPr="0040745F">
        <w:rPr>
          <w:lang w:val="de-DE"/>
        </w:rPr>
        <w:lastRenderedPageBreak/>
        <w:t>Übersicht</w:t>
      </w:r>
      <w:bookmarkEnd w:id="2"/>
      <w:bookmarkEnd w:id="3"/>
    </w:p>
    <w:p w14:paraId="343B0A0B" w14:textId="2B76E398" w:rsidR="00A22D32" w:rsidRPr="0040745F" w:rsidRDefault="00602D5E" w:rsidP="005A1108">
      <w:pPr>
        <w:pStyle w:val="Heading2"/>
        <w:rPr>
          <w:lang w:val="de-DE"/>
        </w:rPr>
      </w:pPr>
      <w:bookmarkStart w:id="4" w:name="_Toc114670802"/>
      <w:bookmarkStart w:id="5" w:name="_Toc114670903"/>
      <w:bookmarkStart w:id="6" w:name="_Toc114670905"/>
      <w:bookmarkStart w:id="7" w:name="_Toc123138005"/>
      <w:bookmarkEnd w:id="4"/>
      <w:bookmarkEnd w:id="5"/>
      <w:bookmarkEnd w:id="6"/>
      <w:r w:rsidRPr="0040745F">
        <w:rPr>
          <w:lang w:val="de-DE"/>
        </w:rPr>
        <w:t>Grundlegendes</w:t>
      </w:r>
      <w:bookmarkEnd w:id="7"/>
    </w:p>
    <w:p w14:paraId="29338EB4" w14:textId="1069200C" w:rsidR="00CD4BEE" w:rsidRPr="0040745F" w:rsidRDefault="00CD4BEE" w:rsidP="005A1108">
      <w:pPr>
        <w:spacing w:after="0"/>
        <w:jc w:val="both"/>
        <w:rPr>
          <w:rFonts w:ascii="Segoe UI" w:hAnsi="Segoe UI" w:cs="Segoe UI"/>
          <w:color w:val="014171"/>
          <w:lang w:val="de-DE"/>
        </w:rPr>
      </w:pPr>
      <w:r w:rsidRPr="0040745F">
        <w:rPr>
          <w:rFonts w:ascii="Segoe UI" w:hAnsi="Segoe UI" w:cs="Segoe UI"/>
          <w:color w:val="014171"/>
          <w:lang w:val="de-DE"/>
        </w:rPr>
        <w:t>Seit dem 26. Juni 2021 gilt eine neue Aufsichtsregelung für Wertpapierfirmen, die gemäß der Richtlinie über Märkte für Finanzinstrumente (</w:t>
      </w:r>
      <w:r w:rsidR="0018154D" w:rsidRPr="0018154D">
        <w:rPr>
          <w:rFonts w:ascii="Segoe UI" w:hAnsi="Segoe UI" w:cs="Segoe UI"/>
          <w:i/>
          <w:color w:val="014171"/>
          <w:lang w:val="de-DE"/>
        </w:rPr>
        <w:t>Markets in Financial Instruments Directive</w:t>
      </w:r>
      <w:r w:rsidR="0018154D">
        <w:rPr>
          <w:rFonts w:ascii="Segoe UI" w:hAnsi="Segoe UI" w:cs="Segoe UI"/>
          <w:color w:val="014171"/>
          <w:lang w:val="de-DE"/>
        </w:rPr>
        <w:t>,</w:t>
      </w:r>
      <w:r w:rsidR="0018154D" w:rsidRPr="0018154D">
        <w:rPr>
          <w:rFonts w:ascii="Segoe UI" w:hAnsi="Segoe UI" w:cs="Segoe UI"/>
          <w:color w:val="014171"/>
          <w:lang w:val="de-DE"/>
        </w:rPr>
        <w:t xml:space="preserve"> </w:t>
      </w:r>
      <w:r w:rsidRPr="0040745F">
        <w:rPr>
          <w:rFonts w:ascii="Segoe UI" w:hAnsi="Segoe UI" w:cs="Segoe UI"/>
          <w:color w:val="014171"/>
          <w:lang w:val="de-DE"/>
        </w:rPr>
        <w:t xml:space="preserve">„MiFID II“) zugelassen sind. Dieser neue Rahmen, der in der </w:t>
      </w:r>
      <w:r w:rsidR="00A939DB" w:rsidRPr="0040745F">
        <w:rPr>
          <w:rFonts w:ascii="Segoe UI" w:hAnsi="Segoe UI" w:cs="Segoe UI"/>
          <w:color w:val="014171"/>
          <w:lang w:val="de-DE"/>
        </w:rPr>
        <w:t>Verordnung über Aufsichtsanforderungen an Wertpapierfirmen</w:t>
      </w:r>
      <w:r w:rsidRPr="0040745F">
        <w:rPr>
          <w:rFonts w:ascii="Segoe UI" w:hAnsi="Segoe UI" w:cs="Segoe UI"/>
          <w:color w:val="014171"/>
          <w:lang w:val="de-DE"/>
        </w:rPr>
        <w:t xml:space="preserve"> (</w:t>
      </w:r>
      <w:r w:rsidR="0018154D" w:rsidRPr="0018154D">
        <w:rPr>
          <w:rFonts w:ascii="Segoe UI" w:hAnsi="Segoe UI" w:cs="Segoe UI"/>
          <w:i/>
          <w:color w:val="014171"/>
          <w:lang w:val="de-DE"/>
        </w:rPr>
        <w:t>Investment Firms Regulation</w:t>
      </w:r>
      <w:r w:rsidR="0018154D">
        <w:rPr>
          <w:rFonts w:ascii="Segoe UI" w:hAnsi="Segoe UI" w:cs="Segoe UI"/>
          <w:color w:val="014171"/>
          <w:lang w:val="de-DE"/>
        </w:rPr>
        <w:t>,</w:t>
      </w:r>
      <w:r w:rsidR="0018154D" w:rsidRPr="0018154D">
        <w:rPr>
          <w:rFonts w:ascii="Segoe UI" w:hAnsi="Segoe UI" w:cs="Segoe UI"/>
          <w:color w:val="014171"/>
          <w:lang w:val="de-DE"/>
        </w:rPr>
        <w:t xml:space="preserve"> </w:t>
      </w:r>
      <w:r w:rsidRPr="0040745F">
        <w:rPr>
          <w:rFonts w:ascii="Segoe UI" w:hAnsi="Segoe UI" w:cs="Segoe UI"/>
          <w:color w:val="014171"/>
          <w:lang w:val="de-DE"/>
        </w:rPr>
        <w:t xml:space="preserve">„IFR“) und der Richtlinie über </w:t>
      </w:r>
      <w:r w:rsidR="00A939DB" w:rsidRPr="0040745F">
        <w:rPr>
          <w:rFonts w:ascii="Segoe UI" w:hAnsi="Segoe UI" w:cs="Segoe UI"/>
          <w:color w:val="014171"/>
          <w:lang w:val="de-DE"/>
        </w:rPr>
        <w:t>die Beaufsichtigung von Wertpapierfirmen</w:t>
      </w:r>
      <w:r w:rsidRPr="0040745F">
        <w:rPr>
          <w:rFonts w:ascii="Segoe UI" w:hAnsi="Segoe UI" w:cs="Segoe UI"/>
          <w:color w:val="014171"/>
          <w:lang w:val="de-DE"/>
        </w:rPr>
        <w:t xml:space="preserve"> (</w:t>
      </w:r>
      <w:r w:rsidR="0018154D" w:rsidRPr="0018154D">
        <w:rPr>
          <w:rFonts w:ascii="Segoe UI" w:hAnsi="Segoe UI" w:cs="Segoe UI"/>
          <w:i/>
          <w:color w:val="014171"/>
          <w:lang w:val="de-DE"/>
        </w:rPr>
        <w:t>Investment Firms Directive</w:t>
      </w:r>
      <w:r w:rsidR="0018154D">
        <w:rPr>
          <w:rFonts w:ascii="Segoe UI" w:hAnsi="Segoe UI" w:cs="Segoe UI"/>
          <w:color w:val="014171"/>
          <w:lang w:val="de-DE"/>
        </w:rPr>
        <w:t>,</w:t>
      </w:r>
      <w:r w:rsidR="0018154D" w:rsidRPr="0018154D">
        <w:rPr>
          <w:rFonts w:ascii="Segoe UI" w:hAnsi="Segoe UI" w:cs="Segoe UI"/>
          <w:color w:val="014171"/>
          <w:lang w:val="de-DE"/>
        </w:rPr>
        <w:t xml:space="preserve"> </w:t>
      </w:r>
      <w:r w:rsidRPr="0040745F">
        <w:rPr>
          <w:rFonts w:ascii="Segoe UI" w:hAnsi="Segoe UI" w:cs="Segoe UI"/>
          <w:color w:val="014171"/>
          <w:lang w:val="de-DE"/>
        </w:rPr>
        <w:t>„IFD“) festgelegt ist, überarbeitet das aufsichtsrechtliche Regelwerk</w:t>
      </w:r>
      <w:r w:rsidR="00D4087C">
        <w:rPr>
          <w:rFonts w:ascii="Segoe UI" w:hAnsi="Segoe UI" w:cs="Segoe UI"/>
          <w:color w:val="014171"/>
          <w:lang w:val="de-DE"/>
        </w:rPr>
        <w:t xml:space="preserve"> für Wertpapierfirmen erheblich. M</w:t>
      </w:r>
      <w:r w:rsidRPr="0040745F">
        <w:rPr>
          <w:rFonts w:ascii="Segoe UI" w:hAnsi="Segoe UI" w:cs="Segoe UI"/>
          <w:color w:val="014171"/>
          <w:lang w:val="de-DE"/>
        </w:rPr>
        <w:t>aßgeschneiderte Regelung</w:t>
      </w:r>
      <w:r w:rsidR="00D4087C">
        <w:rPr>
          <w:rFonts w:ascii="Segoe UI" w:hAnsi="Segoe UI" w:cs="Segoe UI"/>
          <w:color w:val="014171"/>
          <w:lang w:val="de-DE"/>
        </w:rPr>
        <w:t>en</w:t>
      </w:r>
      <w:r w:rsidRPr="0040745F">
        <w:rPr>
          <w:rFonts w:ascii="Segoe UI" w:hAnsi="Segoe UI" w:cs="Segoe UI"/>
          <w:color w:val="014171"/>
          <w:lang w:val="de-DE"/>
        </w:rPr>
        <w:t xml:space="preserve"> </w:t>
      </w:r>
      <w:r w:rsidR="003D4CA0" w:rsidRPr="0040745F">
        <w:rPr>
          <w:rFonts w:ascii="Segoe UI" w:hAnsi="Segoe UI" w:cs="Segoe UI"/>
          <w:color w:val="014171"/>
          <w:lang w:val="de-DE"/>
        </w:rPr>
        <w:t xml:space="preserve">für Wertpapierfirmen </w:t>
      </w:r>
      <w:r w:rsidR="00D4087C">
        <w:rPr>
          <w:rFonts w:ascii="Segoe UI" w:hAnsi="Segoe UI" w:cs="Segoe UI"/>
          <w:color w:val="014171"/>
          <w:lang w:val="de-DE"/>
        </w:rPr>
        <w:t>wurden</w:t>
      </w:r>
      <w:r w:rsidR="0092391D">
        <w:rPr>
          <w:rFonts w:ascii="Segoe UI" w:hAnsi="Segoe UI" w:cs="Segoe UI"/>
          <w:color w:val="014171"/>
          <w:lang w:val="de-DE"/>
        </w:rPr>
        <w:t>, g</w:t>
      </w:r>
      <w:r w:rsidR="0092391D" w:rsidRPr="0040745F">
        <w:rPr>
          <w:rFonts w:ascii="Segoe UI" w:hAnsi="Segoe UI" w:cs="Segoe UI"/>
          <w:color w:val="014171"/>
          <w:lang w:val="de-DE"/>
        </w:rPr>
        <w:t xml:space="preserve">estützt auf die Grundsätze der Risikorelevanz und </w:t>
      </w:r>
      <w:r w:rsidR="0092391D">
        <w:rPr>
          <w:rFonts w:ascii="Segoe UI" w:hAnsi="Segoe UI" w:cs="Segoe UI"/>
          <w:color w:val="014171"/>
          <w:lang w:val="de-DE"/>
        </w:rPr>
        <w:t>–</w:t>
      </w:r>
      <w:r w:rsidR="0092391D" w:rsidRPr="0040745F">
        <w:rPr>
          <w:rFonts w:ascii="Segoe UI" w:hAnsi="Segoe UI" w:cs="Segoe UI"/>
          <w:color w:val="014171"/>
          <w:lang w:val="de-DE"/>
        </w:rPr>
        <w:t>verhältnismäßigkeit</w:t>
      </w:r>
      <w:r w:rsidR="0092391D">
        <w:rPr>
          <w:rFonts w:ascii="Segoe UI" w:hAnsi="Segoe UI" w:cs="Segoe UI"/>
          <w:color w:val="014171"/>
          <w:lang w:val="de-DE"/>
        </w:rPr>
        <w:t>,</w:t>
      </w:r>
      <w:r w:rsidR="00D4087C">
        <w:rPr>
          <w:rFonts w:ascii="Segoe UI" w:hAnsi="Segoe UI" w:cs="Segoe UI"/>
          <w:color w:val="014171"/>
          <w:lang w:val="de-DE"/>
        </w:rPr>
        <w:t xml:space="preserve"> </w:t>
      </w:r>
      <w:r w:rsidRPr="0040745F">
        <w:rPr>
          <w:rFonts w:ascii="Segoe UI" w:hAnsi="Segoe UI" w:cs="Segoe UI"/>
          <w:color w:val="014171"/>
          <w:lang w:val="de-DE"/>
        </w:rPr>
        <w:t>eingeführt</w:t>
      </w:r>
      <w:r w:rsidR="0092391D">
        <w:rPr>
          <w:rFonts w:ascii="Segoe UI" w:hAnsi="Segoe UI" w:cs="Segoe UI"/>
          <w:color w:val="014171"/>
          <w:lang w:val="de-DE"/>
        </w:rPr>
        <w:t>.</w:t>
      </w:r>
      <w:r w:rsidR="00D4087C">
        <w:rPr>
          <w:rFonts w:ascii="Segoe UI" w:hAnsi="Segoe UI" w:cs="Segoe UI"/>
          <w:color w:val="014171"/>
          <w:lang w:val="de-DE"/>
        </w:rPr>
        <w:t xml:space="preserve"> J</w:t>
      </w:r>
      <w:r w:rsidR="00D4087C" w:rsidRPr="0040745F">
        <w:rPr>
          <w:rFonts w:ascii="Segoe UI" w:hAnsi="Segoe UI" w:cs="Segoe UI"/>
          <w:color w:val="014171"/>
          <w:lang w:val="de-DE"/>
        </w:rPr>
        <w:t xml:space="preserve">e nach </w:t>
      </w:r>
      <w:r w:rsidR="00D4087C">
        <w:rPr>
          <w:rFonts w:ascii="Segoe UI" w:hAnsi="Segoe UI" w:cs="Segoe UI"/>
          <w:color w:val="014171"/>
          <w:lang w:val="de-DE"/>
        </w:rPr>
        <w:t xml:space="preserve">der </w:t>
      </w:r>
      <w:r w:rsidR="00D4087C" w:rsidRPr="0040745F">
        <w:rPr>
          <w:rFonts w:ascii="Segoe UI" w:hAnsi="Segoe UI" w:cs="Segoe UI"/>
          <w:color w:val="014171"/>
          <w:lang w:val="de-DE"/>
        </w:rPr>
        <w:t>Klassifizierung</w:t>
      </w:r>
      <w:r w:rsidR="00D02B30" w:rsidRPr="0040745F">
        <w:rPr>
          <w:rFonts w:ascii="Segoe UI" w:hAnsi="Segoe UI" w:cs="Segoe UI"/>
          <w:color w:val="014171"/>
          <w:lang w:val="de-DE"/>
        </w:rPr>
        <w:t xml:space="preserve"> gibt</w:t>
      </w:r>
      <w:r w:rsidR="00D4087C">
        <w:rPr>
          <w:rFonts w:ascii="Segoe UI" w:hAnsi="Segoe UI" w:cs="Segoe UI"/>
          <w:color w:val="014171"/>
          <w:lang w:val="de-DE"/>
        </w:rPr>
        <w:t xml:space="preserve"> die neue Regelung</w:t>
      </w:r>
      <w:r w:rsidR="00D02B30" w:rsidRPr="0040745F">
        <w:rPr>
          <w:rFonts w:ascii="Segoe UI" w:hAnsi="Segoe UI" w:cs="Segoe UI"/>
          <w:color w:val="014171"/>
          <w:lang w:val="de-DE"/>
        </w:rPr>
        <w:t xml:space="preserve"> </w:t>
      </w:r>
      <w:r w:rsidRPr="0040745F">
        <w:rPr>
          <w:rFonts w:ascii="Segoe UI" w:hAnsi="Segoe UI" w:cs="Segoe UI"/>
          <w:color w:val="014171"/>
          <w:lang w:val="de-DE"/>
        </w:rPr>
        <w:t xml:space="preserve">eine Reihe von Vorschriften in Bezug auf Risikomanagementziele, Kapitalanforderungen, finanzielle und aufsichtsrechtliche Berichterstattung, interne </w:t>
      </w:r>
      <w:r w:rsidR="00D4087C">
        <w:rPr>
          <w:rFonts w:ascii="Segoe UI" w:hAnsi="Segoe UI" w:cs="Segoe UI"/>
          <w:color w:val="014171"/>
          <w:lang w:val="de-DE"/>
        </w:rPr>
        <w:t>Unternehmensführung</w:t>
      </w:r>
      <w:r w:rsidRPr="0040745F">
        <w:rPr>
          <w:rFonts w:ascii="Segoe UI" w:hAnsi="Segoe UI" w:cs="Segoe UI"/>
          <w:color w:val="014171"/>
          <w:lang w:val="de-DE"/>
        </w:rPr>
        <w:t xml:space="preserve"> und Vergütung </w:t>
      </w:r>
      <w:r w:rsidR="00D02B30" w:rsidRPr="0040745F">
        <w:rPr>
          <w:rFonts w:ascii="Segoe UI" w:hAnsi="Segoe UI" w:cs="Segoe UI"/>
          <w:color w:val="014171"/>
          <w:lang w:val="de-DE"/>
        </w:rPr>
        <w:t>vor</w:t>
      </w:r>
      <w:r w:rsidRPr="0040745F">
        <w:rPr>
          <w:rFonts w:ascii="Segoe UI" w:hAnsi="Segoe UI" w:cs="Segoe UI"/>
          <w:color w:val="014171"/>
          <w:lang w:val="de-DE"/>
        </w:rPr>
        <w:t>.</w:t>
      </w:r>
    </w:p>
    <w:p w14:paraId="4C167D89" w14:textId="63F32E1C" w:rsidR="00CF78E4" w:rsidRPr="0040745F" w:rsidRDefault="00CF78E4" w:rsidP="00706A93">
      <w:pPr>
        <w:spacing w:after="0"/>
        <w:jc w:val="both"/>
        <w:rPr>
          <w:rFonts w:ascii="Segoe UI" w:hAnsi="Segoe UI" w:cs="Segoe UI"/>
          <w:color w:val="014171"/>
          <w:lang w:val="de-DE"/>
        </w:rPr>
      </w:pPr>
    </w:p>
    <w:p w14:paraId="033CC41D" w14:textId="1B671D7F" w:rsidR="00D02B30" w:rsidRPr="0040745F" w:rsidRDefault="00D02B30" w:rsidP="00706A93">
      <w:pPr>
        <w:spacing w:after="0"/>
        <w:jc w:val="both"/>
        <w:rPr>
          <w:rFonts w:ascii="Segoe UI" w:hAnsi="Segoe UI" w:cs="Segoe UI"/>
          <w:color w:val="014171"/>
          <w:lang w:val="de-DE"/>
        </w:rPr>
      </w:pPr>
      <w:r w:rsidRPr="0040745F">
        <w:rPr>
          <w:rFonts w:ascii="Segoe UI" w:hAnsi="Segoe UI" w:cs="Segoe UI"/>
          <w:color w:val="014171"/>
          <w:lang w:val="de-DE"/>
        </w:rPr>
        <w:t>Gemäß § 1 Wertpapierinstitutsgesetz („WpIG“) unterliegt die Daiwa Capital Markets Deutschland GmbH („DCMD“ oder „die Gesellschaft“) seit dem 26. Juni 2021 dem WpIG. Nach § 2 Abs. 1, § 2 Abs. 2 und § 2 Abs. 17 WpIG, ist DCMD als mittleres Wertpapierinstitut eingestuft und wird von der Bundesanstalt für Finanzdienstleistungsaufsicht („BaFin“) reguliert.</w:t>
      </w:r>
    </w:p>
    <w:p w14:paraId="19346238" w14:textId="77777777" w:rsidR="00D02B30" w:rsidRPr="0040745F" w:rsidRDefault="00D02B30" w:rsidP="00706A93">
      <w:pPr>
        <w:spacing w:after="0"/>
        <w:jc w:val="both"/>
        <w:rPr>
          <w:rFonts w:ascii="Segoe UI" w:hAnsi="Segoe UI" w:cs="Segoe UI"/>
          <w:color w:val="014171"/>
          <w:lang w:val="de-DE"/>
        </w:rPr>
      </w:pPr>
    </w:p>
    <w:p w14:paraId="15DAC06C" w14:textId="72DBF618" w:rsidR="00CF78E4" w:rsidRPr="0040745F" w:rsidRDefault="00602D5E" w:rsidP="00706A93">
      <w:pPr>
        <w:spacing w:after="0"/>
        <w:jc w:val="both"/>
        <w:rPr>
          <w:rFonts w:ascii="Segoe UI" w:hAnsi="Segoe UI" w:cs="Segoe UI"/>
          <w:color w:val="014171"/>
          <w:lang w:val="de-DE"/>
        </w:rPr>
      </w:pPr>
      <w:r w:rsidRPr="0040745F">
        <w:rPr>
          <w:rFonts w:ascii="Segoe UI" w:hAnsi="Segoe UI" w:cs="Segoe UI"/>
          <w:color w:val="014171"/>
          <w:lang w:val="de-DE"/>
        </w:rPr>
        <w:t>Die Offenlegung ist ein wichtiger Bestandteil der IFR, da sie die Transparenz und das Vertrauen in den Markt erhöht und Interessengruppen und Marktteilnehmern einen Einblick in die Führung von Unternehmen gewährt.</w:t>
      </w:r>
    </w:p>
    <w:p w14:paraId="120BD40F" w14:textId="77777777" w:rsidR="00826AF2" w:rsidRPr="0040745F" w:rsidRDefault="00826AF2" w:rsidP="00706A93">
      <w:pPr>
        <w:spacing w:after="0"/>
        <w:jc w:val="both"/>
        <w:rPr>
          <w:rFonts w:ascii="Segoe UI" w:hAnsi="Segoe UI" w:cs="Segoe UI"/>
          <w:color w:val="014171"/>
          <w:lang w:val="de-DE"/>
        </w:rPr>
      </w:pPr>
    </w:p>
    <w:p w14:paraId="3990AE19" w14:textId="7B7CE216" w:rsidR="00A22D32" w:rsidRPr="0040745F" w:rsidRDefault="00974482" w:rsidP="00706A93">
      <w:pPr>
        <w:pStyle w:val="Heading2"/>
        <w:rPr>
          <w:lang w:val="de-DE"/>
        </w:rPr>
      </w:pPr>
      <w:bookmarkStart w:id="8" w:name="_Toc297039259"/>
      <w:bookmarkStart w:id="9" w:name="_Toc297189972"/>
      <w:bookmarkStart w:id="10" w:name="_Toc422754610"/>
      <w:bookmarkStart w:id="11" w:name="_Toc102121154"/>
      <w:bookmarkStart w:id="12" w:name="_Toc123138006"/>
      <w:r w:rsidRPr="0040745F">
        <w:rPr>
          <w:lang w:val="de-DE"/>
        </w:rPr>
        <w:t>Stru</w:t>
      </w:r>
      <w:r w:rsidR="00602D5E" w:rsidRPr="0040745F">
        <w:rPr>
          <w:lang w:val="de-DE"/>
        </w:rPr>
        <w:t>ktur</w:t>
      </w:r>
      <w:bookmarkStart w:id="13" w:name="_Toc114670907"/>
      <w:bookmarkEnd w:id="8"/>
      <w:bookmarkEnd w:id="9"/>
      <w:bookmarkEnd w:id="10"/>
      <w:bookmarkEnd w:id="11"/>
      <w:bookmarkEnd w:id="13"/>
      <w:bookmarkEnd w:id="12"/>
    </w:p>
    <w:p w14:paraId="2A0F56D2" w14:textId="166DC313" w:rsidR="00602D5E" w:rsidRPr="0040745F" w:rsidRDefault="00602D5E" w:rsidP="00706A93">
      <w:pPr>
        <w:spacing w:after="0"/>
        <w:jc w:val="both"/>
        <w:rPr>
          <w:rFonts w:ascii="Segoe UI" w:hAnsi="Segoe UI" w:cs="Segoe UI"/>
          <w:color w:val="014171"/>
          <w:lang w:val="de-DE"/>
        </w:rPr>
      </w:pPr>
      <w:r w:rsidRPr="0040745F">
        <w:rPr>
          <w:rFonts w:ascii="Segoe UI" w:hAnsi="Segoe UI" w:cs="Segoe UI"/>
          <w:color w:val="014171"/>
          <w:lang w:val="de-DE"/>
        </w:rPr>
        <w:t xml:space="preserve">DCMD ist eine hundertprozentige Tochtergesellschaft der Daiwa Capital Markets Europe Ltd („DCME“) mit Sitz in London, Vereinigtes Königreich (zusammen „DCME-Gruppe“). DCME ist wiederum eine Tochtergesellschaft der Daiwa Securities Group Inc. („Daiwa Group“ oder „DSGI“), eine der größten Wertpapierhandels- und Finanzdienstleistungsgruppen in Japan. Eine Daiwa-Holdinggesellschaft </w:t>
      </w:r>
      <w:r w:rsidR="00CD4BEE" w:rsidRPr="0040745F">
        <w:rPr>
          <w:rFonts w:ascii="Segoe UI" w:hAnsi="Segoe UI" w:cs="Segoe UI"/>
          <w:color w:val="014171"/>
          <w:lang w:val="de-DE"/>
        </w:rPr>
        <w:t>ist</w:t>
      </w:r>
      <w:r w:rsidRPr="0040745F">
        <w:rPr>
          <w:rFonts w:ascii="Segoe UI" w:hAnsi="Segoe UI" w:cs="Segoe UI"/>
          <w:color w:val="014171"/>
          <w:lang w:val="de-DE"/>
        </w:rPr>
        <w:t xml:space="preserve"> DCME und DSGI</w:t>
      </w:r>
      <w:r w:rsidR="00CD4BEE" w:rsidRPr="0040745F">
        <w:rPr>
          <w:rFonts w:ascii="Segoe UI" w:hAnsi="Segoe UI" w:cs="Segoe UI"/>
          <w:color w:val="014171"/>
          <w:lang w:val="de-DE"/>
        </w:rPr>
        <w:t xml:space="preserve"> zwischengeschaltet</w:t>
      </w:r>
      <w:r w:rsidRPr="0040745F">
        <w:rPr>
          <w:rFonts w:ascii="Segoe UI" w:hAnsi="Segoe UI" w:cs="Segoe UI"/>
          <w:color w:val="014171"/>
          <w:lang w:val="de-DE"/>
        </w:rPr>
        <w:t>.</w:t>
      </w:r>
    </w:p>
    <w:p w14:paraId="3C885D2C" w14:textId="2F70D71D" w:rsidR="00FD3F18" w:rsidRPr="0040745F" w:rsidRDefault="00FD3F18" w:rsidP="00C43D6A">
      <w:pPr>
        <w:spacing w:after="0"/>
        <w:jc w:val="center"/>
        <w:rPr>
          <w:rFonts w:ascii="Segoe UI" w:hAnsi="Segoe UI" w:cs="Segoe UI"/>
          <w:color w:val="014171"/>
          <w:lang w:val="de-DE"/>
        </w:rPr>
      </w:pPr>
      <w:r w:rsidRPr="0040745F">
        <w:rPr>
          <w:rFonts w:ascii="Segoe UI" w:hAnsi="Segoe UI" w:cs="Segoe UI"/>
          <w:noProof/>
          <w:color w:val="014171"/>
          <w:lang w:eastAsia="ja-JP"/>
        </w:rPr>
        <w:lastRenderedPageBreak/>
        <w:drawing>
          <wp:inline distT="0" distB="0" distL="0" distR="0" wp14:anchorId="4AE3AAD5" wp14:editId="21263490">
            <wp:extent cx="3937771" cy="2326233"/>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3969268" cy="2344840"/>
                    </a:xfrm>
                    <a:prstGeom prst="rect">
                      <a:avLst/>
                    </a:prstGeom>
                    <a:noFill/>
                  </pic:spPr>
                </pic:pic>
              </a:graphicData>
            </a:graphic>
          </wp:inline>
        </w:drawing>
      </w:r>
    </w:p>
    <w:p w14:paraId="2DE6FBF8" w14:textId="4D660162" w:rsidR="00357632" w:rsidRPr="0040745F" w:rsidRDefault="00357632" w:rsidP="00357632">
      <w:pPr>
        <w:spacing w:after="0"/>
        <w:jc w:val="both"/>
        <w:rPr>
          <w:rFonts w:ascii="Segoe UI" w:hAnsi="Segoe UI" w:cs="Segoe UI"/>
          <w:color w:val="014171"/>
          <w:lang w:val="de-DE"/>
        </w:rPr>
      </w:pPr>
      <w:r w:rsidRPr="0040745F">
        <w:rPr>
          <w:rFonts w:ascii="Segoe UI" w:hAnsi="Segoe UI" w:cs="Segoe UI"/>
          <w:color w:val="014171"/>
          <w:lang w:val="de-DE"/>
        </w:rPr>
        <w:t xml:space="preserve">DCMD hat </w:t>
      </w:r>
      <w:r w:rsidR="003B7487">
        <w:rPr>
          <w:rFonts w:ascii="Segoe UI" w:hAnsi="Segoe UI" w:cs="Segoe UI"/>
          <w:color w:val="014171"/>
          <w:lang w:val="de-DE"/>
        </w:rPr>
        <w:t>ihren</w:t>
      </w:r>
      <w:r w:rsidRPr="0040745F">
        <w:rPr>
          <w:rFonts w:ascii="Segoe UI" w:hAnsi="Segoe UI" w:cs="Segoe UI"/>
          <w:color w:val="014171"/>
          <w:lang w:val="de-DE"/>
        </w:rPr>
        <w:t xml:space="preserve"> Sitz in Frankfurt am Main, Deutschland, und hat derzeit keine Tochtergesellschaften oder Niederlassungen.</w:t>
      </w:r>
    </w:p>
    <w:p w14:paraId="5EC7B04E" w14:textId="4C527775" w:rsidR="00357632" w:rsidRPr="0040745F" w:rsidRDefault="003B699C" w:rsidP="00357632">
      <w:pPr>
        <w:spacing w:after="0"/>
        <w:jc w:val="both"/>
        <w:rPr>
          <w:rFonts w:ascii="Segoe UI" w:hAnsi="Segoe UI" w:cs="Segoe UI"/>
          <w:color w:val="014171"/>
          <w:lang w:val="de-DE"/>
        </w:rPr>
      </w:pPr>
      <w:r>
        <w:rPr>
          <w:rFonts w:ascii="Segoe UI" w:hAnsi="Segoe UI" w:cs="Segoe UI"/>
          <w:color w:val="014171"/>
          <w:lang w:val="de-DE"/>
        </w:rPr>
        <w:t>Die</w:t>
      </w:r>
      <w:r w:rsidR="00357632" w:rsidRPr="0040745F">
        <w:rPr>
          <w:rFonts w:ascii="Segoe UI" w:hAnsi="Segoe UI" w:cs="Segoe UI"/>
          <w:color w:val="014171"/>
          <w:lang w:val="de-DE"/>
        </w:rPr>
        <w:t xml:space="preserve"> </w:t>
      </w:r>
      <w:r>
        <w:rPr>
          <w:rFonts w:ascii="Segoe UI" w:hAnsi="Segoe UI" w:cs="Segoe UI"/>
          <w:color w:val="014171"/>
          <w:lang w:val="de-DE"/>
        </w:rPr>
        <w:t>Gesellschaft</w:t>
      </w:r>
      <w:r w:rsidR="00357632" w:rsidRPr="0040745F">
        <w:rPr>
          <w:rFonts w:ascii="Segoe UI" w:hAnsi="Segoe UI" w:cs="Segoe UI"/>
          <w:color w:val="014171"/>
          <w:lang w:val="de-DE"/>
        </w:rPr>
        <w:t xml:space="preserve"> wurde gegründet, um es der Daiwa Group zu ermöglichen, nach dem Austritt des Vereinigten Königreichs aus der Europäischen Union („Brexit“) weiterhin Finanzdienstleistungen für die in der EU ansässige Kunden anzubieten. Ziel ist es auch, von dieser neuen Basis in Kontinentaleuropa aus weitere Kunden und Geschäftsbeziehungen zu gewinnen.</w:t>
      </w:r>
    </w:p>
    <w:p w14:paraId="0D13E73E" w14:textId="1E6DFE6C" w:rsidR="007909B0" w:rsidRPr="0040745F" w:rsidRDefault="007909B0" w:rsidP="00706A93">
      <w:pPr>
        <w:spacing w:after="0"/>
        <w:jc w:val="both"/>
        <w:rPr>
          <w:rFonts w:ascii="Segoe UI" w:hAnsi="Segoe UI" w:cs="Segoe UI"/>
          <w:color w:val="014171"/>
          <w:lang w:val="de-DE"/>
        </w:rPr>
      </w:pPr>
    </w:p>
    <w:p w14:paraId="749A5754" w14:textId="17F92453" w:rsidR="00757056" w:rsidRPr="0040745F" w:rsidRDefault="00112E7D" w:rsidP="008A542A">
      <w:pPr>
        <w:pStyle w:val="Heading2"/>
        <w:rPr>
          <w:lang w:val="de-DE"/>
        </w:rPr>
      </w:pPr>
      <w:bookmarkStart w:id="14" w:name="_Toc297650798"/>
      <w:bookmarkStart w:id="15" w:name="_Toc297650799"/>
      <w:bookmarkStart w:id="16" w:name="_Toc35528824"/>
      <w:bookmarkStart w:id="17" w:name="_Toc35612960"/>
      <w:bookmarkStart w:id="18" w:name="_Toc297039260"/>
      <w:bookmarkStart w:id="19" w:name="_Toc297189973"/>
      <w:bookmarkStart w:id="20" w:name="_Toc422754611"/>
      <w:bookmarkStart w:id="21" w:name="_Toc102121155"/>
      <w:bookmarkStart w:id="22" w:name="_Toc123138007"/>
      <w:bookmarkEnd w:id="14"/>
      <w:bookmarkEnd w:id="15"/>
      <w:bookmarkEnd w:id="16"/>
      <w:bookmarkEnd w:id="17"/>
      <w:r w:rsidRPr="0040745F">
        <w:rPr>
          <w:lang w:val="de-DE"/>
        </w:rPr>
        <w:t>Geschäftsbereiche</w:t>
      </w:r>
      <w:bookmarkEnd w:id="18"/>
      <w:bookmarkEnd w:id="19"/>
      <w:bookmarkEnd w:id="20"/>
      <w:bookmarkEnd w:id="21"/>
      <w:bookmarkEnd w:id="22"/>
    </w:p>
    <w:p w14:paraId="5D272CCC" w14:textId="1C929AD1" w:rsidR="00357632" w:rsidRPr="0040745F" w:rsidRDefault="00357632" w:rsidP="00357632">
      <w:pPr>
        <w:spacing w:after="0"/>
        <w:jc w:val="both"/>
        <w:rPr>
          <w:rFonts w:ascii="Segoe UI" w:hAnsi="Segoe UI" w:cs="Segoe UI"/>
          <w:color w:val="014171"/>
          <w:lang w:val="de-DE"/>
        </w:rPr>
      </w:pPr>
      <w:bookmarkStart w:id="23" w:name="_Toc297039261"/>
      <w:bookmarkStart w:id="24" w:name="_Toc297189974"/>
      <w:bookmarkStart w:id="25" w:name="_Toc422754612"/>
      <w:r w:rsidRPr="0040745F">
        <w:rPr>
          <w:rFonts w:ascii="Segoe UI" w:hAnsi="Segoe UI" w:cs="Segoe UI"/>
          <w:color w:val="014171"/>
          <w:lang w:val="de-DE"/>
        </w:rPr>
        <w:t>Die Geschäftsbereiche der DCMD sind unterteilt in globale Produktbereiche mit Berichtslinien zu den EMEA-Bereichsleitern und den globalen Bereichsleitern auf Gruppenebene.</w:t>
      </w:r>
    </w:p>
    <w:p w14:paraId="4DBE0D35" w14:textId="77777777" w:rsidR="00464466" w:rsidRPr="0040745F" w:rsidRDefault="00464466" w:rsidP="00357632">
      <w:pPr>
        <w:spacing w:after="0"/>
        <w:jc w:val="both"/>
        <w:rPr>
          <w:rFonts w:ascii="Segoe UI" w:hAnsi="Segoe UI" w:cs="Segoe UI"/>
          <w:color w:val="014171"/>
          <w:lang w:val="de-DE"/>
        </w:rPr>
      </w:pPr>
    </w:p>
    <w:p w14:paraId="5735E640" w14:textId="720B4726" w:rsidR="00274B6E" w:rsidRPr="0040745F" w:rsidRDefault="00357632" w:rsidP="00357632">
      <w:pPr>
        <w:spacing w:after="0"/>
        <w:jc w:val="both"/>
        <w:rPr>
          <w:rFonts w:ascii="Segoe UI" w:hAnsi="Segoe UI" w:cs="Segoe UI"/>
          <w:color w:val="014171"/>
          <w:lang w:val="de-DE"/>
        </w:rPr>
      </w:pPr>
      <w:r w:rsidRPr="0040745F">
        <w:rPr>
          <w:rFonts w:ascii="Segoe UI" w:hAnsi="Segoe UI" w:cs="Segoe UI"/>
          <w:color w:val="014171"/>
          <w:lang w:val="de-DE"/>
        </w:rPr>
        <w:t>Das Kerngeschäft von DCMD besteht darin, europäischen institutionellen Investoren japanische und asiatische Finanzprodukte und Finanzdienstleistungen (</w:t>
      </w:r>
      <w:r w:rsidR="009F773F">
        <w:rPr>
          <w:rFonts w:ascii="Segoe UI" w:hAnsi="Segoe UI" w:cs="Segoe UI"/>
          <w:color w:val="014171"/>
          <w:lang w:val="de-DE"/>
        </w:rPr>
        <w:t xml:space="preserve">hier </w:t>
      </w:r>
      <w:r w:rsidRPr="0040745F">
        <w:rPr>
          <w:rFonts w:ascii="Segoe UI" w:hAnsi="Segoe UI" w:cs="Segoe UI"/>
          <w:color w:val="014171"/>
          <w:lang w:val="de-DE"/>
        </w:rPr>
        <w:t xml:space="preserve">hauptsächlich </w:t>
      </w:r>
      <w:r w:rsidR="006E0C42">
        <w:rPr>
          <w:rFonts w:ascii="Segoe UI" w:hAnsi="Segoe UI" w:cs="Segoe UI"/>
          <w:color w:val="014171"/>
          <w:lang w:val="de-DE"/>
        </w:rPr>
        <w:t>Finanz</w:t>
      </w:r>
      <w:r w:rsidR="009F773F">
        <w:rPr>
          <w:rFonts w:ascii="Segoe UI" w:hAnsi="Segoe UI" w:cs="Segoe UI"/>
          <w:color w:val="014171"/>
          <w:lang w:val="de-DE"/>
        </w:rPr>
        <w:t>analysen</w:t>
      </w:r>
      <w:r w:rsidRPr="0040745F">
        <w:rPr>
          <w:rFonts w:ascii="Segoe UI" w:hAnsi="Segoe UI" w:cs="Segoe UI"/>
          <w:color w:val="014171"/>
          <w:lang w:val="de-DE"/>
        </w:rPr>
        <w:t>) anzubieten. Darüber hinaus werden japanischen und anderen außereuropäischen Kunden der Daiwa-Gruppe europäische Finanzprodukte angeboten</w:t>
      </w:r>
      <w:r w:rsidR="00464466" w:rsidRPr="0040745F">
        <w:rPr>
          <w:rFonts w:ascii="Segoe UI" w:hAnsi="Segoe UI" w:cs="Segoe UI"/>
          <w:color w:val="014171"/>
          <w:lang w:val="de-DE"/>
        </w:rPr>
        <w:t xml:space="preserve"> und damit der Zugang </w:t>
      </w:r>
      <w:r w:rsidRPr="0040745F">
        <w:rPr>
          <w:rFonts w:ascii="Segoe UI" w:hAnsi="Segoe UI" w:cs="Segoe UI"/>
          <w:color w:val="014171"/>
          <w:lang w:val="de-DE"/>
        </w:rPr>
        <w:t xml:space="preserve">zum europäischen Markt </w:t>
      </w:r>
      <w:r w:rsidR="00464466" w:rsidRPr="0040745F">
        <w:rPr>
          <w:rFonts w:ascii="Segoe UI" w:hAnsi="Segoe UI" w:cs="Segoe UI"/>
          <w:color w:val="014171"/>
          <w:lang w:val="de-DE"/>
        </w:rPr>
        <w:t>ermöglicht</w:t>
      </w:r>
      <w:r w:rsidRPr="0040745F">
        <w:rPr>
          <w:rFonts w:ascii="Segoe UI" w:hAnsi="Segoe UI" w:cs="Segoe UI"/>
          <w:color w:val="014171"/>
          <w:lang w:val="de-DE"/>
        </w:rPr>
        <w:t>. Die Strategie der Geschäftstätigkeit</w:t>
      </w:r>
      <w:r w:rsidR="00274B6E" w:rsidRPr="0040745F">
        <w:rPr>
          <w:rFonts w:ascii="Segoe UI" w:hAnsi="Segoe UI" w:cs="Segoe UI"/>
          <w:color w:val="014171"/>
          <w:lang w:val="de-DE"/>
        </w:rPr>
        <w:t>en</w:t>
      </w:r>
      <w:r w:rsidRPr="0040745F">
        <w:rPr>
          <w:rFonts w:ascii="Segoe UI" w:hAnsi="Segoe UI" w:cs="Segoe UI"/>
          <w:color w:val="014171"/>
          <w:lang w:val="de-DE"/>
        </w:rPr>
        <w:t xml:space="preserve"> </w:t>
      </w:r>
      <w:r w:rsidR="00274B6E" w:rsidRPr="0040745F">
        <w:rPr>
          <w:rFonts w:ascii="Segoe UI" w:hAnsi="Segoe UI" w:cs="Segoe UI"/>
          <w:color w:val="014171"/>
          <w:lang w:val="de-DE"/>
        </w:rPr>
        <w:t>der</w:t>
      </w:r>
      <w:r w:rsidRPr="0040745F">
        <w:rPr>
          <w:rFonts w:ascii="Segoe UI" w:hAnsi="Segoe UI" w:cs="Segoe UI"/>
          <w:color w:val="014171"/>
          <w:lang w:val="de-DE"/>
        </w:rPr>
        <w:t xml:space="preserve"> DCMD spiegelt die Verbindungen und verfügbaren Synergien innerhalb der Daiwa-Gruppe wider.</w:t>
      </w:r>
    </w:p>
    <w:p w14:paraId="7398A696" w14:textId="0620C16E" w:rsidR="00357632" w:rsidRPr="0040745F" w:rsidRDefault="00357632" w:rsidP="00357632">
      <w:pPr>
        <w:spacing w:after="0"/>
        <w:jc w:val="both"/>
        <w:rPr>
          <w:rFonts w:ascii="Segoe UI" w:hAnsi="Segoe UI" w:cs="Segoe UI"/>
          <w:color w:val="014171"/>
          <w:lang w:val="de-DE"/>
        </w:rPr>
      </w:pPr>
      <w:r w:rsidRPr="0040745F">
        <w:rPr>
          <w:rFonts w:ascii="Segoe UI" w:hAnsi="Segoe UI" w:cs="Segoe UI"/>
          <w:color w:val="014171"/>
          <w:lang w:val="de-DE"/>
        </w:rPr>
        <w:t xml:space="preserve">Die </w:t>
      </w:r>
      <w:r w:rsidR="00274B6E" w:rsidRPr="0040745F">
        <w:rPr>
          <w:rFonts w:ascii="Segoe UI" w:hAnsi="Segoe UI" w:cs="Segoe UI"/>
          <w:color w:val="014171"/>
          <w:lang w:val="de-DE"/>
        </w:rPr>
        <w:t>Kerngeschäftsfelder entsprechen</w:t>
      </w:r>
      <w:r w:rsidRPr="0040745F">
        <w:rPr>
          <w:rFonts w:ascii="Segoe UI" w:hAnsi="Segoe UI" w:cs="Segoe UI"/>
          <w:color w:val="014171"/>
          <w:lang w:val="de-DE"/>
        </w:rPr>
        <w:t xml:space="preserve"> den </w:t>
      </w:r>
      <w:r w:rsidRPr="006E0C42">
        <w:rPr>
          <w:rFonts w:ascii="Segoe UI" w:hAnsi="Segoe UI" w:cs="Segoe UI"/>
          <w:color w:val="014171"/>
          <w:lang w:val="de-DE"/>
        </w:rPr>
        <w:t xml:space="preserve">Geschäftsfeldern des Konzerns </w:t>
      </w:r>
      <w:r w:rsidR="00274B6E" w:rsidRPr="006E0C42">
        <w:rPr>
          <w:rFonts w:ascii="Segoe UI" w:hAnsi="Segoe UI" w:cs="Segoe UI"/>
          <w:color w:val="014171"/>
          <w:lang w:val="de-DE"/>
        </w:rPr>
        <w:t>und umfassen</w:t>
      </w:r>
      <w:r w:rsidRPr="006E0C42">
        <w:rPr>
          <w:rFonts w:ascii="Segoe UI" w:hAnsi="Segoe UI" w:cs="Segoe UI"/>
          <w:color w:val="014171"/>
          <w:lang w:val="de-DE"/>
        </w:rPr>
        <w:t xml:space="preserve"> </w:t>
      </w:r>
      <w:r w:rsidR="009F773F" w:rsidRPr="006E0C42">
        <w:rPr>
          <w:rFonts w:ascii="Segoe UI" w:hAnsi="Segoe UI" w:cs="Segoe UI"/>
          <w:color w:val="014171"/>
          <w:lang w:val="de-DE"/>
        </w:rPr>
        <w:t>Aktien</w:t>
      </w:r>
      <w:r w:rsidRPr="006E0C42">
        <w:rPr>
          <w:rFonts w:ascii="Segoe UI" w:hAnsi="Segoe UI" w:cs="Segoe UI"/>
          <w:color w:val="014171"/>
          <w:lang w:val="de-DE"/>
        </w:rPr>
        <w:t xml:space="preserve">, </w:t>
      </w:r>
      <w:r w:rsidR="006E0C42" w:rsidRPr="006E0C42">
        <w:rPr>
          <w:rFonts w:ascii="Segoe UI" w:hAnsi="Segoe UI" w:cs="Segoe UI"/>
          <w:color w:val="014171"/>
          <w:lang w:val="de-DE"/>
        </w:rPr>
        <w:t>Anleihen</w:t>
      </w:r>
      <w:r w:rsidRPr="006E0C42">
        <w:rPr>
          <w:rFonts w:ascii="Segoe UI" w:hAnsi="Segoe UI" w:cs="Segoe UI"/>
          <w:color w:val="014171"/>
          <w:lang w:val="de-DE"/>
        </w:rPr>
        <w:t>, International</w:t>
      </w:r>
      <w:r w:rsidR="009F773F" w:rsidRPr="006E0C42">
        <w:rPr>
          <w:rFonts w:ascii="Segoe UI" w:hAnsi="Segoe UI" w:cs="Segoe UI"/>
          <w:color w:val="014171"/>
          <w:lang w:val="de-DE"/>
        </w:rPr>
        <w:t>e Wandelanleihen</w:t>
      </w:r>
      <w:r w:rsidR="006E0C42" w:rsidRPr="006E0C42">
        <w:rPr>
          <w:rFonts w:ascii="Segoe UI" w:hAnsi="Segoe UI" w:cs="Segoe UI"/>
          <w:color w:val="014171"/>
          <w:lang w:val="de-DE"/>
        </w:rPr>
        <w:t>, Platzierung von Anleihen (</w:t>
      </w:r>
      <w:r w:rsidRPr="006E0C42">
        <w:rPr>
          <w:rFonts w:ascii="Segoe UI" w:hAnsi="Segoe UI" w:cs="Segoe UI"/>
          <w:color w:val="014171"/>
          <w:lang w:val="de-DE"/>
        </w:rPr>
        <w:t>Investment Banking</w:t>
      </w:r>
      <w:r w:rsidR="006E0C42" w:rsidRPr="006E0C42">
        <w:rPr>
          <w:rFonts w:ascii="Segoe UI" w:hAnsi="Segoe UI" w:cs="Segoe UI"/>
          <w:color w:val="014171"/>
          <w:lang w:val="de-DE"/>
        </w:rPr>
        <w:t>)</w:t>
      </w:r>
      <w:r w:rsidRPr="006E0C42">
        <w:rPr>
          <w:rFonts w:ascii="Segoe UI" w:hAnsi="Segoe UI" w:cs="Segoe UI"/>
          <w:color w:val="014171"/>
          <w:lang w:val="de-DE"/>
        </w:rPr>
        <w:t xml:space="preserve"> und das Angebot damit verbundener Finanzdienstleistungen (im Wesentlichen </w:t>
      </w:r>
      <w:r w:rsidR="006E0C42" w:rsidRPr="006E0C42">
        <w:rPr>
          <w:rFonts w:ascii="Segoe UI" w:hAnsi="Segoe UI" w:cs="Segoe UI"/>
          <w:color w:val="014171"/>
          <w:lang w:val="de-DE"/>
        </w:rPr>
        <w:t>Finanz</w:t>
      </w:r>
      <w:r w:rsidR="009F773F" w:rsidRPr="006E0C42">
        <w:rPr>
          <w:rFonts w:ascii="Segoe UI" w:hAnsi="Segoe UI" w:cs="Segoe UI"/>
          <w:color w:val="014171"/>
          <w:lang w:val="de-DE"/>
        </w:rPr>
        <w:t>analysen</w:t>
      </w:r>
      <w:r w:rsidRPr="006E0C42">
        <w:rPr>
          <w:rFonts w:ascii="Segoe UI" w:hAnsi="Segoe UI" w:cs="Segoe UI"/>
          <w:color w:val="014171"/>
          <w:lang w:val="de-DE"/>
        </w:rPr>
        <w:t xml:space="preserve">) für europäische institutionelle Investoren. Das </w:t>
      </w:r>
      <w:r w:rsidR="009F773F" w:rsidRPr="006E0C42">
        <w:rPr>
          <w:rFonts w:ascii="Segoe UI" w:hAnsi="Segoe UI" w:cs="Segoe UI"/>
          <w:color w:val="014171"/>
          <w:lang w:val="de-DE"/>
        </w:rPr>
        <w:t>Wertpapierpensionsg</w:t>
      </w:r>
      <w:r w:rsidRPr="006E0C42">
        <w:rPr>
          <w:rFonts w:ascii="Segoe UI" w:hAnsi="Segoe UI" w:cs="Segoe UI"/>
          <w:color w:val="014171"/>
          <w:lang w:val="de-DE"/>
        </w:rPr>
        <w:t>eschäft</w:t>
      </w:r>
      <w:r w:rsidRPr="0040745F">
        <w:rPr>
          <w:rFonts w:ascii="Segoe UI" w:hAnsi="Segoe UI" w:cs="Segoe UI"/>
          <w:color w:val="014171"/>
          <w:lang w:val="de-DE"/>
        </w:rPr>
        <w:t xml:space="preserve"> wird von DCMD nicht aktiv vermarktet, kann aber </w:t>
      </w:r>
      <w:r w:rsidR="006E0C42">
        <w:rPr>
          <w:rFonts w:ascii="Segoe UI" w:hAnsi="Segoe UI" w:cs="Segoe UI"/>
          <w:color w:val="014171"/>
          <w:lang w:val="de-DE"/>
        </w:rPr>
        <w:t>genehmigten</w:t>
      </w:r>
      <w:r w:rsidRPr="0040745F">
        <w:rPr>
          <w:rFonts w:ascii="Segoe UI" w:hAnsi="Segoe UI" w:cs="Segoe UI"/>
          <w:color w:val="014171"/>
          <w:lang w:val="de-DE"/>
        </w:rPr>
        <w:t xml:space="preserve"> Kontrahenten für deren Liquiditätsmanagement angeboten werden.</w:t>
      </w:r>
    </w:p>
    <w:p w14:paraId="615982D8" w14:textId="38202F4B" w:rsidR="001F173B" w:rsidRPr="0040745F" w:rsidRDefault="001F173B" w:rsidP="00E27BB3">
      <w:pPr>
        <w:spacing w:after="0"/>
        <w:jc w:val="both"/>
        <w:rPr>
          <w:rFonts w:ascii="Segoe UI" w:hAnsi="Segoe UI" w:cs="Segoe UI"/>
          <w:color w:val="014171"/>
          <w:lang w:val="de-DE"/>
        </w:rPr>
      </w:pPr>
    </w:p>
    <w:p w14:paraId="45C32930" w14:textId="77777777" w:rsidR="00112E7D" w:rsidRPr="0040745F" w:rsidRDefault="00112E7D" w:rsidP="00E27BB3">
      <w:pPr>
        <w:spacing w:after="0"/>
        <w:jc w:val="both"/>
        <w:rPr>
          <w:rFonts w:ascii="Segoe UI" w:hAnsi="Segoe UI" w:cs="Segoe UI"/>
          <w:color w:val="014171"/>
          <w:lang w:val="de-DE"/>
        </w:rPr>
      </w:pPr>
    </w:p>
    <w:p w14:paraId="04495A17" w14:textId="161F6A98" w:rsidR="00757056" w:rsidRPr="002B6A87" w:rsidRDefault="008A7319" w:rsidP="008A542A">
      <w:pPr>
        <w:pStyle w:val="Heading2"/>
        <w:rPr>
          <w:lang w:val="de-DE"/>
        </w:rPr>
      </w:pPr>
      <w:bookmarkStart w:id="26" w:name="_Toc297039262"/>
      <w:bookmarkStart w:id="27" w:name="_Toc297189975"/>
      <w:bookmarkStart w:id="28" w:name="_Toc422754613"/>
      <w:bookmarkStart w:id="29" w:name="_Toc102121156"/>
      <w:bookmarkStart w:id="30" w:name="_Toc123138008"/>
      <w:bookmarkEnd w:id="23"/>
      <w:bookmarkEnd w:id="24"/>
      <w:bookmarkEnd w:id="25"/>
      <w:r w:rsidRPr="00B20402">
        <w:rPr>
          <w:lang w:val="de-DE"/>
        </w:rPr>
        <w:lastRenderedPageBreak/>
        <w:t>Grundlegendes</w:t>
      </w:r>
      <w:r w:rsidR="006C6B73" w:rsidRPr="00B20402">
        <w:rPr>
          <w:lang w:val="de-DE"/>
        </w:rPr>
        <w:t xml:space="preserve"> </w:t>
      </w:r>
      <w:r w:rsidR="006C6B73" w:rsidRPr="00D815A9">
        <w:rPr>
          <w:lang w:val="de-DE"/>
        </w:rPr>
        <w:t>zur</w:t>
      </w:r>
      <w:r w:rsidR="00112E7D" w:rsidRPr="00B20402">
        <w:rPr>
          <w:lang w:val="de-DE"/>
        </w:rPr>
        <w:t xml:space="preserve"> </w:t>
      </w:r>
      <w:bookmarkEnd w:id="26"/>
      <w:bookmarkEnd w:id="27"/>
      <w:bookmarkEnd w:id="28"/>
      <w:r w:rsidR="00112E7D" w:rsidRPr="00B20402">
        <w:rPr>
          <w:lang w:val="de-DE"/>
        </w:rPr>
        <w:t>Offenlegun</w:t>
      </w:r>
      <w:bookmarkEnd w:id="29"/>
      <w:r w:rsidRPr="00B20402">
        <w:rPr>
          <w:lang w:val="de-DE"/>
        </w:rPr>
        <w:t>g</w:t>
      </w:r>
      <w:bookmarkEnd w:id="30"/>
    </w:p>
    <w:p w14:paraId="72883731" w14:textId="4F5894AA" w:rsidR="00112E7D" w:rsidRPr="0040745F" w:rsidRDefault="00112E7D" w:rsidP="00E27BB3">
      <w:pPr>
        <w:spacing w:after="0"/>
        <w:jc w:val="both"/>
        <w:rPr>
          <w:rFonts w:ascii="Segoe UI" w:hAnsi="Segoe UI" w:cs="Segoe UI"/>
          <w:color w:val="014171"/>
          <w:lang w:val="de-DE"/>
        </w:rPr>
      </w:pPr>
      <w:r w:rsidRPr="0040745F">
        <w:rPr>
          <w:rFonts w:ascii="Segoe UI" w:hAnsi="Segoe UI" w:cs="Segoe UI"/>
          <w:color w:val="014171"/>
          <w:lang w:val="de-DE"/>
        </w:rPr>
        <w:t>Dieses Dokument wurde in Übereinstimmung mit den Offenlegungsvorschriften des Art. 46 IFR / § 54 WpIG erstellt.</w:t>
      </w:r>
    </w:p>
    <w:p w14:paraId="14126131" w14:textId="77777777" w:rsidR="0016436E" w:rsidRPr="0040745F" w:rsidRDefault="0016436E" w:rsidP="00E27BB3">
      <w:pPr>
        <w:spacing w:after="0"/>
        <w:jc w:val="both"/>
        <w:rPr>
          <w:rFonts w:ascii="Segoe UI" w:hAnsi="Segoe UI" w:cs="Segoe UI"/>
          <w:color w:val="014171"/>
          <w:lang w:val="de-DE"/>
        </w:rPr>
      </w:pPr>
    </w:p>
    <w:p w14:paraId="15E3A714" w14:textId="61FF94A9" w:rsidR="00CF78E4" w:rsidRPr="0040745F" w:rsidRDefault="00112E7D" w:rsidP="00E27BB3">
      <w:pPr>
        <w:pStyle w:val="ListParagraph"/>
        <w:numPr>
          <w:ilvl w:val="0"/>
          <w:numId w:val="33"/>
        </w:numPr>
        <w:spacing w:after="0"/>
        <w:jc w:val="both"/>
        <w:rPr>
          <w:rFonts w:ascii="Segoe UI" w:hAnsi="Segoe UI" w:cs="Segoe UI"/>
          <w:color w:val="014171"/>
          <w:lang w:val="de-DE"/>
        </w:rPr>
      </w:pPr>
      <w:r w:rsidRPr="0040745F">
        <w:rPr>
          <w:rFonts w:ascii="Segoe UI" w:hAnsi="Segoe UI" w:cs="Segoe UI"/>
          <w:b/>
          <w:color w:val="014171"/>
          <w:lang w:val="de-DE"/>
        </w:rPr>
        <w:t>Kategorisierung der Gesellschaft</w:t>
      </w:r>
      <w:r w:rsidR="00CF78E4" w:rsidRPr="0040745F">
        <w:rPr>
          <w:rFonts w:ascii="Segoe UI" w:hAnsi="Segoe UI" w:cs="Segoe UI"/>
          <w:b/>
          <w:color w:val="014171"/>
          <w:lang w:val="de-DE"/>
        </w:rPr>
        <w:t>:</w:t>
      </w:r>
      <w:r w:rsidR="00CF78E4" w:rsidRPr="0040745F">
        <w:rPr>
          <w:rFonts w:ascii="Segoe UI" w:hAnsi="Segoe UI" w:cs="Segoe UI"/>
          <w:color w:val="014171"/>
          <w:lang w:val="de-DE"/>
        </w:rPr>
        <w:t xml:space="preserve"> </w:t>
      </w:r>
      <w:r w:rsidR="00A02B85" w:rsidRPr="0040745F">
        <w:rPr>
          <w:rFonts w:ascii="Segoe UI" w:hAnsi="Segoe UI" w:cs="Segoe UI"/>
          <w:color w:val="014171"/>
          <w:lang w:val="de-DE"/>
        </w:rPr>
        <w:t>DCMD</w:t>
      </w:r>
      <w:r w:rsidRPr="0040745F">
        <w:rPr>
          <w:rFonts w:ascii="Segoe UI" w:hAnsi="Segoe UI" w:cs="Segoe UI"/>
          <w:color w:val="014171"/>
          <w:lang w:val="de-DE"/>
        </w:rPr>
        <w:t xml:space="preserve"> erfüllt die IFR-Kriterien für ein mittleres Wertpapierinstitut</w:t>
      </w:r>
      <w:r w:rsidR="00A02B85" w:rsidRPr="0040745F">
        <w:rPr>
          <w:rFonts w:ascii="Segoe UI" w:hAnsi="Segoe UI" w:cs="Segoe UI"/>
          <w:color w:val="014171"/>
          <w:lang w:val="de-DE"/>
        </w:rPr>
        <w:t xml:space="preserve"> </w:t>
      </w:r>
      <w:r w:rsidRPr="0040745F">
        <w:rPr>
          <w:rFonts w:ascii="Segoe UI" w:hAnsi="Segoe UI" w:cs="Segoe UI"/>
          <w:color w:val="014171"/>
          <w:lang w:val="de-DE"/>
        </w:rPr>
        <w:t>(Klasse 2)</w:t>
      </w:r>
      <w:r w:rsidR="00A02B85" w:rsidRPr="0040745F">
        <w:rPr>
          <w:rFonts w:ascii="Segoe UI" w:hAnsi="Segoe UI" w:cs="Segoe UI"/>
          <w:color w:val="014171"/>
          <w:lang w:val="de-DE"/>
        </w:rPr>
        <w:t>.</w:t>
      </w:r>
    </w:p>
    <w:p w14:paraId="598D56EC" w14:textId="630255A1" w:rsidR="00CF78E4" w:rsidRPr="0040745F" w:rsidRDefault="00112E7D" w:rsidP="00112E7D">
      <w:pPr>
        <w:pStyle w:val="ListParagraph"/>
        <w:numPr>
          <w:ilvl w:val="0"/>
          <w:numId w:val="33"/>
        </w:numPr>
        <w:spacing w:after="0"/>
        <w:jc w:val="both"/>
        <w:rPr>
          <w:rFonts w:ascii="Segoe UI" w:hAnsi="Segoe UI" w:cs="Segoe UI"/>
          <w:color w:val="014171"/>
          <w:lang w:val="de-DE"/>
        </w:rPr>
      </w:pPr>
      <w:r w:rsidRPr="0040745F">
        <w:rPr>
          <w:rFonts w:ascii="Segoe UI" w:hAnsi="Segoe UI" w:cs="Segoe UI"/>
          <w:b/>
          <w:color w:val="014171"/>
          <w:lang w:val="de-DE"/>
        </w:rPr>
        <w:t>Umfang</w:t>
      </w:r>
      <w:r w:rsidR="00CF78E4" w:rsidRPr="0040745F">
        <w:rPr>
          <w:rFonts w:ascii="Segoe UI" w:hAnsi="Segoe UI" w:cs="Segoe UI"/>
          <w:b/>
          <w:color w:val="014171"/>
          <w:lang w:val="de-DE"/>
        </w:rPr>
        <w:t>:</w:t>
      </w:r>
      <w:r w:rsidR="00CF78E4" w:rsidRPr="0040745F">
        <w:rPr>
          <w:rFonts w:ascii="Segoe UI" w:hAnsi="Segoe UI" w:cs="Segoe UI"/>
          <w:color w:val="014171"/>
          <w:lang w:val="de-DE"/>
        </w:rPr>
        <w:t xml:space="preserve"> </w:t>
      </w:r>
      <w:r w:rsidR="00EC1917">
        <w:rPr>
          <w:rFonts w:ascii="Segoe UI" w:hAnsi="Segoe UI" w:cs="Segoe UI"/>
          <w:color w:val="014171"/>
          <w:lang w:val="de-DE"/>
        </w:rPr>
        <w:t>Die Gesellschaft</w:t>
      </w:r>
      <w:r w:rsidRPr="0040745F">
        <w:rPr>
          <w:rFonts w:ascii="Segoe UI" w:hAnsi="Segoe UI" w:cs="Segoe UI"/>
          <w:color w:val="014171"/>
          <w:lang w:val="de-DE"/>
        </w:rPr>
        <w:t xml:space="preserve"> ist verpflichtet, nur auf Einzelunternehmensbasis (DCMD solo) offenzulegen.</w:t>
      </w:r>
    </w:p>
    <w:p w14:paraId="1E4C7F77" w14:textId="63C73F38" w:rsidR="00CF78E4" w:rsidRPr="0040745F" w:rsidRDefault="00112E7D" w:rsidP="0031719C">
      <w:pPr>
        <w:pStyle w:val="ListParagraph"/>
        <w:numPr>
          <w:ilvl w:val="0"/>
          <w:numId w:val="33"/>
        </w:numPr>
        <w:spacing w:after="0"/>
        <w:jc w:val="both"/>
        <w:rPr>
          <w:rFonts w:ascii="Segoe UI" w:hAnsi="Segoe UI" w:cs="Segoe UI"/>
          <w:color w:val="014171"/>
          <w:lang w:val="de-DE"/>
        </w:rPr>
      </w:pPr>
      <w:r w:rsidRPr="0040745F">
        <w:rPr>
          <w:rFonts w:ascii="Segoe UI" w:hAnsi="Segoe UI" w:cs="Segoe UI"/>
          <w:b/>
          <w:color w:val="014171"/>
          <w:lang w:val="de-DE"/>
        </w:rPr>
        <w:t>Stichtag</w:t>
      </w:r>
      <w:r w:rsidR="00CF78E4" w:rsidRPr="0040745F">
        <w:rPr>
          <w:rFonts w:ascii="Segoe UI" w:hAnsi="Segoe UI" w:cs="Segoe UI"/>
          <w:b/>
          <w:color w:val="014171"/>
          <w:lang w:val="de-DE"/>
        </w:rPr>
        <w:t>:</w:t>
      </w:r>
      <w:r w:rsidR="00CF78E4" w:rsidRPr="0040745F">
        <w:rPr>
          <w:rFonts w:ascii="Segoe UI" w:hAnsi="Segoe UI" w:cs="Segoe UI"/>
          <w:color w:val="014171"/>
          <w:lang w:val="de-DE"/>
        </w:rPr>
        <w:t xml:space="preserve"> </w:t>
      </w:r>
      <w:r w:rsidR="0031719C" w:rsidRPr="0040745F">
        <w:rPr>
          <w:rFonts w:ascii="Segoe UI" w:hAnsi="Segoe UI" w:cs="Segoe UI"/>
          <w:color w:val="014171"/>
          <w:lang w:val="de-DE"/>
        </w:rPr>
        <w:t>Dieses Dokument wurde zum 31. März 2022 erstellt, dem Bilanzstichtag und Geschäftsjahresende der Gesellschaft.</w:t>
      </w:r>
    </w:p>
    <w:p w14:paraId="77C2C900" w14:textId="7C96B115" w:rsidR="00CF78E4" w:rsidRPr="0040745F" w:rsidRDefault="0031719C" w:rsidP="0031719C">
      <w:pPr>
        <w:pStyle w:val="ListParagraph"/>
        <w:numPr>
          <w:ilvl w:val="0"/>
          <w:numId w:val="33"/>
        </w:numPr>
        <w:spacing w:after="0"/>
        <w:jc w:val="both"/>
        <w:rPr>
          <w:rFonts w:ascii="Segoe UI" w:hAnsi="Segoe UI" w:cs="Segoe UI"/>
          <w:color w:val="014171"/>
          <w:lang w:val="de-DE"/>
        </w:rPr>
      </w:pPr>
      <w:r w:rsidRPr="0040745F">
        <w:rPr>
          <w:rFonts w:ascii="Segoe UI" w:hAnsi="Segoe UI" w:cs="Segoe UI"/>
          <w:b/>
          <w:color w:val="014171"/>
          <w:lang w:val="de-DE"/>
        </w:rPr>
        <w:t>Häufigkeit</w:t>
      </w:r>
      <w:r w:rsidR="00CF78E4" w:rsidRPr="0040745F">
        <w:rPr>
          <w:rFonts w:ascii="Segoe UI" w:hAnsi="Segoe UI" w:cs="Segoe UI"/>
          <w:b/>
          <w:color w:val="014171"/>
          <w:lang w:val="de-DE"/>
        </w:rPr>
        <w:t>:</w:t>
      </w:r>
      <w:r w:rsidR="00CF78E4" w:rsidRPr="0040745F">
        <w:rPr>
          <w:rFonts w:ascii="Segoe UI" w:hAnsi="Segoe UI" w:cs="Segoe UI"/>
          <w:color w:val="014171"/>
          <w:lang w:val="de-DE"/>
        </w:rPr>
        <w:t xml:space="preserve"> </w:t>
      </w:r>
      <w:r w:rsidRPr="0040745F">
        <w:rPr>
          <w:rFonts w:ascii="Segoe UI" w:hAnsi="Segoe UI" w:cs="Segoe UI"/>
          <w:color w:val="014171"/>
          <w:lang w:val="de-DE"/>
        </w:rPr>
        <w:t>Die Offenlegung erfolgt jährlich zusammen mit dem handelsrechtlichen Jahresabschluss, oder häufiger, wenn sich das Geschäft der Gesellschaft wesentlich verändert oder, wenn es von der BaFin angeordnet wird.</w:t>
      </w:r>
    </w:p>
    <w:p w14:paraId="06A5FDDD" w14:textId="027CAB93" w:rsidR="00CF78E4" w:rsidRPr="00D815A9" w:rsidRDefault="000C2569" w:rsidP="00E27BB3">
      <w:pPr>
        <w:pStyle w:val="ListParagraph"/>
        <w:numPr>
          <w:ilvl w:val="0"/>
          <w:numId w:val="33"/>
        </w:numPr>
        <w:spacing w:after="0"/>
        <w:jc w:val="both"/>
        <w:rPr>
          <w:rFonts w:ascii="Segoe UI" w:hAnsi="Segoe UI" w:cs="Segoe UI"/>
          <w:i/>
          <w:color w:val="014171"/>
          <w:lang w:val="de-DE"/>
        </w:rPr>
      </w:pPr>
      <w:r w:rsidRPr="0040745F">
        <w:rPr>
          <w:rFonts w:ascii="Segoe UI" w:hAnsi="Segoe UI" w:cs="Segoe UI"/>
          <w:b/>
          <w:color w:val="014171"/>
          <w:lang w:val="de-DE"/>
        </w:rPr>
        <w:t>Ort</w:t>
      </w:r>
      <w:r w:rsidR="00CF78E4" w:rsidRPr="0040745F">
        <w:rPr>
          <w:rFonts w:ascii="Segoe UI" w:hAnsi="Segoe UI" w:cs="Segoe UI"/>
          <w:b/>
          <w:color w:val="014171"/>
          <w:lang w:val="de-DE"/>
        </w:rPr>
        <w:t>:</w:t>
      </w:r>
      <w:r w:rsidR="00CF78E4" w:rsidRPr="0040745F">
        <w:rPr>
          <w:rFonts w:ascii="Segoe UI" w:hAnsi="Segoe UI" w:cs="Segoe UI"/>
          <w:color w:val="014171"/>
          <w:lang w:val="de-DE"/>
        </w:rPr>
        <w:t xml:space="preserve"> </w:t>
      </w:r>
      <w:r w:rsidRPr="0040745F">
        <w:rPr>
          <w:rFonts w:ascii="Segoe UI" w:hAnsi="Segoe UI" w:cs="Segoe UI"/>
          <w:color w:val="014171"/>
          <w:lang w:val="de-DE"/>
        </w:rPr>
        <w:t>Dieses Dokument wird auf der Internetseite der Gesellschaft veröffentlicht</w:t>
      </w:r>
      <w:r w:rsidR="00CF78E4" w:rsidRPr="0040745F">
        <w:rPr>
          <w:rFonts w:ascii="Segoe UI" w:hAnsi="Segoe UI" w:cs="Segoe UI"/>
          <w:color w:val="014171"/>
          <w:lang w:val="de-DE"/>
        </w:rPr>
        <w:t xml:space="preserve">: </w:t>
      </w:r>
      <w:r w:rsidR="00B20402" w:rsidRPr="00AB3754">
        <w:rPr>
          <w:rFonts w:ascii="Segoe UI" w:hAnsi="Segoe UI" w:cs="Segoe UI"/>
          <w:i/>
          <w:color w:val="014171"/>
          <w:lang w:val="de-DE"/>
        </w:rPr>
        <w:t>www.de.daiwacm.com/policies/</w:t>
      </w:r>
    </w:p>
    <w:p w14:paraId="2908BA50" w14:textId="76482231" w:rsidR="00CF78E4" w:rsidRPr="0040745F" w:rsidRDefault="00F442FE" w:rsidP="000C2569">
      <w:pPr>
        <w:pStyle w:val="ListParagraph"/>
        <w:numPr>
          <w:ilvl w:val="0"/>
          <w:numId w:val="33"/>
        </w:numPr>
        <w:spacing w:after="0"/>
        <w:jc w:val="both"/>
        <w:rPr>
          <w:rFonts w:ascii="Segoe UI" w:hAnsi="Segoe UI" w:cs="Segoe UI"/>
          <w:color w:val="014171"/>
          <w:lang w:val="de-DE"/>
        </w:rPr>
      </w:pPr>
      <w:r w:rsidRPr="0040745F">
        <w:rPr>
          <w:rFonts w:ascii="Segoe UI" w:hAnsi="Segoe UI" w:cs="Segoe UI"/>
          <w:b/>
          <w:color w:val="014171"/>
          <w:lang w:val="de-DE"/>
        </w:rPr>
        <w:t>Verantwortlichkeit</w:t>
      </w:r>
      <w:r w:rsidR="00CF78E4" w:rsidRPr="0040745F">
        <w:rPr>
          <w:rFonts w:ascii="Segoe UI" w:hAnsi="Segoe UI" w:cs="Segoe UI"/>
          <w:b/>
          <w:color w:val="014171"/>
          <w:lang w:val="de-DE"/>
        </w:rPr>
        <w:t>:</w:t>
      </w:r>
      <w:r w:rsidR="00CF78E4" w:rsidRPr="0040745F">
        <w:rPr>
          <w:rFonts w:ascii="Segoe UI" w:hAnsi="Segoe UI" w:cs="Segoe UI"/>
          <w:color w:val="014171"/>
          <w:lang w:val="de-DE"/>
        </w:rPr>
        <w:t xml:space="preserve"> </w:t>
      </w:r>
      <w:r w:rsidR="000C2569" w:rsidRPr="0040745F">
        <w:rPr>
          <w:rFonts w:ascii="Segoe UI" w:hAnsi="Segoe UI" w:cs="Segoe UI"/>
          <w:color w:val="014171"/>
          <w:lang w:val="de-DE"/>
        </w:rPr>
        <w:t xml:space="preserve">Dieses Dokument wurde von </w:t>
      </w:r>
      <w:r w:rsidR="00CC5DA8">
        <w:rPr>
          <w:rFonts w:ascii="Segoe UI" w:hAnsi="Segoe UI" w:cs="Segoe UI"/>
          <w:color w:val="014171"/>
          <w:lang w:val="de-DE"/>
        </w:rPr>
        <w:t xml:space="preserve">der Finanzabteilung und dem Risiko Management von </w:t>
      </w:r>
      <w:r w:rsidR="000C2569" w:rsidRPr="0040745F">
        <w:rPr>
          <w:rFonts w:ascii="Segoe UI" w:hAnsi="Segoe UI" w:cs="Segoe UI"/>
          <w:color w:val="014171"/>
          <w:lang w:val="de-DE"/>
        </w:rPr>
        <w:t>DCMD erstellt. Das Dokument wird von DCMD-Management und dem Anteilseigner der Gesellschaft geprüft und genehmigt. Dieses Dokument wurde nicht von den exter</w:t>
      </w:r>
      <w:r w:rsidR="00EC1917">
        <w:rPr>
          <w:rFonts w:ascii="Segoe UI" w:hAnsi="Segoe UI" w:cs="Segoe UI"/>
          <w:color w:val="014171"/>
          <w:lang w:val="de-DE"/>
        </w:rPr>
        <w:t>nen Wirtschaftsprüfern der Gesellschaft</w:t>
      </w:r>
      <w:r w:rsidR="000C2569" w:rsidRPr="0040745F">
        <w:rPr>
          <w:rFonts w:ascii="Segoe UI" w:hAnsi="Segoe UI" w:cs="Segoe UI"/>
          <w:color w:val="014171"/>
          <w:lang w:val="de-DE"/>
        </w:rPr>
        <w:t xml:space="preserve"> geprüft.</w:t>
      </w:r>
    </w:p>
    <w:p w14:paraId="7F0F8409" w14:textId="47A4DFC2" w:rsidR="00A22D32" w:rsidRPr="0040745F" w:rsidRDefault="00A22D32" w:rsidP="00A22D32">
      <w:pPr>
        <w:spacing w:after="0"/>
        <w:jc w:val="both"/>
        <w:rPr>
          <w:rFonts w:ascii="Segoe UI" w:hAnsi="Segoe UI" w:cs="Segoe UI"/>
          <w:color w:val="014171"/>
          <w:lang w:val="de-DE"/>
        </w:rPr>
      </w:pPr>
      <w:r w:rsidRPr="0040745F">
        <w:rPr>
          <w:rFonts w:ascii="Segoe UI" w:hAnsi="Segoe UI" w:cs="Segoe UI"/>
          <w:color w:val="014171"/>
          <w:lang w:val="de-DE"/>
        </w:rPr>
        <w:br w:type="page"/>
      </w:r>
    </w:p>
    <w:p w14:paraId="0A193F06" w14:textId="4ABF204A" w:rsidR="006F02AD" w:rsidRPr="0040745F" w:rsidRDefault="00927CF2" w:rsidP="00C43D6A">
      <w:pPr>
        <w:pStyle w:val="Heading1"/>
        <w:ind w:left="431" w:hanging="431"/>
        <w:rPr>
          <w:lang w:val="de-DE"/>
        </w:rPr>
      </w:pPr>
      <w:bookmarkStart w:id="31" w:name="_Toc114670809"/>
      <w:bookmarkStart w:id="32" w:name="_Toc114670910"/>
      <w:bookmarkStart w:id="33" w:name="_Toc123138009"/>
      <w:bookmarkEnd w:id="31"/>
      <w:bookmarkEnd w:id="32"/>
      <w:r w:rsidRPr="0040745F">
        <w:rPr>
          <w:lang w:val="de-DE"/>
        </w:rPr>
        <w:lastRenderedPageBreak/>
        <w:t>Ris</w:t>
      </w:r>
      <w:r w:rsidR="000C2569" w:rsidRPr="0040745F">
        <w:rPr>
          <w:lang w:val="de-DE"/>
        </w:rPr>
        <w:t>i</w:t>
      </w:r>
      <w:r w:rsidRPr="0040745F">
        <w:rPr>
          <w:lang w:val="de-DE"/>
        </w:rPr>
        <w:t>k</w:t>
      </w:r>
      <w:r w:rsidR="000C2569" w:rsidRPr="0040745F">
        <w:rPr>
          <w:lang w:val="de-DE"/>
        </w:rPr>
        <w:t>om</w:t>
      </w:r>
      <w:r w:rsidR="00A369C3" w:rsidRPr="0040745F">
        <w:rPr>
          <w:lang w:val="de-DE"/>
        </w:rPr>
        <w:t>anagement</w:t>
      </w:r>
      <w:r w:rsidR="005F0C99" w:rsidRPr="0040745F">
        <w:rPr>
          <w:lang w:val="de-DE"/>
        </w:rPr>
        <w:t xml:space="preserve"> </w:t>
      </w:r>
      <w:r w:rsidR="00A369C3" w:rsidRPr="0040745F">
        <w:rPr>
          <w:lang w:val="de-DE"/>
        </w:rPr>
        <w:t>(</w:t>
      </w:r>
      <w:r w:rsidR="00A22D32" w:rsidRPr="0040745F">
        <w:rPr>
          <w:lang w:val="de-DE"/>
        </w:rPr>
        <w:t>A</w:t>
      </w:r>
      <w:r w:rsidR="00A369C3" w:rsidRPr="0040745F">
        <w:rPr>
          <w:lang w:val="de-DE"/>
        </w:rPr>
        <w:t>rti</w:t>
      </w:r>
      <w:r w:rsidR="000C2569" w:rsidRPr="0040745F">
        <w:rPr>
          <w:lang w:val="de-DE"/>
        </w:rPr>
        <w:t>kel</w:t>
      </w:r>
      <w:r w:rsidR="00A369C3" w:rsidRPr="0040745F">
        <w:rPr>
          <w:lang w:val="de-DE"/>
        </w:rPr>
        <w:t xml:space="preserve"> 47</w:t>
      </w:r>
      <w:r w:rsidRPr="0040745F">
        <w:rPr>
          <w:lang w:val="de-DE"/>
        </w:rPr>
        <w:t xml:space="preserve"> IFR)</w:t>
      </w:r>
      <w:bookmarkEnd w:id="33"/>
    </w:p>
    <w:p w14:paraId="51045D98" w14:textId="7811A6D3" w:rsidR="00A64E0E" w:rsidRPr="0040745F" w:rsidRDefault="006C1285" w:rsidP="00E27BB3">
      <w:pPr>
        <w:pStyle w:val="Heading2"/>
        <w:rPr>
          <w:lang w:val="de-DE"/>
        </w:rPr>
      </w:pPr>
      <w:bookmarkStart w:id="34" w:name="_Toc123138010"/>
      <w:r w:rsidRPr="0040745F">
        <w:rPr>
          <w:lang w:val="de-DE"/>
        </w:rPr>
        <w:t>Übersicht</w:t>
      </w:r>
      <w:bookmarkEnd w:id="34"/>
    </w:p>
    <w:p w14:paraId="20868967" w14:textId="7351C2ED" w:rsidR="006C1285" w:rsidRPr="001740A5" w:rsidRDefault="006C1285" w:rsidP="00E27BB3">
      <w:pPr>
        <w:spacing w:after="0"/>
        <w:jc w:val="both"/>
        <w:rPr>
          <w:rFonts w:ascii="Segoe UI" w:hAnsi="Segoe UI" w:cs="Segoe UI"/>
          <w:color w:val="014171"/>
          <w:lang w:val="de-DE"/>
        </w:rPr>
      </w:pPr>
      <w:r w:rsidRPr="0040745F">
        <w:rPr>
          <w:rFonts w:ascii="Segoe UI" w:hAnsi="Segoe UI" w:cs="Segoe UI"/>
          <w:color w:val="014171"/>
          <w:lang w:val="de-DE"/>
        </w:rPr>
        <w:t xml:space="preserve">Die Geschäftsführung </w:t>
      </w:r>
      <w:r w:rsidR="00B345F7">
        <w:rPr>
          <w:rFonts w:ascii="Segoe UI" w:hAnsi="Segoe UI" w:cs="Segoe UI"/>
          <w:color w:val="014171"/>
          <w:lang w:val="de-DE"/>
        </w:rPr>
        <w:t>von</w:t>
      </w:r>
      <w:r w:rsidRPr="0040745F">
        <w:rPr>
          <w:rFonts w:ascii="Segoe UI" w:hAnsi="Segoe UI" w:cs="Segoe UI"/>
          <w:color w:val="014171"/>
          <w:lang w:val="de-DE"/>
        </w:rPr>
        <w:t xml:space="preserve"> DCMD (d.h. die Geschäftsführer, </w:t>
      </w:r>
      <w:r w:rsidRPr="00B345F7">
        <w:rPr>
          <w:rFonts w:ascii="Segoe UI" w:hAnsi="Segoe UI" w:cs="Segoe UI"/>
          <w:color w:val="014171"/>
          <w:lang w:val="de-DE"/>
        </w:rPr>
        <w:t>auch „</w:t>
      </w:r>
      <w:r w:rsidR="00B345F7" w:rsidRPr="00B345F7">
        <w:rPr>
          <w:rFonts w:ascii="Segoe UI" w:hAnsi="Segoe UI" w:cs="Segoe UI"/>
          <w:color w:val="014171"/>
          <w:lang w:val="de-DE"/>
        </w:rPr>
        <w:t>GF</w:t>
      </w:r>
      <w:r w:rsidRPr="00B345F7">
        <w:rPr>
          <w:rFonts w:ascii="Segoe UI" w:hAnsi="Segoe UI" w:cs="Segoe UI"/>
          <w:color w:val="014171"/>
          <w:lang w:val="de-DE"/>
        </w:rPr>
        <w:t>“)</w:t>
      </w:r>
      <w:r w:rsidRPr="0040745F">
        <w:rPr>
          <w:rFonts w:ascii="Segoe UI" w:hAnsi="Segoe UI" w:cs="Segoe UI"/>
          <w:color w:val="014171"/>
          <w:lang w:val="de-DE"/>
        </w:rPr>
        <w:t xml:space="preserve"> trägt letztendlich</w:t>
      </w:r>
      <w:r w:rsidR="00B345F7">
        <w:rPr>
          <w:rFonts w:ascii="Segoe UI" w:hAnsi="Segoe UI" w:cs="Segoe UI"/>
          <w:color w:val="014171"/>
          <w:lang w:val="de-DE"/>
        </w:rPr>
        <w:t xml:space="preserve"> die</w:t>
      </w:r>
      <w:r w:rsidRPr="0040745F">
        <w:rPr>
          <w:rFonts w:ascii="Segoe UI" w:hAnsi="Segoe UI" w:cs="Segoe UI"/>
          <w:color w:val="014171"/>
          <w:lang w:val="de-DE"/>
        </w:rPr>
        <w:t xml:space="preserve"> Verantwortung für das Risikomanagement und die Festlegung einer Risikostrategie, die mit der Geschäftsstrategie der Gesellschaft übereinstimmt. Die Gesamtrisikostrategie mit dem Ziel, die Risikotragfähigkeit </w:t>
      </w:r>
      <w:r w:rsidR="00B345F7">
        <w:rPr>
          <w:rFonts w:ascii="Segoe UI" w:hAnsi="Segoe UI" w:cs="Segoe UI"/>
          <w:color w:val="014171"/>
          <w:lang w:val="de-DE"/>
        </w:rPr>
        <w:t>von</w:t>
      </w:r>
      <w:r w:rsidRPr="0040745F">
        <w:rPr>
          <w:rFonts w:ascii="Segoe UI" w:hAnsi="Segoe UI" w:cs="Segoe UI"/>
          <w:color w:val="014171"/>
          <w:lang w:val="de-DE"/>
        </w:rPr>
        <w:t xml:space="preserve"> DCMD dauerhaft und nachhaltig sicherzustellen, basiert auf den folgenden </w:t>
      </w:r>
      <w:r w:rsidRPr="001740A5">
        <w:rPr>
          <w:rFonts w:ascii="Segoe UI" w:hAnsi="Segoe UI" w:cs="Segoe UI"/>
          <w:color w:val="014171"/>
          <w:lang w:val="de-DE"/>
        </w:rPr>
        <w:t>wesentlichen Komponenten:</w:t>
      </w:r>
    </w:p>
    <w:p w14:paraId="436B9789" w14:textId="77777777" w:rsidR="00A22D32" w:rsidRPr="001740A5" w:rsidRDefault="00A22D32" w:rsidP="00E27BB3">
      <w:pPr>
        <w:spacing w:after="0"/>
        <w:jc w:val="both"/>
        <w:rPr>
          <w:rFonts w:ascii="Segoe UI" w:hAnsi="Segoe UI" w:cs="Segoe UI"/>
          <w:color w:val="014171"/>
          <w:lang w:val="de-DE"/>
        </w:rPr>
      </w:pPr>
    </w:p>
    <w:p w14:paraId="78B4B65A" w14:textId="184C491D" w:rsidR="00A64E0E" w:rsidRPr="001740A5" w:rsidRDefault="00A64E0E" w:rsidP="006C1285">
      <w:pPr>
        <w:pStyle w:val="ListParagraph"/>
        <w:numPr>
          <w:ilvl w:val="0"/>
          <w:numId w:val="34"/>
        </w:numPr>
        <w:spacing w:after="0"/>
        <w:jc w:val="both"/>
        <w:rPr>
          <w:rFonts w:ascii="Segoe UI" w:hAnsi="Segoe UI" w:cs="Segoe UI"/>
          <w:color w:val="014171"/>
          <w:lang w:val="de-DE"/>
        </w:rPr>
      </w:pPr>
      <w:r w:rsidRPr="001740A5">
        <w:rPr>
          <w:rFonts w:ascii="Segoe UI" w:hAnsi="Segoe UI" w:cs="Segoe UI"/>
          <w:b/>
          <w:color w:val="014171"/>
          <w:lang w:val="de-DE"/>
        </w:rPr>
        <w:t>Risk Management Framework (</w:t>
      </w:r>
      <w:r w:rsidR="0053210F" w:rsidRPr="001740A5">
        <w:rPr>
          <w:rFonts w:ascii="Segoe UI" w:hAnsi="Segoe UI" w:cs="Segoe UI"/>
          <w:b/>
          <w:color w:val="014171"/>
          <w:lang w:val="de-DE"/>
        </w:rPr>
        <w:t>“</w:t>
      </w:r>
      <w:r w:rsidRPr="001740A5">
        <w:rPr>
          <w:rFonts w:ascii="Segoe UI" w:hAnsi="Segoe UI" w:cs="Segoe UI"/>
          <w:b/>
          <w:color w:val="014171"/>
          <w:lang w:val="de-DE"/>
        </w:rPr>
        <w:t>RMF</w:t>
      </w:r>
      <w:r w:rsidR="0053210F" w:rsidRPr="001740A5">
        <w:rPr>
          <w:rFonts w:ascii="Segoe UI" w:hAnsi="Segoe UI" w:cs="Segoe UI"/>
          <w:b/>
          <w:color w:val="014171"/>
          <w:lang w:val="de-DE"/>
        </w:rPr>
        <w:t>”</w:t>
      </w:r>
      <w:r w:rsidRPr="001740A5">
        <w:rPr>
          <w:rFonts w:ascii="Segoe UI" w:hAnsi="Segoe UI" w:cs="Segoe UI"/>
          <w:b/>
          <w:color w:val="014171"/>
          <w:lang w:val="de-DE"/>
        </w:rPr>
        <w:t>):</w:t>
      </w:r>
      <w:r w:rsidRPr="001740A5">
        <w:rPr>
          <w:rFonts w:ascii="Segoe UI" w:hAnsi="Segoe UI" w:cs="Segoe UI"/>
          <w:color w:val="014171"/>
          <w:lang w:val="de-DE"/>
        </w:rPr>
        <w:t xml:space="preserve"> </w:t>
      </w:r>
      <w:r w:rsidR="006C1285" w:rsidRPr="001740A5">
        <w:rPr>
          <w:rFonts w:ascii="Segoe UI" w:hAnsi="Segoe UI" w:cs="Segoe UI"/>
          <w:color w:val="014171"/>
          <w:lang w:val="de-DE"/>
        </w:rPr>
        <w:t xml:space="preserve">Beschreibt die übergreifenden </w:t>
      </w:r>
      <w:r w:rsidR="001740A5" w:rsidRPr="001740A5">
        <w:rPr>
          <w:rFonts w:ascii="Segoe UI" w:hAnsi="Segoe UI" w:cs="Segoe UI"/>
          <w:color w:val="014171"/>
          <w:lang w:val="de-DE"/>
        </w:rPr>
        <w:t>Unternehmensv</w:t>
      </w:r>
      <w:r w:rsidR="006C1285" w:rsidRPr="001740A5">
        <w:rPr>
          <w:rFonts w:ascii="Segoe UI" w:hAnsi="Segoe UI" w:cs="Segoe UI"/>
          <w:color w:val="014171"/>
          <w:lang w:val="de-DE"/>
        </w:rPr>
        <w:t>orkehrungen zur Förderung eines effektiven Risikomanagements in der gesamten Organisation.</w:t>
      </w:r>
    </w:p>
    <w:p w14:paraId="47C48E62" w14:textId="7714420E" w:rsidR="00A64E0E" w:rsidRPr="001740A5" w:rsidRDefault="00A64E0E" w:rsidP="006C1285">
      <w:pPr>
        <w:pStyle w:val="ListParagraph"/>
        <w:numPr>
          <w:ilvl w:val="0"/>
          <w:numId w:val="34"/>
        </w:numPr>
        <w:spacing w:after="0"/>
        <w:jc w:val="both"/>
        <w:rPr>
          <w:rFonts w:ascii="Segoe UI" w:hAnsi="Segoe UI" w:cs="Segoe UI"/>
          <w:color w:val="014171"/>
          <w:lang w:val="de-DE"/>
        </w:rPr>
      </w:pPr>
      <w:r w:rsidRPr="001740A5">
        <w:rPr>
          <w:rFonts w:ascii="Segoe UI" w:hAnsi="Segoe UI" w:cs="Segoe UI"/>
          <w:b/>
          <w:color w:val="014171"/>
          <w:lang w:val="de-DE"/>
        </w:rPr>
        <w:t>Risk Appetite Statement (</w:t>
      </w:r>
      <w:r w:rsidR="0024004B" w:rsidRPr="001740A5">
        <w:rPr>
          <w:rFonts w:ascii="Segoe UI" w:hAnsi="Segoe UI" w:cs="Segoe UI"/>
          <w:b/>
          <w:color w:val="014171"/>
          <w:lang w:val="de-DE"/>
        </w:rPr>
        <w:t>“</w:t>
      </w:r>
      <w:r w:rsidRPr="001740A5">
        <w:rPr>
          <w:rFonts w:ascii="Segoe UI" w:hAnsi="Segoe UI" w:cs="Segoe UI"/>
          <w:b/>
          <w:color w:val="014171"/>
          <w:lang w:val="de-DE"/>
        </w:rPr>
        <w:t>RAS</w:t>
      </w:r>
      <w:r w:rsidR="0024004B" w:rsidRPr="001740A5">
        <w:rPr>
          <w:rFonts w:ascii="Segoe UI" w:hAnsi="Segoe UI" w:cs="Segoe UI"/>
          <w:b/>
          <w:color w:val="014171"/>
          <w:lang w:val="de-DE"/>
        </w:rPr>
        <w:t>”</w:t>
      </w:r>
      <w:r w:rsidRPr="001740A5">
        <w:rPr>
          <w:rFonts w:ascii="Segoe UI" w:hAnsi="Segoe UI" w:cs="Segoe UI"/>
          <w:b/>
          <w:color w:val="014171"/>
          <w:lang w:val="de-DE"/>
        </w:rPr>
        <w:t>):</w:t>
      </w:r>
      <w:r w:rsidRPr="001740A5">
        <w:rPr>
          <w:rFonts w:ascii="Segoe UI" w:hAnsi="Segoe UI" w:cs="Segoe UI"/>
          <w:color w:val="014171"/>
          <w:lang w:val="de-DE"/>
        </w:rPr>
        <w:t xml:space="preserve"> </w:t>
      </w:r>
      <w:r w:rsidR="006C1285" w:rsidRPr="001740A5">
        <w:rPr>
          <w:rFonts w:ascii="Segoe UI" w:hAnsi="Segoe UI" w:cs="Segoe UI"/>
          <w:color w:val="014171"/>
          <w:lang w:val="de-DE"/>
        </w:rPr>
        <w:t xml:space="preserve">Erstellt durch die Geschäftsführung und beschreibt die Bereitschaft und/oder Toleranz </w:t>
      </w:r>
      <w:r w:rsidR="001740A5" w:rsidRPr="001740A5">
        <w:rPr>
          <w:rFonts w:ascii="Segoe UI" w:hAnsi="Segoe UI" w:cs="Segoe UI"/>
          <w:color w:val="014171"/>
          <w:lang w:val="de-DE"/>
        </w:rPr>
        <w:t>von</w:t>
      </w:r>
      <w:r w:rsidR="006C1285" w:rsidRPr="001740A5">
        <w:rPr>
          <w:rFonts w:ascii="Segoe UI" w:hAnsi="Segoe UI" w:cs="Segoe UI"/>
          <w:color w:val="014171"/>
          <w:lang w:val="de-DE"/>
        </w:rPr>
        <w:t xml:space="preserve"> DCMD in Bezug auf alle Risike</w:t>
      </w:r>
      <w:r w:rsidR="003B699C" w:rsidRPr="001740A5">
        <w:rPr>
          <w:rFonts w:ascii="Segoe UI" w:hAnsi="Segoe UI" w:cs="Segoe UI"/>
          <w:color w:val="014171"/>
          <w:lang w:val="de-DE"/>
        </w:rPr>
        <w:t>n, die in der Risikoinventur der</w:t>
      </w:r>
      <w:r w:rsidR="006C1285" w:rsidRPr="001740A5">
        <w:rPr>
          <w:rFonts w:ascii="Segoe UI" w:hAnsi="Segoe UI" w:cs="Segoe UI"/>
          <w:color w:val="014171"/>
          <w:lang w:val="de-DE"/>
        </w:rPr>
        <w:t xml:space="preserve"> </w:t>
      </w:r>
      <w:r w:rsidR="003B699C" w:rsidRPr="001740A5">
        <w:rPr>
          <w:rFonts w:ascii="Segoe UI" w:hAnsi="Segoe UI" w:cs="Segoe UI"/>
          <w:color w:val="014171"/>
          <w:lang w:val="de-DE"/>
        </w:rPr>
        <w:t>Gesellschaft</w:t>
      </w:r>
      <w:r w:rsidR="006C1285" w:rsidRPr="001740A5">
        <w:rPr>
          <w:rFonts w:ascii="Segoe UI" w:hAnsi="Segoe UI" w:cs="Segoe UI"/>
          <w:color w:val="014171"/>
          <w:lang w:val="de-DE"/>
        </w:rPr>
        <w:t xml:space="preserve"> als wesentlich eingestuft werden.</w:t>
      </w:r>
    </w:p>
    <w:p w14:paraId="5A9730D3" w14:textId="73B5D115" w:rsidR="00A64E0E" w:rsidRPr="001740A5" w:rsidRDefault="00A64E0E" w:rsidP="006C1285">
      <w:pPr>
        <w:pStyle w:val="ListParagraph"/>
        <w:numPr>
          <w:ilvl w:val="0"/>
          <w:numId w:val="34"/>
        </w:numPr>
        <w:spacing w:after="0"/>
        <w:jc w:val="both"/>
        <w:rPr>
          <w:rFonts w:ascii="Segoe UI" w:hAnsi="Segoe UI" w:cs="Segoe UI"/>
          <w:color w:val="014171"/>
          <w:lang w:val="de-DE"/>
        </w:rPr>
      </w:pPr>
      <w:r w:rsidRPr="001740A5">
        <w:rPr>
          <w:rFonts w:ascii="Segoe UI" w:hAnsi="Segoe UI" w:cs="Segoe UI"/>
          <w:b/>
          <w:color w:val="014171"/>
          <w:lang w:val="de-DE"/>
        </w:rPr>
        <w:t>Risk Limit Framework (</w:t>
      </w:r>
      <w:r w:rsidR="0024004B" w:rsidRPr="001740A5">
        <w:rPr>
          <w:rFonts w:ascii="Segoe UI" w:hAnsi="Segoe UI" w:cs="Segoe UI"/>
          <w:b/>
          <w:color w:val="014171"/>
          <w:lang w:val="de-DE"/>
        </w:rPr>
        <w:t>“</w:t>
      </w:r>
      <w:r w:rsidRPr="001740A5">
        <w:rPr>
          <w:rFonts w:ascii="Segoe UI" w:hAnsi="Segoe UI" w:cs="Segoe UI"/>
          <w:b/>
          <w:color w:val="014171"/>
          <w:lang w:val="de-DE"/>
        </w:rPr>
        <w:t>RLF</w:t>
      </w:r>
      <w:r w:rsidR="0024004B" w:rsidRPr="001740A5">
        <w:rPr>
          <w:rFonts w:ascii="Segoe UI" w:hAnsi="Segoe UI" w:cs="Segoe UI"/>
          <w:b/>
          <w:color w:val="014171"/>
          <w:lang w:val="de-DE"/>
        </w:rPr>
        <w:t>”</w:t>
      </w:r>
      <w:r w:rsidRPr="001740A5">
        <w:rPr>
          <w:rFonts w:ascii="Segoe UI" w:hAnsi="Segoe UI" w:cs="Segoe UI"/>
          <w:b/>
          <w:color w:val="014171"/>
          <w:lang w:val="de-DE"/>
        </w:rPr>
        <w:t>):</w:t>
      </w:r>
      <w:r w:rsidRPr="001740A5">
        <w:rPr>
          <w:rFonts w:ascii="Segoe UI" w:hAnsi="Segoe UI" w:cs="Segoe UI"/>
          <w:color w:val="014171"/>
          <w:lang w:val="de-DE"/>
        </w:rPr>
        <w:t xml:space="preserve"> </w:t>
      </w:r>
      <w:r w:rsidR="006C1285" w:rsidRPr="001740A5">
        <w:rPr>
          <w:rFonts w:ascii="Segoe UI" w:hAnsi="Segoe UI" w:cs="Segoe UI"/>
          <w:color w:val="014171"/>
          <w:lang w:val="de-DE"/>
        </w:rPr>
        <w:t xml:space="preserve">Formalisiert die Prozesse der Gesellschaft </w:t>
      </w:r>
      <w:r w:rsidR="000352C2" w:rsidRPr="001740A5">
        <w:rPr>
          <w:rFonts w:ascii="Segoe UI" w:hAnsi="Segoe UI" w:cs="Segoe UI"/>
          <w:color w:val="014171"/>
          <w:lang w:val="de-DE"/>
        </w:rPr>
        <w:t>hinsichtlich der</w:t>
      </w:r>
      <w:r w:rsidR="006C1285" w:rsidRPr="001740A5">
        <w:rPr>
          <w:rFonts w:ascii="Segoe UI" w:hAnsi="Segoe UI" w:cs="Segoe UI"/>
          <w:color w:val="014171"/>
          <w:lang w:val="de-DE"/>
        </w:rPr>
        <w:t xml:space="preserve"> Ver</w:t>
      </w:r>
      <w:r w:rsidR="000352C2" w:rsidRPr="001740A5">
        <w:rPr>
          <w:rFonts w:ascii="Segoe UI" w:hAnsi="Segoe UI" w:cs="Segoe UI"/>
          <w:color w:val="014171"/>
          <w:lang w:val="de-DE"/>
        </w:rPr>
        <w:t>waltung der</w:t>
      </w:r>
      <w:r w:rsidR="006C1285" w:rsidRPr="001740A5">
        <w:rPr>
          <w:rFonts w:ascii="Segoe UI" w:hAnsi="Segoe UI" w:cs="Segoe UI"/>
          <w:color w:val="014171"/>
          <w:lang w:val="de-DE"/>
        </w:rPr>
        <w:t xml:space="preserve"> Risikolimits</w:t>
      </w:r>
      <w:r w:rsidR="000352C2" w:rsidRPr="001740A5">
        <w:rPr>
          <w:rFonts w:ascii="Segoe UI" w:hAnsi="Segoe UI" w:cs="Segoe UI"/>
          <w:color w:val="014171"/>
          <w:lang w:val="de-DE"/>
        </w:rPr>
        <w:t xml:space="preserve"> zum Schutz des</w:t>
      </w:r>
      <w:r w:rsidR="006C1285" w:rsidRPr="001740A5">
        <w:rPr>
          <w:rFonts w:ascii="Segoe UI" w:hAnsi="Segoe UI" w:cs="Segoe UI"/>
          <w:color w:val="014171"/>
          <w:lang w:val="de-DE"/>
        </w:rPr>
        <w:t xml:space="preserve"> Risikoappetit</w:t>
      </w:r>
      <w:r w:rsidR="000352C2" w:rsidRPr="001740A5">
        <w:rPr>
          <w:rFonts w:ascii="Segoe UI" w:hAnsi="Segoe UI" w:cs="Segoe UI"/>
          <w:color w:val="014171"/>
          <w:lang w:val="de-DE"/>
        </w:rPr>
        <w:t>s, einschließlich der Zuständigkeit, Festlegung und Überprüfung der</w:t>
      </w:r>
      <w:r w:rsidR="006C1285" w:rsidRPr="001740A5">
        <w:rPr>
          <w:rFonts w:ascii="Segoe UI" w:hAnsi="Segoe UI" w:cs="Segoe UI"/>
          <w:color w:val="014171"/>
          <w:lang w:val="de-DE"/>
        </w:rPr>
        <w:t xml:space="preserve"> Risikolimits.</w:t>
      </w:r>
    </w:p>
    <w:p w14:paraId="7538E5B7" w14:textId="5C3DFF21" w:rsidR="00A64E0E" w:rsidRPr="0040745F" w:rsidRDefault="00A64E0E" w:rsidP="000352C2">
      <w:pPr>
        <w:pStyle w:val="ListParagraph"/>
        <w:numPr>
          <w:ilvl w:val="0"/>
          <w:numId w:val="34"/>
        </w:numPr>
        <w:spacing w:after="0"/>
        <w:jc w:val="both"/>
        <w:rPr>
          <w:rFonts w:ascii="Segoe UI" w:hAnsi="Segoe UI" w:cs="Segoe UI"/>
          <w:color w:val="014171"/>
          <w:lang w:val="de-DE"/>
        </w:rPr>
      </w:pPr>
      <w:r w:rsidRPr="001740A5">
        <w:rPr>
          <w:rFonts w:ascii="Segoe UI" w:hAnsi="Segoe UI" w:cs="Segoe UI"/>
          <w:b/>
          <w:color w:val="014171"/>
          <w:lang w:val="de-DE"/>
        </w:rPr>
        <w:t>Strategie</w:t>
      </w:r>
      <w:r w:rsidR="000352C2" w:rsidRPr="001740A5">
        <w:rPr>
          <w:rFonts w:ascii="Segoe UI" w:hAnsi="Segoe UI" w:cs="Segoe UI"/>
          <w:b/>
          <w:color w:val="014171"/>
          <w:lang w:val="de-DE"/>
        </w:rPr>
        <w:t>n</w:t>
      </w:r>
      <w:r w:rsidRPr="001740A5">
        <w:rPr>
          <w:rFonts w:ascii="Segoe UI" w:hAnsi="Segoe UI" w:cs="Segoe UI"/>
          <w:b/>
          <w:color w:val="014171"/>
          <w:lang w:val="de-DE"/>
        </w:rPr>
        <w:t xml:space="preserve"> f</w:t>
      </w:r>
      <w:r w:rsidR="000352C2" w:rsidRPr="001740A5">
        <w:rPr>
          <w:rFonts w:ascii="Segoe UI" w:hAnsi="Segoe UI" w:cs="Segoe UI"/>
          <w:b/>
          <w:color w:val="014171"/>
          <w:lang w:val="de-DE"/>
        </w:rPr>
        <w:t>ür</w:t>
      </w:r>
      <w:r w:rsidRPr="001740A5">
        <w:rPr>
          <w:rFonts w:ascii="Segoe UI" w:hAnsi="Segoe UI" w:cs="Segoe UI"/>
          <w:b/>
          <w:color w:val="014171"/>
          <w:lang w:val="de-DE"/>
        </w:rPr>
        <w:t xml:space="preserve"> </w:t>
      </w:r>
      <w:r w:rsidR="000352C2" w:rsidRPr="001740A5">
        <w:rPr>
          <w:rFonts w:ascii="Segoe UI" w:hAnsi="Segoe UI" w:cs="Segoe UI"/>
          <w:b/>
          <w:color w:val="014171"/>
          <w:lang w:val="de-DE"/>
        </w:rPr>
        <w:t>Wesentliche</w:t>
      </w:r>
      <w:r w:rsidR="000352C2" w:rsidRPr="0040745F">
        <w:rPr>
          <w:rFonts w:ascii="Segoe UI" w:hAnsi="Segoe UI" w:cs="Segoe UI"/>
          <w:b/>
          <w:color w:val="014171"/>
          <w:lang w:val="de-DE"/>
        </w:rPr>
        <w:t xml:space="preserve"> </w:t>
      </w:r>
      <w:r w:rsidRPr="0040745F">
        <w:rPr>
          <w:rFonts w:ascii="Segoe UI" w:hAnsi="Segoe UI" w:cs="Segoe UI"/>
          <w:b/>
          <w:color w:val="014171"/>
          <w:lang w:val="de-DE"/>
        </w:rPr>
        <w:t>Ris</w:t>
      </w:r>
      <w:r w:rsidR="000352C2" w:rsidRPr="0040745F">
        <w:rPr>
          <w:rFonts w:ascii="Segoe UI" w:hAnsi="Segoe UI" w:cs="Segoe UI"/>
          <w:b/>
          <w:color w:val="014171"/>
          <w:lang w:val="de-DE"/>
        </w:rPr>
        <w:t>i</w:t>
      </w:r>
      <w:r w:rsidRPr="0040745F">
        <w:rPr>
          <w:rFonts w:ascii="Segoe UI" w:hAnsi="Segoe UI" w:cs="Segoe UI"/>
          <w:b/>
          <w:color w:val="014171"/>
          <w:lang w:val="de-DE"/>
        </w:rPr>
        <w:t>k</w:t>
      </w:r>
      <w:r w:rsidR="000352C2" w:rsidRPr="0040745F">
        <w:rPr>
          <w:rFonts w:ascii="Segoe UI" w:hAnsi="Segoe UI" w:cs="Segoe UI"/>
          <w:b/>
          <w:color w:val="014171"/>
          <w:lang w:val="de-DE"/>
        </w:rPr>
        <w:t>en</w:t>
      </w:r>
      <w:r w:rsidRPr="0040745F">
        <w:rPr>
          <w:rFonts w:ascii="Segoe UI" w:hAnsi="Segoe UI" w:cs="Segoe UI"/>
          <w:b/>
          <w:color w:val="014171"/>
          <w:lang w:val="de-DE"/>
        </w:rPr>
        <w:t>:</w:t>
      </w:r>
      <w:r w:rsidRPr="0040745F">
        <w:rPr>
          <w:rFonts w:ascii="Segoe UI" w:hAnsi="Segoe UI" w:cs="Segoe UI"/>
          <w:color w:val="014171"/>
          <w:lang w:val="de-DE"/>
        </w:rPr>
        <w:t xml:space="preserve"> </w:t>
      </w:r>
      <w:r w:rsidR="000352C2" w:rsidRPr="0040745F">
        <w:rPr>
          <w:rFonts w:ascii="Segoe UI" w:hAnsi="Segoe UI" w:cs="Segoe UI"/>
          <w:color w:val="014171"/>
          <w:lang w:val="de-DE"/>
        </w:rPr>
        <w:t xml:space="preserve">Geschäfts- und Risikostrategien werden in einer Weise festgelegt, die es erlaubt, Risiken innerhalb des </w:t>
      </w:r>
      <w:r w:rsidR="001740A5">
        <w:rPr>
          <w:rFonts w:ascii="Segoe UI" w:hAnsi="Segoe UI" w:cs="Segoe UI"/>
          <w:color w:val="014171"/>
          <w:lang w:val="de-DE"/>
        </w:rPr>
        <w:t>genehmigten</w:t>
      </w:r>
      <w:r w:rsidR="000352C2" w:rsidRPr="0040745F">
        <w:rPr>
          <w:rFonts w:ascii="Segoe UI" w:hAnsi="Segoe UI" w:cs="Segoe UI"/>
          <w:color w:val="014171"/>
          <w:lang w:val="de-DE"/>
        </w:rPr>
        <w:t xml:space="preserve"> Risikoappetits der Gesellschaft zu begrenzen und zu steuern und auf die allgemeine Geschäftsstrategie abzustimmen; und</w:t>
      </w:r>
    </w:p>
    <w:p w14:paraId="22D1A03C" w14:textId="35DED722" w:rsidR="00A64E0E" w:rsidRPr="0040745F" w:rsidRDefault="00A64E0E" w:rsidP="0071138E">
      <w:pPr>
        <w:pStyle w:val="ListParagraph"/>
        <w:numPr>
          <w:ilvl w:val="0"/>
          <w:numId w:val="34"/>
        </w:numPr>
        <w:spacing w:after="0"/>
        <w:jc w:val="both"/>
        <w:rPr>
          <w:rFonts w:ascii="Segoe UI" w:hAnsi="Segoe UI" w:cs="Segoe UI"/>
          <w:color w:val="014171"/>
          <w:lang w:val="de-DE"/>
        </w:rPr>
      </w:pPr>
      <w:r w:rsidRPr="0040745F">
        <w:rPr>
          <w:rFonts w:ascii="Segoe UI" w:hAnsi="Segoe UI" w:cs="Segoe UI"/>
          <w:b/>
          <w:color w:val="014171"/>
          <w:lang w:val="de-DE"/>
        </w:rPr>
        <w:t>Stress Test</w:t>
      </w:r>
      <w:r w:rsidR="0071138E" w:rsidRPr="0040745F">
        <w:rPr>
          <w:rFonts w:ascii="Segoe UI" w:hAnsi="Segoe UI" w:cs="Segoe UI"/>
          <w:b/>
          <w:color w:val="014171"/>
          <w:lang w:val="de-DE"/>
        </w:rPr>
        <w:t>s</w:t>
      </w:r>
      <w:r w:rsidRPr="0040745F">
        <w:rPr>
          <w:rFonts w:ascii="Segoe UI" w:hAnsi="Segoe UI" w:cs="Segoe UI"/>
          <w:b/>
          <w:color w:val="014171"/>
          <w:lang w:val="de-DE"/>
        </w:rPr>
        <w:t xml:space="preserve"> </w:t>
      </w:r>
      <w:r w:rsidR="0071138E" w:rsidRPr="0040745F">
        <w:rPr>
          <w:rFonts w:ascii="Segoe UI" w:hAnsi="Segoe UI" w:cs="Segoe UI"/>
          <w:b/>
          <w:color w:val="014171"/>
          <w:lang w:val="de-DE"/>
        </w:rPr>
        <w:t>und Notfallplanung</w:t>
      </w:r>
      <w:r w:rsidRPr="0040745F">
        <w:rPr>
          <w:rFonts w:ascii="Segoe UI" w:hAnsi="Segoe UI" w:cs="Segoe UI"/>
          <w:b/>
          <w:color w:val="014171"/>
          <w:lang w:val="de-DE"/>
        </w:rPr>
        <w:t>:</w:t>
      </w:r>
      <w:r w:rsidRPr="0040745F">
        <w:rPr>
          <w:rFonts w:ascii="Segoe UI" w:hAnsi="Segoe UI" w:cs="Segoe UI"/>
          <w:color w:val="014171"/>
          <w:lang w:val="de-DE"/>
        </w:rPr>
        <w:t xml:space="preserve"> </w:t>
      </w:r>
      <w:r w:rsidR="0071138E" w:rsidRPr="0040745F">
        <w:rPr>
          <w:rFonts w:ascii="Segoe UI" w:hAnsi="Segoe UI" w:cs="Segoe UI"/>
          <w:color w:val="014171"/>
          <w:lang w:val="de-DE"/>
        </w:rPr>
        <w:t>Untersuchen, wie sich das Geschäftsmodell und die Risikopositionen der Gesellschaft unter einer Reihe von Stressszenarien verhalten, und berücksichtigen relevante Mitigierungsmaßnahmen hinsichtlich des Risikoappetits der Gesellschaft.</w:t>
      </w:r>
    </w:p>
    <w:p w14:paraId="3A0C00F6" w14:textId="77777777" w:rsidR="008A542A" w:rsidRPr="0040745F" w:rsidRDefault="008A542A" w:rsidP="00E27BB3">
      <w:pPr>
        <w:spacing w:after="0"/>
        <w:jc w:val="both"/>
        <w:rPr>
          <w:rFonts w:ascii="Segoe UI" w:hAnsi="Segoe UI" w:cs="Segoe UI"/>
          <w:color w:val="014171"/>
          <w:lang w:val="de-DE"/>
        </w:rPr>
      </w:pPr>
    </w:p>
    <w:p w14:paraId="5EFCCFEC" w14:textId="1EB60CB5" w:rsidR="00A64E0E" w:rsidRPr="0040745F" w:rsidRDefault="00910A68" w:rsidP="00E27BB3">
      <w:pPr>
        <w:pStyle w:val="Heading2"/>
        <w:rPr>
          <w:b w:val="0"/>
          <w:bCs w:val="0"/>
          <w:lang w:val="de-DE"/>
        </w:rPr>
      </w:pPr>
      <w:bookmarkStart w:id="35" w:name="_Toc123138011"/>
      <w:r w:rsidRPr="0040745F">
        <w:rPr>
          <w:lang w:val="de-DE"/>
        </w:rPr>
        <w:t xml:space="preserve">Modell der </w:t>
      </w:r>
      <w:r w:rsidR="00940512" w:rsidRPr="0040745F">
        <w:rPr>
          <w:lang w:val="de-DE"/>
        </w:rPr>
        <w:t>d</w:t>
      </w:r>
      <w:r w:rsidR="0071138E" w:rsidRPr="0040745F">
        <w:rPr>
          <w:lang w:val="de-DE"/>
        </w:rPr>
        <w:t xml:space="preserve">rei </w:t>
      </w:r>
      <w:r w:rsidRPr="0040745F">
        <w:rPr>
          <w:lang w:val="de-DE"/>
        </w:rPr>
        <w:t>Verteidigung</w:t>
      </w:r>
      <w:r w:rsidR="0040745F">
        <w:rPr>
          <w:lang w:val="de-DE"/>
        </w:rPr>
        <w:t>s</w:t>
      </w:r>
      <w:r w:rsidR="00940512" w:rsidRPr="0040745F">
        <w:rPr>
          <w:lang w:val="de-DE"/>
        </w:rPr>
        <w:t>linien</w:t>
      </w:r>
      <w:bookmarkEnd w:id="35"/>
    </w:p>
    <w:p w14:paraId="7F1C77E5" w14:textId="160E1AE7" w:rsidR="00D62109" w:rsidRPr="0040745F" w:rsidRDefault="00A64E0E" w:rsidP="00E27BB3">
      <w:pPr>
        <w:spacing w:after="0"/>
        <w:jc w:val="both"/>
        <w:rPr>
          <w:rFonts w:ascii="Segoe UI" w:hAnsi="Segoe UI" w:cs="Segoe UI"/>
          <w:color w:val="014171"/>
          <w:lang w:val="de-DE"/>
        </w:rPr>
      </w:pPr>
      <w:r w:rsidRPr="0040745F">
        <w:rPr>
          <w:rFonts w:ascii="Segoe UI" w:hAnsi="Segoe UI" w:cs="Segoe UI"/>
          <w:color w:val="014171"/>
          <w:lang w:val="de-DE"/>
        </w:rPr>
        <w:t xml:space="preserve">DCMDs RMF </w:t>
      </w:r>
      <w:r w:rsidR="0071138E" w:rsidRPr="0040745F">
        <w:rPr>
          <w:rFonts w:ascii="Segoe UI" w:hAnsi="Segoe UI" w:cs="Segoe UI"/>
          <w:color w:val="014171"/>
          <w:lang w:val="de-DE"/>
        </w:rPr>
        <w:t xml:space="preserve">basiert auf einem Modell der drei </w:t>
      </w:r>
      <w:r w:rsidR="00910A68" w:rsidRPr="0040745F">
        <w:rPr>
          <w:rFonts w:ascii="Segoe UI" w:hAnsi="Segoe UI" w:cs="Segoe UI"/>
          <w:color w:val="014171"/>
          <w:lang w:val="de-DE"/>
        </w:rPr>
        <w:t>Verteidigungslinien</w:t>
      </w:r>
      <w:r w:rsidR="008F587B">
        <w:rPr>
          <w:rFonts w:ascii="Segoe UI" w:hAnsi="Segoe UI" w:cs="Segoe UI"/>
          <w:color w:val="014171"/>
          <w:lang w:val="de-DE"/>
        </w:rPr>
        <w:t xml:space="preserve"> („VL“)</w:t>
      </w:r>
      <w:r w:rsidRPr="0098397A">
        <w:rPr>
          <w:rFonts w:ascii="Segoe UI" w:hAnsi="Segoe UI" w:cs="Segoe UI"/>
          <w:color w:val="014171"/>
          <w:lang w:val="de-DE"/>
        </w:rPr>
        <w:t xml:space="preserve">. </w:t>
      </w:r>
      <w:r w:rsidR="00D62109" w:rsidRPr="0098397A">
        <w:rPr>
          <w:rFonts w:ascii="Segoe UI" w:hAnsi="Segoe UI" w:cs="Segoe UI"/>
          <w:color w:val="014171"/>
          <w:lang w:val="de-DE"/>
        </w:rPr>
        <w:t xml:space="preserve">Die Umsetzung der drei </w:t>
      </w:r>
      <w:r w:rsidR="00910A68" w:rsidRPr="0098397A">
        <w:rPr>
          <w:rFonts w:ascii="Segoe UI" w:hAnsi="Segoe UI" w:cs="Segoe UI"/>
          <w:color w:val="014171"/>
          <w:lang w:val="de-DE"/>
        </w:rPr>
        <w:t>Verteidigungslinien</w:t>
      </w:r>
      <w:r w:rsidR="00D62109" w:rsidRPr="0098397A">
        <w:rPr>
          <w:rFonts w:ascii="Segoe UI" w:hAnsi="Segoe UI" w:cs="Segoe UI"/>
          <w:color w:val="014171"/>
          <w:lang w:val="de-DE"/>
        </w:rPr>
        <w:t xml:space="preserve"> wird durch die allgemeinen </w:t>
      </w:r>
      <w:r w:rsidR="001740A5" w:rsidRPr="0098397A">
        <w:rPr>
          <w:rFonts w:ascii="Segoe UI" w:hAnsi="Segoe UI" w:cs="Segoe UI"/>
          <w:color w:val="014171"/>
          <w:lang w:val="de-DE"/>
        </w:rPr>
        <w:t>Unternehmensr</w:t>
      </w:r>
      <w:r w:rsidR="00D62109" w:rsidRPr="0098397A">
        <w:rPr>
          <w:rFonts w:ascii="Segoe UI" w:hAnsi="Segoe UI" w:cs="Segoe UI"/>
          <w:color w:val="014171"/>
          <w:lang w:val="de-DE"/>
        </w:rPr>
        <w:t>egelungen der Gesellschaft unterstützt, die eine klare Organisationsstruktur und Zuteilung von Verantwortlichkeiten für das Risikomanagement festlegen.</w:t>
      </w:r>
    </w:p>
    <w:p w14:paraId="397BF0EC" w14:textId="77777777" w:rsidR="008A542A" w:rsidRPr="0040745F" w:rsidRDefault="008A542A" w:rsidP="00E27BB3">
      <w:pPr>
        <w:spacing w:after="0"/>
        <w:jc w:val="both"/>
        <w:rPr>
          <w:rFonts w:ascii="Segoe UI" w:hAnsi="Segoe UI" w:cs="Segoe UI"/>
          <w:color w:val="014171"/>
          <w:lang w:val="de-DE"/>
        </w:rPr>
      </w:pPr>
    </w:p>
    <w:p w14:paraId="511C18CD" w14:textId="1D77DA78" w:rsidR="00A64E0E" w:rsidRDefault="00D62109" w:rsidP="00910A68">
      <w:pPr>
        <w:pStyle w:val="ListParagraph"/>
        <w:numPr>
          <w:ilvl w:val="0"/>
          <w:numId w:val="35"/>
        </w:numPr>
        <w:spacing w:after="0"/>
        <w:jc w:val="both"/>
        <w:rPr>
          <w:rFonts w:ascii="Segoe UI" w:hAnsi="Segoe UI" w:cs="Segoe UI"/>
          <w:color w:val="014171"/>
          <w:lang w:val="de-DE"/>
        </w:rPr>
      </w:pPr>
      <w:r w:rsidRPr="0040745F">
        <w:rPr>
          <w:rFonts w:ascii="Segoe UI" w:hAnsi="Segoe UI" w:cs="Segoe UI"/>
          <w:b/>
          <w:color w:val="014171"/>
          <w:lang w:val="de-DE"/>
        </w:rPr>
        <w:t xml:space="preserve">Erste </w:t>
      </w:r>
      <w:r w:rsidR="00910A68" w:rsidRPr="0040745F">
        <w:rPr>
          <w:rFonts w:ascii="Segoe UI" w:hAnsi="Segoe UI" w:cs="Segoe UI"/>
          <w:b/>
          <w:color w:val="014171"/>
          <w:lang w:val="de-DE"/>
        </w:rPr>
        <w:t>Verteidigungslinie</w:t>
      </w:r>
      <w:r w:rsidR="008A542A" w:rsidRPr="0040745F">
        <w:rPr>
          <w:rFonts w:ascii="Segoe UI" w:hAnsi="Segoe UI" w:cs="Segoe UI"/>
          <w:b/>
          <w:color w:val="014171"/>
          <w:lang w:val="de-DE"/>
        </w:rPr>
        <w:t>:</w:t>
      </w:r>
      <w:r w:rsidR="008A542A" w:rsidRPr="0040745F">
        <w:rPr>
          <w:rFonts w:ascii="Segoe UI" w:hAnsi="Segoe UI" w:cs="Segoe UI"/>
          <w:color w:val="014171"/>
          <w:lang w:val="de-DE"/>
        </w:rPr>
        <w:t xml:space="preserve"> </w:t>
      </w:r>
      <w:r w:rsidR="00910A68" w:rsidRPr="0040745F">
        <w:rPr>
          <w:rFonts w:ascii="Segoe UI" w:hAnsi="Segoe UI" w:cs="Segoe UI"/>
          <w:color w:val="014171"/>
          <w:lang w:val="de-DE"/>
        </w:rPr>
        <w:t>Hiermit</w:t>
      </w:r>
      <w:r w:rsidRPr="0040745F">
        <w:rPr>
          <w:rFonts w:ascii="Segoe UI" w:hAnsi="Segoe UI" w:cs="Segoe UI"/>
          <w:color w:val="014171"/>
          <w:lang w:val="de-DE"/>
        </w:rPr>
        <w:t xml:space="preserve"> </w:t>
      </w:r>
      <w:r w:rsidR="00910A68" w:rsidRPr="0040745F">
        <w:rPr>
          <w:rFonts w:ascii="Segoe UI" w:hAnsi="Segoe UI" w:cs="Segoe UI"/>
          <w:color w:val="014171"/>
          <w:lang w:val="de-DE"/>
        </w:rPr>
        <w:t>werden</w:t>
      </w:r>
      <w:r w:rsidRPr="0040745F">
        <w:rPr>
          <w:rFonts w:ascii="Segoe UI" w:hAnsi="Segoe UI" w:cs="Segoe UI"/>
          <w:color w:val="014171"/>
          <w:lang w:val="de-DE"/>
        </w:rPr>
        <w:t xml:space="preserve"> jene Rollen in der Gesellschaft</w:t>
      </w:r>
      <w:r w:rsidR="00910A68" w:rsidRPr="0040745F">
        <w:rPr>
          <w:rFonts w:ascii="Segoe UI" w:hAnsi="Segoe UI" w:cs="Segoe UI"/>
          <w:color w:val="014171"/>
          <w:lang w:val="de-DE"/>
        </w:rPr>
        <w:t xml:space="preserve"> beschrieben</w:t>
      </w:r>
      <w:r w:rsidRPr="0040745F">
        <w:rPr>
          <w:rFonts w:ascii="Segoe UI" w:hAnsi="Segoe UI" w:cs="Segoe UI"/>
          <w:color w:val="014171"/>
          <w:lang w:val="de-DE"/>
        </w:rPr>
        <w:t>, deren Aktivitäten finanzielle oder nichtfinanzielle Risiken erzeugen. Dies beschreibt die Kontrollen, über die die Gesellschaft verfügt, um das Tagesgeschäft abzuwickeln. Die Kontrollen befinden sich im Besitz der „vordersten“ Geschäftsbereiche und Kontrollfunktionen.</w:t>
      </w:r>
    </w:p>
    <w:p w14:paraId="2E9FEDFC" w14:textId="77777777" w:rsidR="00B20402" w:rsidRPr="0040745F" w:rsidRDefault="00B20402" w:rsidP="00D815A9">
      <w:pPr>
        <w:pStyle w:val="ListParagraph"/>
        <w:spacing w:after="0"/>
        <w:jc w:val="both"/>
        <w:rPr>
          <w:rFonts w:ascii="Segoe UI" w:hAnsi="Segoe UI" w:cs="Segoe UI"/>
          <w:color w:val="014171"/>
          <w:lang w:val="de-DE"/>
        </w:rPr>
      </w:pPr>
    </w:p>
    <w:p w14:paraId="3DF05E51" w14:textId="5E2F63D9" w:rsidR="00A64E0E" w:rsidRPr="0040745F" w:rsidRDefault="00E87265" w:rsidP="00910A68">
      <w:pPr>
        <w:pStyle w:val="ListParagraph"/>
        <w:numPr>
          <w:ilvl w:val="0"/>
          <w:numId w:val="35"/>
        </w:numPr>
        <w:spacing w:after="0"/>
        <w:jc w:val="both"/>
        <w:rPr>
          <w:rFonts w:ascii="Segoe UI" w:hAnsi="Segoe UI" w:cs="Segoe UI"/>
          <w:color w:val="014171"/>
          <w:lang w:val="de-DE"/>
        </w:rPr>
      </w:pPr>
      <w:r w:rsidRPr="0040745F">
        <w:rPr>
          <w:rFonts w:ascii="Segoe UI" w:hAnsi="Segoe UI" w:cs="Segoe UI"/>
          <w:b/>
          <w:color w:val="014171"/>
          <w:lang w:val="de-DE"/>
        </w:rPr>
        <w:lastRenderedPageBreak/>
        <w:t xml:space="preserve">Zweite </w:t>
      </w:r>
      <w:r w:rsidR="00910A68" w:rsidRPr="0040745F">
        <w:rPr>
          <w:rFonts w:ascii="Segoe UI" w:hAnsi="Segoe UI" w:cs="Segoe UI"/>
          <w:b/>
          <w:color w:val="014171"/>
          <w:lang w:val="de-DE"/>
        </w:rPr>
        <w:t>Verteidigungslinie</w:t>
      </w:r>
      <w:r w:rsidR="008A542A" w:rsidRPr="0040745F">
        <w:rPr>
          <w:rFonts w:ascii="Segoe UI" w:hAnsi="Segoe UI" w:cs="Segoe UI"/>
          <w:b/>
          <w:color w:val="014171"/>
          <w:lang w:val="de-DE"/>
        </w:rPr>
        <w:t>:</w:t>
      </w:r>
      <w:r w:rsidR="008A542A" w:rsidRPr="0040745F">
        <w:rPr>
          <w:rFonts w:ascii="Segoe UI" w:hAnsi="Segoe UI" w:cs="Segoe UI"/>
          <w:color w:val="014171"/>
          <w:lang w:val="de-DE"/>
        </w:rPr>
        <w:t xml:space="preserve"> </w:t>
      </w:r>
      <w:r w:rsidR="00910A68" w:rsidRPr="0040745F">
        <w:rPr>
          <w:rFonts w:ascii="Segoe UI" w:hAnsi="Segoe UI" w:cs="Segoe UI"/>
          <w:color w:val="014171"/>
          <w:lang w:val="de-DE"/>
        </w:rPr>
        <w:t>Hiermit</w:t>
      </w:r>
      <w:r w:rsidRPr="0040745F">
        <w:rPr>
          <w:rFonts w:ascii="Segoe UI" w:hAnsi="Segoe UI" w:cs="Segoe UI"/>
          <w:color w:val="014171"/>
          <w:lang w:val="de-DE"/>
        </w:rPr>
        <w:t xml:space="preserve"> werden die Gremien und Funktionen </w:t>
      </w:r>
      <w:r w:rsidR="00910A68" w:rsidRPr="0040745F">
        <w:rPr>
          <w:rFonts w:ascii="Segoe UI" w:hAnsi="Segoe UI" w:cs="Segoe UI"/>
          <w:color w:val="014171"/>
          <w:lang w:val="de-DE"/>
        </w:rPr>
        <w:t xml:space="preserve">beschrieben </w:t>
      </w:r>
      <w:r w:rsidRPr="0040745F">
        <w:rPr>
          <w:rFonts w:ascii="Segoe UI" w:hAnsi="Segoe UI" w:cs="Segoe UI"/>
          <w:color w:val="014171"/>
          <w:lang w:val="de-DE"/>
        </w:rPr>
        <w:t>(einschließlich der Risikomanagement-, Compliance-, Aufsichts- und anderen Risikokontrollfunktionen, die nach</w:t>
      </w:r>
      <w:r w:rsidR="00910A68" w:rsidRPr="0040745F">
        <w:rPr>
          <w:rFonts w:ascii="Segoe UI" w:hAnsi="Segoe UI" w:cs="Segoe UI"/>
          <w:color w:val="014171"/>
          <w:lang w:val="de-DE"/>
        </w:rPr>
        <w:t xml:space="preserve"> deutschen Vorschriften oder</w:t>
      </w:r>
      <w:r w:rsidRPr="0040745F">
        <w:rPr>
          <w:rFonts w:ascii="Segoe UI" w:hAnsi="Segoe UI" w:cs="Segoe UI"/>
          <w:color w:val="014171"/>
          <w:lang w:val="de-DE"/>
        </w:rPr>
        <w:t xml:space="preserve"> Management</w:t>
      </w:r>
      <w:r w:rsidR="00910A68" w:rsidRPr="0040745F">
        <w:rPr>
          <w:rFonts w:ascii="Segoe UI" w:hAnsi="Segoe UI" w:cs="Segoe UI"/>
          <w:color w:val="014171"/>
          <w:lang w:val="de-DE"/>
        </w:rPr>
        <w:t>vorgaben</w:t>
      </w:r>
      <w:r w:rsidRPr="0040745F">
        <w:rPr>
          <w:rFonts w:ascii="Segoe UI" w:hAnsi="Segoe UI" w:cs="Segoe UI"/>
          <w:color w:val="014171"/>
          <w:lang w:val="de-DE"/>
        </w:rPr>
        <w:t xml:space="preserve"> erforderlich sind), die </w:t>
      </w:r>
      <w:r w:rsidR="00910A68" w:rsidRPr="0040745F">
        <w:rPr>
          <w:rFonts w:ascii="Segoe UI" w:hAnsi="Segoe UI" w:cs="Segoe UI"/>
          <w:color w:val="014171"/>
          <w:lang w:val="de-DE"/>
        </w:rPr>
        <w:t>bestehen</w:t>
      </w:r>
      <w:r w:rsidRPr="0040745F">
        <w:rPr>
          <w:rFonts w:ascii="Segoe UI" w:hAnsi="Segoe UI" w:cs="Segoe UI"/>
          <w:color w:val="014171"/>
          <w:lang w:val="de-DE"/>
        </w:rPr>
        <w:t>, um den effektiven Betrieb des internen Kontrollsystems und dessen Überwachung sicherzustellen. Die Ausschüsse und Fun</w:t>
      </w:r>
      <w:r w:rsidR="00910A68" w:rsidRPr="0040745F">
        <w:rPr>
          <w:rFonts w:ascii="Segoe UI" w:hAnsi="Segoe UI" w:cs="Segoe UI"/>
          <w:color w:val="014171"/>
          <w:lang w:val="de-DE"/>
        </w:rPr>
        <w:t>ktionen berichten unabhängig von der</w:t>
      </w:r>
      <w:r w:rsidRPr="0040745F">
        <w:rPr>
          <w:rFonts w:ascii="Segoe UI" w:hAnsi="Segoe UI" w:cs="Segoe UI"/>
          <w:color w:val="014171"/>
          <w:lang w:val="de-DE"/>
        </w:rPr>
        <w:t xml:space="preserve"> </w:t>
      </w:r>
      <w:r w:rsidR="007D44A8">
        <w:rPr>
          <w:rFonts w:ascii="Segoe UI" w:hAnsi="Segoe UI" w:cs="Segoe UI"/>
          <w:color w:val="014171"/>
          <w:lang w:val="de-DE"/>
        </w:rPr>
        <w:t>ersten VL</w:t>
      </w:r>
      <w:r w:rsidR="007D44A8" w:rsidRPr="0040745F">
        <w:rPr>
          <w:rFonts w:ascii="Segoe UI" w:hAnsi="Segoe UI" w:cs="Segoe UI"/>
          <w:color w:val="014171"/>
          <w:lang w:val="de-DE"/>
        </w:rPr>
        <w:t xml:space="preserve"> </w:t>
      </w:r>
      <w:r w:rsidRPr="0040745F">
        <w:rPr>
          <w:rFonts w:ascii="Segoe UI" w:hAnsi="Segoe UI" w:cs="Segoe UI"/>
          <w:color w:val="014171"/>
          <w:lang w:val="de-DE"/>
        </w:rPr>
        <w:t xml:space="preserve">und überprüfen das Risikomanagement </w:t>
      </w:r>
      <w:r w:rsidR="00910A68" w:rsidRPr="0040745F">
        <w:rPr>
          <w:rFonts w:ascii="Segoe UI" w:hAnsi="Segoe UI" w:cs="Segoe UI"/>
          <w:color w:val="014171"/>
          <w:lang w:val="de-DE"/>
        </w:rPr>
        <w:t>hinsichtlich des</w:t>
      </w:r>
      <w:r w:rsidRPr="0040745F">
        <w:rPr>
          <w:rFonts w:ascii="Segoe UI" w:hAnsi="Segoe UI" w:cs="Segoe UI"/>
          <w:color w:val="014171"/>
          <w:lang w:val="de-DE"/>
        </w:rPr>
        <w:t xml:space="preserve"> Risiko</w:t>
      </w:r>
      <w:r w:rsidR="00910A68" w:rsidRPr="0040745F">
        <w:rPr>
          <w:rFonts w:ascii="Segoe UI" w:hAnsi="Segoe UI" w:cs="Segoe UI"/>
          <w:color w:val="014171"/>
          <w:lang w:val="de-DE"/>
        </w:rPr>
        <w:t>appetits</w:t>
      </w:r>
      <w:r w:rsidRPr="0040745F">
        <w:rPr>
          <w:rFonts w:ascii="Segoe UI" w:hAnsi="Segoe UI" w:cs="Segoe UI"/>
          <w:color w:val="014171"/>
          <w:lang w:val="de-DE"/>
        </w:rPr>
        <w:t xml:space="preserve"> der </w:t>
      </w:r>
      <w:r w:rsidR="00910A68" w:rsidRPr="0040745F">
        <w:rPr>
          <w:rFonts w:ascii="Segoe UI" w:hAnsi="Segoe UI" w:cs="Segoe UI"/>
          <w:color w:val="014171"/>
          <w:lang w:val="de-DE"/>
        </w:rPr>
        <w:t>Gesellschaft</w:t>
      </w:r>
      <w:r w:rsidRPr="0040745F">
        <w:rPr>
          <w:rFonts w:ascii="Segoe UI" w:hAnsi="Segoe UI" w:cs="Segoe UI"/>
          <w:color w:val="014171"/>
          <w:lang w:val="de-DE"/>
        </w:rPr>
        <w:t>.</w:t>
      </w:r>
    </w:p>
    <w:p w14:paraId="495F2E34" w14:textId="5639BE4B" w:rsidR="00A64E0E" w:rsidRPr="003D2B12" w:rsidRDefault="00910A68" w:rsidP="00910A68">
      <w:pPr>
        <w:pStyle w:val="ListParagraph"/>
        <w:numPr>
          <w:ilvl w:val="0"/>
          <w:numId w:val="35"/>
        </w:numPr>
        <w:spacing w:after="0"/>
        <w:jc w:val="both"/>
        <w:rPr>
          <w:rFonts w:ascii="Segoe UI" w:hAnsi="Segoe UI" w:cs="Segoe UI"/>
          <w:color w:val="014171"/>
          <w:lang w:val="de-DE"/>
        </w:rPr>
      </w:pPr>
      <w:r w:rsidRPr="0040745F">
        <w:rPr>
          <w:rFonts w:ascii="Segoe UI" w:hAnsi="Segoe UI" w:cs="Segoe UI"/>
          <w:b/>
          <w:color w:val="014171"/>
          <w:lang w:val="de-DE"/>
        </w:rPr>
        <w:t>Dritte Verteidigungslinie</w:t>
      </w:r>
      <w:r w:rsidR="008A542A" w:rsidRPr="0040745F">
        <w:rPr>
          <w:rFonts w:ascii="Segoe UI" w:hAnsi="Segoe UI" w:cs="Segoe UI"/>
          <w:b/>
          <w:color w:val="014171"/>
          <w:lang w:val="de-DE"/>
        </w:rPr>
        <w:t>:</w:t>
      </w:r>
      <w:r w:rsidR="008A542A" w:rsidRPr="0040745F">
        <w:rPr>
          <w:rFonts w:ascii="Segoe UI" w:hAnsi="Segoe UI" w:cs="Segoe UI"/>
          <w:color w:val="014171"/>
          <w:lang w:val="de-DE"/>
        </w:rPr>
        <w:t xml:space="preserve"> </w:t>
      </w:r>
      <w:r w:rsidRPr="0040745F">
        <w:rPr>
          <w:rFonts w:ascii="Segoe UI" w:hAnsi="Segoe UI" w:cs="Segoe UI"/>
          <w:color w:val="014171"/>
          <w:lang w:val="de-DE"/>
        </w:rPr>
        <w:t xml:space="preserve">Hiermit wird die Interne Revisionsfunktion beschrieben, die dafür verantwortlich ist, eine unabhängige und objektive Prüfung der Angemessenheit der Gestaltung </w:t>
      </w:r>
      <w:r w:rsidRPr="003D2B12">
        <w:rPr>
          <w:rFonts w:ascii="Segoe UI" w:hAnsi="Segoe UI" w:cs="Segoe UI"/>
          <w:color w:val="014171"/>
          <w:lang w:val="de-DE"/>
        </w:rPr>
        <w:t>und Wirksamkeit der internen Kontroll- und Risikomanagementsysteme durchzuführen.</w:t>
      </w:r>
    </w:p>
    <w:p w14:paraId="1DB69E44" w14:textId="77777777" w:rsidR="001201B9" w:rsidRPr="003D2B12" w:rsidRDefault="001201B9" w:rsidP="00E27BB3">
      <w:pPr>
        <w:spacing w:after="0"/>
        <w:jc w:val="both"/>
        <w:rPr>
          <w:rFonts w:ascii="Segoe UI" w:hAnsi="Segoe UI" w:cs="Segoe UI"/>
          <w:color w:val="014171"/>
          <w:lang w:val="de-DE"/>
        </w:rPr>
      </w:pPr>
    </w:p>
    <w:p w14:paraId="1EA1FFA4" w14:textId="698F1099" w:rsidR="00910A68" w:rsidRPr="0040745F" w:rsidRDefault="00910A68" w:rsidP="00E27BB3">
      <w:pPr>
        <w:spacing w:after="0"/>
        <w:jc w:val="both"/>
        <w:rPr>
          <w:rFonts w:ascii="Segoe UI" w:hAnsi="Segoe UI" w:cs="Segoe UI"/>
          <w:color w:val="014171"/>
          <w:lang w:val="de-DE"/>
        </w:rPr>
      </w:pPr>
      <w:r w:rsidRPr="003D2B12">
        <w:rPr>
          <w:rFonts w:ascii="Segoe UI" w:hAnsi="Segoe UI" w:cs="Segoe UI"/>
          <w:color w:val="014171"/>
          <w:lang w:val="de-DE"/>
        </w:rPr>
        <w:t xml:space="preserve">Das Modell der drei Verteidigungslinien gewährleistet eine klare Abgrenzung der Verantwortlichkeiten zwischen dem Tagesgeschäft, der unabhängigen Überwachung und </w:t>
      </w:r>
      <w:r w:rsidR="00940512" w:rsidRPr="003D2B12">
        <w:rPr>
          <w:rFonts w:ascii="Segoe UI" w:hAnsi="Segoe UI" w:cs="Segoe UI"/>
          <w:color w:val="014171"/>
          <w:lang w:val="de-DE"/>
        </w:rPr>
        <w:t>Kontrolle</w:t>
      </w:r>
      <w:r w:rsidRPr="003D2B12">
        <w:rPr>
          <w:rFonts w:ascii="Segoe UI" w:hAnsi="Segoe UI" w:cs="Segoe UI"/>
          <w:color w:val="014171"/>
          <w:lang w:val="de-DE"/>
        </w:rPr>
        <w:t xml:space="preserve"> s</w:t>
      </w:r>
      <w:r w:rsidR="00940512" w:rsidRPr="003D2B12">
        <w:rPr>
          <w:rFonts w:ascii="Segoe UI" w:hAnsi="Segoe UI" w:cs="Segoe UI"/>
          <w:color w:val="014171"/>
          <w:lang w:val="de-DE"/>
        </w:rPr>
        <w:t>owie der Sicherheit des RMF</w:t>
      </w:r>
      <w:r w:rsidRPr="003D2B12">
        <w:rPr>
          <w:rFonts w:ascii="Segoe UI" w:hAnsi="Segoe UI" w:cs="Segoe UI"/>
          <w:color w:val="014171"/>
          <w:lang w:val="de-DE"/>
        </w:rPr>
        <w:t>.</w:t>
      </w:r>
    </w:p>
    <w:p w14:paraId="657EA524" w14:textId="77777777" w:rsidR="0024004B" w:rsidRPr="0040745F" w:rsidRDefault="0024004B" w:rsidP="00E27BB3">
      <w:pPr>
        <w:spacing w:after="0"/>
        <w:jc w:val="both"/>
        <w:rPr>
          <w:rFonts w:ascii="Segoe UI" w:hAnsi="Segoe UI" w:cs="Segoe UI"/>
          <w:color w:val="014171"/>
          <w:lang w:val="de-DE"/>
        </w:rPr>
      </w:pPr>
    </w:p>
    <w:p w14:paraId="31D25A1F" w14:textId="63B75899" w:rsidR="00AD25CA" w:rsidRPr="0040745F" w:rsidRDefault="00AD25CA" w:rsidP="00E27BB3">
      <w:pPr>
        <w:spacing w:after="0"/>
        <w:jc w:val="both"/>
        <w:rPr>
          <w:rFonts w:ascii="Segoe UI" w:hAnsi="Segoe UI" w:cs="Segoe UI"/>
          <w:color w:val="014171"/>
          <w:lang w:val="de-DE"/>
        </w:rPr>
      </w:pPr>
      <w:r w:rsidRPr="0040745F">
        <w:rPr>
          <w:rFonts w:ascii="Segoe UI" w:hAnsi="Segoe UI" w:cs="Segoe UI"/>
          <w:color w:val="014171"/>
          <w:lang w:val="de-DE"/>
        </w:rPr>
        <w:t>Um die effektive tägliche Überwachung und Kon</w:t>
      </w:r>
      <w:r w:rsidR="00776A82" w:rsidRPr="0040745F">
        <w:rPr>
          <w:rFonts w:ascii="Segoe UI" w:hAnsi="Segoe UI" w:cs="Segoe UI"/>
          <w:color w:val="014171"/>
          <w:lang w:val="de-DE"/>
        </w:rPr>
        <w:t xml:space="preserve">trolle von Risiken innerhalb </w:t>
      </w:r>
      <w:r w:rsidR="003D2B12">
        <w:rPr>
          <w:rFonts w:ascii="Segoe UI" w:hAnsi="Segoe UI" w:cs="Segoe UI"/>
          <w:color w:val="014171"/>
          <w:lang w:val="de-DE"/>
        </w:rPr>
        <w:t>von</w:t>
      </w:r>
      <w:r w:rsidRPr="0040745F">
        <w:rPr>
          <w:rFonts w:ascii="Segoe UI" w:hAnsi="Segoe UI" w:cs="Segoe UI"/>
          <w:color w:val="014171"/>
          <w:lang w:val="de-DE"/>
        </w:rPr>
        <w:t xml:space="preserve"> DCMD sicherzustellen, hat die </w:t>
      </w:r>
      <w:r w:rsidR="00776A82" w:rsidRPr="0040745F">
        <w:rPr>
          <w:rFonts w:ascii="Segoe UI" w:hAnsi="Segoe UI" w:cs="Segoe UI"/>
          <w:color w:val="014171"/>
          <w:lang w:val="de-DE"/>
        </w:rPr>
        <w:t>Gesellschaft</w:t>
      </w:r>
      <w:r w:rsidRPr="0040745F">
        <w:rPr>
          <w:rFonts w:ascii="Segoe UI" w:hAnsi="Segoe UI" w:cs="Segoe UI"/>
          <w:color w:val="014171"/>
          <w:lang w:val="de-DE"/>
        </w:rPr>
        <w:t xml:space="preserve"> schriftliche Richtlinien, Verfahren und Prozesse zur Identifizierung, Bewertung, Behandlung, Überwachung und Kommunikation von Risiken festgelegt</w:t>
      </w:r>
      <w:r w:rsidR="003D2B12">
        <w:rPr>
          <w:rFonts w:ascii="Segoe UI" w:hAnsi="Segoe UI" w:cs="Segoe UI"/>
          <w:color w:val="014171"/>
          <w:lang w:val="de-DE"/>
        </w:rPr>
        <w:t>. D</w:t>
      </w:r>
      <w:r w:rsidRPr="0040745F">
        <w:rPr>
          <w:rFonts w:ascii="Segoe UI" w:hAnsi="Segoe UI" w:cs="Segoe UI"/>
          <w:color w:val="014171"/>
          <w:lang w:val="de-DE"/>
        </w:rPr>
        <w:t>ie</w:t>
      </w:r>
      <w:r w:rsidR="003D2B12">
        <w:rPr>
          <w:rFonts w:ascii="Segoe UI" w:hAnsi="Segoe UI" w:cs="Segoe UI"/>
          <w:color w:val="014171"/>
          <w:lang w:val="de-DE"/>
        </w:rPr>
        <w:t>se stellen sicher</w:t>
      </w:r>
      <w:r w:rsidRPr="0040745F">
        <w:rPr>
          <w:rFonts w:ascii="Segoe UI" w:hAnsi="Segoe UI" w:cs="Segoe UI"/>
          <w:color w:val="014171"/>
          <w:lang w:val="de-DE"/>
        </w:rPr>
        <w:t xml:space="preserve">, dass wesentliche Risiken und damit verbundene </w:t>
      </w:r>
      <w:r w:rsidR="00776A82" w:rsidRPr="0040745F">
        <w:rPr>
          <w:rFonts w:ascii="Segoe UI" w:hAnsi="Segoe UI" w:cs="Segoe UI"/>
          <w:color w:val="014171"/>
          <w:lang w:val="de-DE"/>
        </w:rPr>
        <w:t xml:space="preserve">Risikokonzentrationen vermieden, </w:t>
      </w:r>
      <w:r w:rsidRPr="0040745F">
        <w:rPr>
          <w:rFonts w:ascii="Segoe UI" w:hAnsi="Segoe UI" w:cs="Segoe UI"/>
          <w:color w:val="014171"/>
          <w:lang w:val="de-DE"/>
        </w:rPr>
        <w:t>identifiziert, bewertet, behandelt, überwacht und kommuniziert</w:t>
      </w:r>
      <w:r w:rsidR="00776A82" w:rsidRPr="0040745F">
        <w:rPr>
          <w:rFonts w:ascii="Segoe UI" w:hAnsi="Segoe UI" w:cs="Segoe UI"/>
          <w:color w:val="014171"/>
          <w:lang w:val="de-DE"/>
        </w:rPr>
        <w:t xml:space="preserve"> werden können</w:t>
      </w:r>
      <w:r w:rsidRPr="0040745F">
        <w:rPr>
          <w:rFonts w:ascii="Segoe UI" w:hAnsi="Segoe UI" w:cs="Segoe UI"/>
          <w:color w:val="014171"/>
          <w:lang w:val="de-DE"/>
        </w:rPr>
        <w:t>.</w:t>
      </w:r>
    </w:p>
    <w:p w14:paraId="2B47D65D" w14:textId="77777777" w:rsidR="008A542A" w:rsidRPr="0040745F" w:rsidRDefault="008A542A" w:rsidP="00E27BB3">
      <w:pPr>
        <w:spacing w:after="0"/>
        <w:jc w:val="both"/>
        <w:rPr>
          <w:rFonts w:ascii="Segoe UI" w:hAnsi="Segoe UI" w:cs="Segoe UI"/>
          <w:color w:val="014171"/>
          <w:lang w:val="de-DE"/>
        </w:rPr>
      </w:pPr>
    </w:p>
    <w:p w14:paraId="006B4917" w14:textId="40352400" w:rsidR="00A64E0E" w:rsidRPr="0040745F" w:rsidRDefault="008B1379" w:rsidP="00E27BB3">
      <w:pPr>
        <w:pStyle w:val="Heading2"/>
        <w:rPr>
          <w:b w:val="0"/>
          <w:bCs w:val="0"/>
          <w:lang w:val="de-DE"/>
        </w:rPr>
      </w:pPr>
      <w:bookmarkStart w:id="36" w:name="_Toc123138012"/>
      <w:r w:rsidRPr="0040745F">
        <w:rPr>
          <w:lang w:val="de-DE"/>
        </w:rPr>
        <w:t>Wesentliche</w:t>
      </w:r>
      <w:r w:rsidR="00A64E0E" w:rsidRPr="0040745F">
        <w:rPr>
          <w:lang w:val="de-DE"/>
        </w:rPr>
        <w:t xml:space="preserve"> Ris</w:t>
      </w:r>
      <w:r w:rsidRPr="0040745F">
        <w:rPr>
          <w:lang w:val="de-DE"/>
        </w:rPr>
        <w:t>iken</w:t>
      </w:r>
      <w:bookmarkEnd w:id="36"/>
    </w:p>
    <w:p w14:paraId="01306851" w14:textId="2C2AF01F" w:rsidR="00AD25CA" w:rsidRPr="0040745F" w:rsidRDefault="00AD25CA" w:rsidP="00E27BB3">
      <w:pPr>
        <w:spacing w:after="0"/>
        <w:jc w:val="both"/>
        <w:rPr>
          <w:rFonts w:ascii="Segoe UI" w:hAnsi="Segoe UI" w:cs="Segoe UI"/>
          <w:color w:val="014171"/>
          <w:lang w:val="de-DE"/>
        </w:rPr>
      </w:pPr>
      <w:r w:rsidRPr="0040745F">
        <w:rPr>
          <w:rFonts w:ascii="Segoe UI" w:hAnsi="Segoe UI" w:cs="Segoe UI"/>
          <w:color w:val="014171"/>
          <w:lang w:val="de-DE"/>
        </w:rPr>
        <w:t>DCMD hat ein Risikoinventar erstellt, in dem die Gesam</w:t>
      </w:r>
      <w:r w:rsidR="009F4C32" w:rsidRPr="0040745F">
        <w:rPr>
          <w:rFonts w:ascii="Segoe UI" w:hAnsi="Segoe UI" w:cs="Segoe UI"/>
          <w:color w:val="014171"/>
          <w:lang w:val="de-DE"/>
        </w:rPr>
        <w:t>theit der Risiken aufgeführt wird</w:t>
      </w:r>
      <w:r w:rsidRPr="0040745F">
        <w:rPr>
          <w:rFonts w:ascii="Segoe UI" w:hAnsi="Segoe UI" w:cs="Segoe UI"/>
          <w:color w:val="014171"/>
          <w:lang w:val="de-DE"/>
        </w:rPr>
        <w:t>, die mit der Verfolgung der im Geschä</w:t>
      </w:r>
      <w:r w:rsidR="003B699C">
        <w:rPr>
          <w:rFonts w:ascii="Segoe UI" w:hAnsi="Segoe UI" w:cs="Segoe UI"/>
          <w:color w:val="014171"/>
          <w:lang w:val="de-DE"/>
        </w:rPr>
        <w:t>ftsplan und in der Strategie der</w:t>
      </w:r>
      <w:r w:rsidRPr="0040745F">
        <w:rPr>
          <w:rFonts w:ascii="Segoe UI" w:hAnsi="Segoe UI" w:cs="Segoe UI"/>
          <w:color w:val="014171"/>
          <w:lang w:val="de-DE"/>
        </w:rPr>
        <w:t xml:space="preserve"> </w:t>
      </w:r>
      <w:r w:rsidR="003B699C">
        <w:rPr>
          <w:rFonts w:ascii="Segoe UI" w:hAnsi="Segoe UI" w:cs="Segoe UI"/>
          <w:color w:val="014171"/>
          <w:lang w:val="de-DE"/>
        </w:rPr>
        <w:t>Gesellschaft</w:t>
      </w:r>
      <w:r w:rsidRPr="0040745F">
        <w:rPr>
          <w:rFonts w:ascii="Segoe UI" w:hAnsi="Segoe UI" w:cs="Segoe UI"/>
          <w:color w:val="014171"/>
          <w:lang w:val="de-DE"/>
        </w:rPr>
        <w:t xml:space="preserve"> festgelegten Aktivitäten </w:t>
      </w:r>
      <w:r w:rsidR="009F4C32" w:rsidRPr="0040745F">
        <w:rPr>
          <w:rFonts w:ascii="Segoe UI" w:hAnsi="Segoe UI" w:cs="Segoe UI"/>
          <w:color w:val="014171"/>
          <w:lang w:val="de-DE"/>
        </w:rPr>
        <w:t>einhergehen</w:t>
      </w:r>
      <w:r w:rsidRPr="0040745F">
        <w:rPr>
          <w:rFonts w:ascii="Segoe UI" w:hAnsi="Segoe UI" w:cs="Segoe UI"/>
          <w:color w:val="014171"/>
          <w:lang w:val="de-DE"/>
        </w:rPr>
        <w:t>. Jede identifizierte Risikoart wird bewertet, um ihre Wesentlichk</w:t>
      </w:r>
      <w:r w:rsidR="009F4C32" w:rsidRPr="0040745F">
        <w:rPr>
          <w:rFonts w:ascii="Segoe UI" w:hAnsi="Segoe UI" w:cs="Segoe UI"/>
          <w:color w:val="014171"/>
          <w:lang w:val="de-DE"/>
        </w:rPr>
        <w:t>eit für DCMD zu bestimmen</w:t>
      </w:r>
      <w:r w:rsidRPr="0040745F">
        <w:rPr>
          <w:rFonts w:ascii="Segoe UI" w:hAnsi="Segoe UI" w:cs="Segoe UI"/>
          <w:color w:val="014171"/>
          <w:lang w:val="de-DE"/>
        </w:rPr>
        <w:t xml:space="preserve"> und alle bestehenden Risikokonzentrationen innerhalb bestimmter Risikoarten sowie Risikokonzentrationen über verschiedene Risikoarten hinweg werden dokumentiert. Die Risikoinventur wird jährlich überprüft und </w:t>
      </w:r>
      <w:r w:rsidR="009F4C32" w:rsidRPr="0040745F">
        <w:rPr>
          <w:rFonts w:ascii="Segoe UI" w:hAnsi="Segoe UI" w:cs="Segoe UI"/>
          <w:color w:val="014171"/>
          <w:lang w:val="de-DE"/>
        </w:rPr>
        <w:t xml:space="preserve">von der Geschäftsführung </w:t>
      </w:r>
      <w:r w:rsidR="008F5F9A">
        <w:rPr>
          <w:rFonts w:ascii="Segoe UI" w:hAnsi="Segoe UI" w:cs="Segoe UI"/>
          <w:color w:val="014171"/>
          <w:lang w:val="de-DE"/>
        </w:rPr>
        <w:t>genehmigt</w:t>
      </w:r>
      <w:r w:rsidRPr="0040745F">
        <w:rPr>
          <w:rFonts w:ascii="Segoe UI" w:hAnsi="Segoe UI" w:cs="Segoe UI"/>
          <w:color w:val="014171"/>
          <w:lang w:val="de-DE"/>
        </w:rPr>
        <w:t>.</w:t>
      </w:r>
    </w:p>
    <w:p w14:paraId="718C0919" w14:textId="77777777" w:rsidR="001F173B" w:rsidRPr="0040745F" w:rsidRDefault="001F173B" w:rsidP="00E27BB3">
      <w:pPr>
        <w:spacing w:after="0"/>
        <w:jc w:val="both"/>
        <w:rPr>
          <w:rFonts w:ascii="Segoe UI" w:hAnsi="Segoe UI" w:cs="Segoe UI"/>
          <w:color w:val="014171"/>
          <w:lang w:val="de-DE"/>
        </w:rPr>
      </w:pPr>
    </w:p>
    <w:p w14:paraId="579A76E1" w14:textId="23EFCB58" w:rsidR="00CA5252" w:rsidRDefault="008B1379" w:rsidP="00E27BB3">
      <w:pPr>
        <w:spacing w:after="0"/>
        <w:jc w:val="both"/>
        <w:rPr>
          <w:rFonts w:ascii="Segoe UI" w:hAnsi="Segoe UI" w:cs="Segoe UI"/>
          <w:color w:val="014171"/>
          <w:lang w:val="de-DE"/>
        </w:rPr>
      </w:pPr>
      <w:r w:rsidRPr="0040745F">
        <w:rPr>
          <w:rFonts w:ascii="Segoe UI" w:hAnsi="Segoe UI" w:cs="Segoe UI"/>
          <w:color w:val="014171"/>
          <w:lang w:val="de-DE"/>
        </w:rPr>
        <w:t>Die wesentlichen Risiken, denen die Gesellschaft ausgesetzt ist, sind in den folgenden Abschnitten beschrieben.</w:t>
      </w:r>
      <w:r w:rsidR="00CA5252">
        <w:rPr>
          <w:rFonts w:ascii="Segoe UI" w:hAnsi="Segoe UI" w:cs="Segoe UI"/>
          <w:color w:val="014171"/>
          <w:lang w:val="de-DE"/>
        </w:rPr>
        <w:br w:type="page"/>
      </w:r>
    </w:p>
    <w:p w14:paraId="0F90B843" w14:textId="520D2896" w:rsidR="00A64E0E" w:rsidRPr="0040745F" w:rsidRDefault="00A64E0E" w:rsidP="00E27BB3">
      <w:pPr>
        <w:pStyle w:val="Heading3"/>
        <w:rPr>
          <w:b w:val="0"/>
          <w:lang w:val="de-DE"/>
        </w:rPr>
      </w:pPr>
      <w:r w:rsidRPr="0040745F">
        <w:rPr>
          <w:lang w:val="de-DE"/>
        </w:rPr>
        <w:lastRenderedPageBreak/>
        <w:t>Markt</w:t>
      </w:r>
      <w:r w:rsidR="009F4C32" w:rsidRPr="0040745F">
        <w:rPr>
          <w:lang w:val="de-DE"/>
        </w:rPr>
        <w:t>r</w:t>
      </w:r>
      <w:r w:rsidRPr="0040745F">
        <w:rPr>
          <w:lang w:val="de-DE"/>
        </w:rPr>
        <w:t>is</w:t>
      </w:r>
      <w:r w:rsidR="009F4C32" w:rsidRPr="0040745F">
        <w:rPr>
          <w:lang w:val="de-DE"/>
        </w:rPr>
        <w:t>i</w:t>
      </w:r>
      <w:r w:rsidRPr="0040745F">
        <w:rPr>
          <w:lang w:val="de-DE"/>
        </w:rPr>
        <w:t>k</w:t>
      </w:r>
      <w:r w:rsidR="009F4C32" w:rsidRPr="0040745F">
        <w:rPr>
          <w:lang w:val="de-DE"/>
        </w:rPr>
        <w:t>o</w:t>
      </w:r>
    </w:p>
    <w:p w14:paraId="3DF99CC9" w14:textId="77777777" w:rsidR="00A64E0E" w:rsidRPr="0040745F" w:rsidRDefault="00A64E0E" w:rsidP="00E27BB3">
      <w:pPr>
        <w:pStyle w:val="Heading4"/>
        <w:rPr>
          <w:lang w:val="de-DE"/>
        </w:rPr>
      </w:pPr>
      <w:r w:rsidRPr="0040745F">
        <w:rPr>
          <w:lang w:val="de-DE"/>
        </w:rPr>
        <w:t>Definition</w:t>
      </w:r>
    </w:p>
    <w:p w14:paraId="2991F97F" w14:textId="32AA9EE0" w:rsidR="009F4C32" w:rsidRPr="0040745F" w:rsidRDefault="009F4C32" w:rsidP="00E27BB3">
      <w:pPr>
        <w:spacing w:after="0"/>
        <w:jc w:val="both"/>
        <w:rPr>
          <w:rFonts w:ascii="Segoe UI" w:hAnsi="Segoe UI" w:cs="Segoe UI"/>
          <w:color w:val="014171"/>
          <w:lang w:val="de-DE"/>
        </w:rPr>
      </w:pPr>
      <w:r w:rsidRPr="0040745F">
        <w:rPr>
          <w:rFonts w:ascii="Segoe UI" w:hAnsi="Segoe UI" w:cs="Segoe UI"/>
          <w:color w:val="014171"/>
          <w:lang w:val="de-DE"/>
        </w:rPr>
        <w:t>Das Marktrisiko ist definiert als das Risiko durch Schwankungen von Zinssätzen, Credit Spreads, Aktienkursen, Wechselkursen oder anderen Marktrisikofaktoren Verluste zu erleiden.</w:t>
      </w:r>
    </w:p>
    <w:p w14:paraId="2DE9F2CE" w14:textId="569DD137" w:rsidR="00A64E0E" w:rsidRPr="0040745F" w:rsidRDefault="00A64E0E" w:rsidP="00742C2C">
      <w:pPr>
        <w:pStyle w:val="Heading4"/>
        <w:rPr>
          <w:lang w:val="de-DE"/>
        </w:rPr>
      </w:pPr>
      <w:r w:rsidRPr="0040745F">
        <w:rPr>
          <w:lang w:val="de-DE"/>
        </w:rPr>
        <w:t>Strateg</w:t>
      </w:r>
      <w:r w:rsidR="009F4C32" w:rsidRPr="0040745F">
        <w:rPr>
          <w:lang w:val="de-DE"/>
        </w:rPr>
        <w:t>ie</w:t>
      </w:r>
    </w:p>
    <w:p w14:paraId="4D9249E4" w14:textId="65974AEA" w:rsidR="00277A36" w:rsidRPr="0040745F" w:rsidRDefault="00174AEE" w:rsidP="00E27BB3">
      <w:pPr>
        <w:spacing w:after="0"/>
        <w:jc w:val="both"/>
        <w:rPr>
          <w:rFonts w:ascii="Segoe UI" w:hAnsi="Segoe UI" w:cs="Segoe UI"/>
          <w:color w:val="014171"/>
          <w:lang w:val="de-DE"/>
        </w:rPr>
      </w:pPr>
      <w:r w:rsidRPr="0040745F">
        <w:rPr>
          <w:rFonts w:ascii="Segoe UI" w:hAnsi="Segoe UI" w:cs="Segoe UI"/>
          <w:color w:val="014171"/>
          <w:lang w:val="de-DE"/>
        </w:rPr>
        <w:t>Im Rahmen des aktuellen Geschäftsmodells besteht d</w:t>
      </w:r>
      <w:r w:rsidR="00277A36" w:rsidRPr="0040745F">
        <w:rPr>
          <w:rFonts w:ascii="Segoe UI" w:hAnsi="Segoe UI" w:cs="Segoe UI"/>
          <w:color w:val="014171"/>
          <w:lang w:val="de-DE"/>
        </w:rPr>
        <w:t xml:space="preserve">ie Schlüsselstrategie </w:t>
      </w:r>
      <w:r w:rsidRPr="0040745F">
        <w:rPr>
          <w:rFonts w:ascii="Segoe UI" w:hAnsi="Segoe UI" w:cs="Segoe UI"/>
          <w:color w:val="014171"/>
          <w:lang w:val="de-DE"/>
        </w:rPr>
        <w:t>zur Steuerung</w:t>
      </w:r>
      <w:r w:rsidR="00277A36" w:rsidRPr="0040745F">
        <w:rPr>
          <w:rFonts w:ascii="Segoe UI" w:hAnsi="Segoe UI" w:cs="Segoe UI"/>
          <w:color w:val="014171"/>
          <w:lang w:val="de-DE"/>
        </w:rPr>
        <w:t xml:space="preserve"> des Marktrisikos</w:t>
      </w:r>
      <w:r w:rsidRPr="0040745F">
        <w:rPr>
          <w:rFonts w:ascii="Segoe UI" w:hAnsi="Segoe UI" w:cs="Segoe UI"/>
          <w:color w:val="014171"/>
          <w:lang w:val="de-DE"/>
        </w:rPr>
        <w:t xml:space="preserve"> darin</w:t>
      </w:r>
      <w:r w:rsidR="00277A36" w:rsidRPr="0040745F">
        <w:rPr>
          <w:rFonts w:ascii="Segoe UI" w:hAnsi="Segoe UI" w:cs="Segoe UI"/>
          <w:color w:val="014171"/>
          <w:lang w:val="de-DE"/>
        </w:rPr>
        <w:t>, das Handelsbuchrisiko durch</w:t>
      </w:r>
      <w:r w:rsidR="008F5F9A">
        <w:rPr>
          <w:rFonts w:ascii="Segoe UI" w:hAnsi="Segoe UI" w:cs="Segoe UI"/>
          <w:color w:val="014171"/>
          <w:lang w:val="de-DE"/>
        </w:rPr>
        <w:t xml:space="preserve"> sogenannte</w:t>
      </w:r>
      <w:r w:rsidR="00277A36" w:rsidRPr="0040745F">
        <w:rPr>
          <w:rFonts w:ascii="Segoe UI" w:hAnsi="Segoe UI" w:cs="Segoe UI"/>
          <w:color w:val="014171"/>
          <w:lang w:val="de-DE"/>
        </w:rPr>
        <w:t xml:space="preserve"> Back-to-Back-Buchung</w:t>
      </w:r>
      <w:r w:rsidRPr="0040745F">
        <w:rPr>
          <w:rFonts w:ascii="Segoe UI" w:hAnsi="Segoe UI" w:cs="Segoe UI"/>
          <w:color w:val="014171"/>
          <w:lang w:val="de-DE"/>
        </w:rPr>
        <w:t>en</w:t>
      </w:r>
      <w:r w:rsidR="00277A36" w:rsidRPr="0040745F">
        <w:rPr>
          <w:rFonts w:ascii="Segoe UI" w:hAnsi="Segoe UI" w:cs="Segoe UI"/>
          <w:color w:val="014171"/>
          <w:lang w:val="de-DE"/>
        </w:rPr>
        <w:t xml:space="preserve"> </w:t>
      </w:r>
      <w:r w:rsidRPr="0040745F">
        <w:rPr>
          <w:rFonts w:ascii="Segoe UI" w:hAnsi="Segoe UI" w:cs="Segoe UI"/>
          <w:color w:val="014171"/>
          <w:lang w:val="de-DE"/>
        </w:rPr>
        <w:t>der</w:t>
      </w:r>
      <w:r w:rsidR="00277A36" w:rsidRPr="0040745F">
        <w:rPr>
          <w:rFonts w:ascii="Segoe UI" w:hAnsi="Segoe UI" w:cs="Segoe UI"/>
          <w:color w:val="014171"/>
          <w:lang w:val="de-DE"/>
        </w:rPr>
        <w:t xml:space="preserve"> </w:t>
      </w:r>
      <w:r w:rsidRPr="0040745F">
        <w:rPr>
          <w:rFonts w:ascii="Segoe UI" w:hAnsi="Segoe UI" w:cs="Segoe UI"/>
          <w:color w:val="014171"/>
          <w:lang w:val="de-DE"/>
        </w:rPr>
        <w:t>Handelsgeschäfte</w:t>
      </w:r>
      <w:r w:rsidR="00277A36" w:rsidRPr="0040745F">
        <w:rPr>
          <w:rFonts w:ascii="Segoe UI" w:hAnsi="Segoe UI" w:cs="Segoe UI"/>
          <w:color w:val="014171"/>
          <w:lang w:val="de-DE"/>
        </w:rPr>
        <w:t xml:space="preserve"> vollständig zu </w:t>
      </w:r>
      <w:r w:rsidR="008F5F9A">
        <w:rPr>
          <w:rFonts w:ascii="Segoe UI" w:hAnsi="Segoe UI" w:cs="Segoe UI"/>
          <w:color w:val="014171"/>
          <w:lang w:val="de-DE"/>
        </w:rPr>
        <w:t>eliminieren</w:t>
      </w:r>
      <w:r w:rsidRPr="0040745F">
        <w:rPr>
          <w:rFonts w:ascii="Segoe UI" w:hAnsi="Segoe UI" w:cs="Segoe UI"/>
          <w:color w:val="014171"/>
          <w:lang w:val="de-DE"/>
        </w:rPr>
        <w:t xml:space="preserve"> und</w:t>
      </w:r>
      <w:r w:rsidR="00277A36" w:rsidRPr="0040745F">
        <w:rPr>
          <w:rFonts w:ascii="Segoe UI" w:hAnsi="Segoe UI" w:cs="Segoe UI"/>
          <w:color w:val="014171"/>
          <w:lang w:val="de-DE"/>
        </w:rPr>
        <w:t xml:space="preserve"> alle Positionen an DCME zu übertragen.</w:t>
      </w:r>
    </w:p>
    <w:p w14:paraId="39A571CC" w14:textId="40BC1D79" w:rsidR="00A64E0E" w:rsidRPr="0040745F" w:rsidRDefault="00A64E0E" w:rsidP="00E27BB3">
      <w:pPr>
        <w:pStyle w:val="Heading4"/>
        <w:rPr>
          <w:lang w:val="de-DE"/>
        </w:rPr>
      </w:pPr>
      <w:r w:rsidRPr="0040745F">
        <w:rPr>
          <w:lang w:val="de-DE"/>
        </w:rPr>
        <w:t>Ris</w:t>
      </w:r>
      <w:r w:rsidR="00277A36" w:rsidRPr="0040745F">
        <w:rPr>
          <w:lang w:val="de-DE"/>
        </w:rPr>
        <w:t>i</w:t>
      </w:r>
      <w:r w:rsidRPr="0040745F">
        <w:rPr>
          <w:lang w:val="de-DE"/>
        </w:rPr>
        <w:t>k</w:t>
      </w:r>
      <w:r w:rsidR="00277A36" w:rsidRPr="0040745F">
        <w:rPr>
          <w:lang w:val="de-DE"/>
        </w:rPr>
        <w:t>o</w:t>
      </w:r>
      <w:r w:rsidRPr="0040745F">
        <w:rPr>
          <w:lang w:val="de-DE"/>
        </w:rPr>
        <w:t xml:space="preserve"> Identifi</w:t>
      </w:r>
      <w:r w:rsidR="00277A36" w:rsidRPr="0040745F">
        <w:rPr>
          <w:lang w:val="de-DE"/>
        </w:rPr>
        <w:t>k</w:t>
      </w:r>
      <w:r w:rsidRPr="0040745F">
        <w:rPr>
          <w:lang w:val="de-DE"/>
        </w:rPr>
        <w:t xml:space="preserve">ation &amp; </w:t>
      </w:r>
      <w:r w:rsidR="00277A36" w:rsidRPr="0040745F">
        <w:rPr>
          <w:lang w:val="de-DE"/>
        </w:rPr>
        <w:t>Beurteilung</w:t>
      </w:r>
    </w:p>
    <w:p w14:paraId="37BAE490" w14:textId="4E3D594A" w:rsidR="00174AEE" w:rsidRPr="0040745F" w:rsidRDefault="00174AEE" w:rsidP="00E27BB3">
      <w:pPr>
        <w:spacing w:after="0"/>
        <w:jc w:val="both"/>
        <w:rPr>
          <w:rFonts w:ascii="Segoe UI" w:hAnsi="Segoe UI" w:cs="Segoe UI"/>
          <w:color w:val="014171"/>
          <w:lang w:val="de-DE"/>
        </w:rPr>
      </w:pPr>
      <w:r w:rsidRPr="0040745F">
        <w:rPr>
          <w:rFonts w:ascii="Segoe UI" w:hAnsi="Segoe UI" w:cs="Segoe UI"/>
          <w:color w:val="014171"/>
          <w:lang w:val="de-DE"/>
        </w:rPr>
        <w:t xml:space="preserve">DCMD ist durch den </w:t>
      </w:r>
      <w:r w:rsidR="008F5F9A">
        <w:rPr>
          <w:rFonts w:ascii="Segoe UI" w:hAnsi="Segoe UI" w:cs="Segoe UI"/>
          <w:color w:val="014171"/>
          <w:lang w:val="de-DE"/>
        </w:rPr>
        <w:t>An-</w:t>
      </w:r>
      <w:r w:rsidRPr="0040745F">
        <w:rPr>
          <w:rFonts w:ascii="Segoe UI" w:hAnsi="Segoe UI" w:cs="Segoe UI"/>
          <w:color w:val="014171"/>
          <w:lang w:val="de-DE"/>
        </w:rPr>
        <w:t xml:space="preserve"> und Verkauf von Wertpapieren und andere</w:t>
      </w:r>
      <w:r w:rsidR="008F5F9A">
        <w:rPr>
          <w:rFonts w:ascii="Segoe UI" w:hAnsi="Segoe UI" w:cs="Segoe UI"/>
          <w:color w:val="014171"/>
          <w:lang w:val="de-DE"/>
        </w:rPr>
        <w:t>n</w:t>
      </w:r>
      <w:r w:rsidRPr="0040745F">
        <w:rPr>
          <w:rFonts w:ascii="Segoe UI" w:hAnsi="Segoe UI" w:cs="Segoe UI"/>
          <w:color w:val="014171"/>
          <w:lang w:val="de-DE"/>
        </w:rPr>
        <w:t xml:space="preserve"> Handelsaktivitäten einem Marktrisiko ausgesetzt, welches jedoch durch das Back-to-Back-Buchungsmodell vollständig </w:t>
      </w:r>
      <w:r w:rsidR="008F5F9A">
        <w:rPr>
          <w:rFonts w:ascii="Segoe UI" w:hAnsi="Segoe UI" w:cs="Segoe UI"/>
          <w:color w:val="014171"/>
          <w:lang w:val="de-DE"/>
        </w:rPr>
        <w:t>eliminiert</w:t>
      </w:r>
      <w:r w:rsidRPr="0040745F">
        <w:rPr>
          <w:rFonts w:ascii="Segoe UI" w:hAnsi="Segoe UI" w:cs="Segoe UI"/>
          <w:color w:val="014171"/>
          <w:lang w:val="de-DE"/>
        </w:rPr>
        <w:t xml:space="preserve"> wird. Das </w:t>
      </w:r>
      <w:r w:rsidR="008F5F9A">
        <w:rPr>
          <w:rFonts w:ascii="Segoe UI" w:hAnsi="Segoe UI" w:cs="Segoe UI"/>
          <w:color w:val="014171"/>
          <w:lang w:val="de-DE"/>
        </w:rPr>
        <w:t xml:space="preserve">verbleibende </w:t>
      </w:r>
      <w:r w:rsidRPr="0040745F">
        <w:rPr>
          <w:rFonts w:ascii="Segoe UI" w:hAnsi="Segoe UI" w:cs="Segoe UI"/>
          <w:color w:val="014171"/>
          <w:lang w:val="de-DE"/>
        </w:rPr>
        <w:t>Marktrisiko wird für jede Position identifiziert und dann nach Geschäftsbereich und Gesamtunternehmensebene aggregiert.</w:t>
      </w:r>
    </w:p>
    <w:p w14:paraId="187DB99A" w14:textId="77777777" w:rsidR="001F173B" w:rsidRPr="0040745F" w:rsidRDefault="001F173B" w:rsidP="00E27BB3">
      <w:pPr>
        <w:spacing w:after="0"/>
        <w:jc w:val="both"/>
        <w:rPr>
          <w:rFonts w:ascii="Segoe UI" w:hAnsi="Segoe UI" w:cs="Segoe UI"/>
          <w:color w:val="014171"/>
          <w:lang w:val="de-DE"/>
        </w:rPr>
      </w:pPr>
    </w:p>
    <w:p w14:paraId="4B603BC6" w14:textId="5C0B50C9" w:rsidR="00174AEE" w:rsidRPr="0040745F" w:rsidRDefault="00174AEE" w:rsidP="00E27BB3">
      <w:pPr>
        <w:spacing w:after="0"/>
        <w:jc w:val="both"/>
        <w:rPr>
          <w:rFonts w:ascii="Segoe UI" w:hAnsi="Segoe UI" w:cs="Segoe UI"/>
          <w:color w:val="014171"/>
          <w:lang w:val="de-DE"/>
        </w:rPr>
      </w:pPr>
      <w:r w:rsidRPr="0040745F">
        <w:rPr>
          <w:rFonts w:ascii="Segoe UI" w:hAnsi="Segoe UI" w:cs="Segoe UI"/>
          <w:color w:val="014171"/>
          <w:lang w:val="de-DE"/>
        </w:rPr>
        <w:t>Die Hauptmessgröße des Markrisikos in DCMDs G</w:t>
      </w:r>
      <w:r w:rsidR="006E3B47" w:rsidRPr="0040745F">
        <w:rPr>
          <w:rFonts w:ascii="Segoe UI" w:hAnsi="Segoe UI" w:cs="Segoe UI"/>
          <w:color w:val="014171"/>
          <w:lang w:val="de-DE"/>
        </w:rPr>
        <w:t>eschäftsbetrieb</w:t>
      </w:r>
      <w:r w:rsidRPr="0040745F">
        <w:rPr>
          <w:rFonts w:ascii="Segoe UI" w:hAnsi="Segoe UI" w:cs="Segoe UI"/>
          <w:color w:val="014171"/>
          <w:lang w:val="de-DE"/>
        </w:rPr>
        <w:t xml:space="preserve"> ist eine tägliche </w:t>
      </w:r>
      <w:r w:rsidR="006E3B47" w:rsidRPr="0040745F">
        <w:rPr>
          <w:rFonts w:ascii="Segoe UI" w:hAnsi="Segoe UI" w:cs="Segoe UI"/>
          <w:color w:val="014171"/>
          <w:lang w:val="de-DE"/>
        </w:rPr>
        <w:t xml:space="preserve">Glattstellung der </w:t>
      </w:r>
      <w:r w:rsidRPr="0040745F">
        <w:rPr>
          <w:rFonts w:ascii="Segoe UI" w:hAnsi="Segoe UI" w:cs="Segoe UI"/>
          <w:color w:val="014171"/>
          <w:lang w:val="de-DE"/>
        </w:rPr>
        <w:t xml:space="preserve">Position, </w:t>
      </w:r>
      <w:r w:rsidR="006E3B47" w:rsidRPr="0040745F">
        <w:rPr>
          <w:rFonts w:ascii="Segoe UI" w:hAnsi="Segoe UI" w:cs="Segoe UI"/>
          <w:color w:val="014171"/>
          <w:lang w:val="de-DE"/>
        </w:rPr>
        <w:t xml:space="preserve">welche </w:t>
      </w:r>
      <w:r w:rsidR="008F5F9A">
        <w:rPr>
          <w:rFonts w:ascii="Segoe UI" w:hAnsi="Segoe UI" w:cs="Segoe UI"/>
          <w:color w:val="014171"/>
          <w:lang w:val="de-DE"/>
        </w:rPr>
        <w:t>wiederum</w:t>
      </w:r>
      <w:r w:rsidRPr="0040745F">
        <w:rPr>
          <w:rFonts w:ascii="Segoe UI" w:hAnsi="Segoe UI" w:cs="Segoe UI"/>
          <w:color w:val="014171"/>
          <w:lang w:val="de-DE"/>
        </w:rPr>
        <w:t xml:space="preserve"> täglich kontrolliert wird.</w:t>
      </w:r>
    </w:p>
    <w:p w14:paraId="7B43CC7E" w14:textId="05ACFC52" w:rsidR="00A64E0E" w:rsidRPr="0040745F" w:rsidRDefault="006E3B47" w:rsidP="00E27BB3">
      <w:pPr>
        <w:pStyle w:val="Heading4"/>
        <w:rPr>
          <w:lang w:val="de-DE"/>
        </w:rPr>
      </w:pPr>
      <w:r w:rsidRPr="0040745F">
        <w:rPr>
          <w:lang w:val="de-DE"/>
        </w:rPr>
        <w:t>Überwachung der Limite und deren Auslastung</w:t>
      </w:r>
    </w:p>
    <w:p w14:paraId="34F4ACBA" w14:textId="760E00A9" w:rsidR="00327ED3" w:rsidRPr="0040745F" w:rsidRDefault="00327ED3" w:rsidP="00327ED3">
      <w:pPr>
        <w:spacing w:after="0"/>
        <w:jc w:val="both"/>
        <w:rPr>
          <w:rFonts w:ascii="Segoe UI" w:hAnsi="Segoe UI" w:cs="Segoe UI"/>
          <w:color w:val="014171"/>
          <w:lang w:val="de-DE"/>
        </w:rPr>
      </w:pPr>
      <w:r w:rsidRPr="0040745F">
        <w:rPr>
          <w:rFonts w:ascii="Segoe UI" w:hAnsi="Segoe UI" w:cs="Segoe UI"/>
          <w:color w:val="014171"/>
          <w:lang w:val="de-DE"/>
        </w:rPr>
        <w:t xml:space="preserve">Ein </w:t>
      </w:r>
      <w:r w:rsidR="008F5F9A">
        <w:rPr>
          <w:rFonts w:ascii="Segoe UI" w:hAnsi="Segoe UI" w:cs="Segoe UI"/>
          <w:color w:val="014171"/>
          <w:lang w:val="de-DE"/>
        </w:rPr>
        <w:t>Rahmenwerk aus Marktrisikolimiten</w:t>
      </w:r>
      <w:r w:rsidRPr="0040745F">
        <w:rPr>
          <w:rFonts w:ascii="Segoe UI" w:hAnsi="Segoe UI" w:cs="Segoe UI"/>
          <w:color w:val="014171"/>
          <w:lang w:val="de-DE"/>
        </w:rPr>
        <w:t xml:space="preserve"> und Frühwarnindikatoren („FWIs“) wurde eingerichtet, um das Risikoengagement auf Gesellschaft- und Geschäftsbereichsebene zu kontrollieren. Gemäß dem aktuellen Geschäftsmodell der DCMD ist kein Marktrisiko im Handelsbuch zulässig, und daher sind alle Limite in Bezug auf das Marktrisiko im Handelsbuch per Definition Null.</w:t>
      </w:r>
    </w:p>
    <w:p w14:paraId="29931B7C" w14:textId="77777777" w:rsidR="00327ED3" w:rsidRPr="0040745F" w:rsidRDefault="00327ED3" w:rsidP="00327ED3">
      <w:pPr>
        <w:spacing w:after="0"/>
        <w:jc w:val="both"/>
        <w:rPr>
          <w:rFonts w:ascii="Segoe UI" w:hAnsi="Segoe UI" w:cs="Segoe UI"/>
          <w:color w:val="014171"/>
          <w:lang w:val="de-DE"/>
        </w:rPr>
      </w:pPr>
    </w:p>
    <w:p w14:paraId="07B7B3BF" w14:textId="439E7509" w:rsidR="00327ED3" w:rsidRPr="0040745F" w:rsidRDefault="00327ED3" w:rsidP="00327ED3">
      <w:pPr>
        <w:spacing w:after="0"/>
        <w:jc w:val="both"/>
        <w:rPr>
          <w:rFonts w:ascii="Segoe UI" w:hAnsi="Segoe UI" w:cs="Segoe UI"/>
          <w:color w:val="014171"/>
          <w:lang w:val="de-DE"/>
        </w:rPr>
      </w:pPr>
      <w:r w:rsidRPr="0040745F">
        <w:rPr>
          <w:rFonts w:ascii="Segoe UI" w:hAnsi="Segoe UI" w:cs="Segoe UI"/>
          <w:color w:val="014171"/>
          <w:lang w:val="de-DE"/>
        </w:rPr>
        <w:t>Die Auslastung aller Marktrisikolimits und Frühwarnindikatoren wird täglich überwacht</w:t>
      </w:r>
      <w:r w:rsidR="008F5F9A">
        <w:rPr>
          <w:rFonts w:ascii="Segoe UI" w:hAnsi="Segoe UI" w:cs="Segoe UI"/>
          <w:color w:val="014171"/>
          <w:lang w:val="de-DE"/>
        </w:rPr>
        <w:t xml:space="preserve"> und berichtet</w:t>
      </w:r>
      <w:r w:rsidRPr="0040745F">
        <w:rPr>
          <w:rFonts w:ascii="Segoe UI" w:hAnsi="Segoe UI" w:cs="Segoe UI"/>
          <w:color w:val="014171"/>
          <w:lang w:val="de-DE"/>
        </w:rPr>
        <w:t>. Ad-hoc-Analysen können nach Bedarf durchgeführt werden, um ein besseres Verständnis der einzelnen Marktrisiken und des Gesamtrisikoprofils der Gesellschaft zu ermöglichen.</w:t>
      </w:r>
    </w:p>
    <w:p w14:paraId="61C6B428" w14:textId="4C8C1C13" w:rsidR="00A64E0E" w:rsidRPr="0040745F" w:rsidRDefault="006E3B47" w:rsidP="00E27BB3">
      <w:pPr>
        <w:pStyle w:val="Heading4"/>
        <w:rPr>
          <w:lang w:val="de-DE"/>
        </w:rPr>
      </w:pPr>
      <w:r w:rsidRPr="0040745F">
        <w:rPr>
          <w:lang w:val="de-DE"/>
        </w:rPr>
        <w:t>Berichtswesen</w:t>
      </w:r>
    </w:p>
    <w:p w14:paraId="0AE84379" w14:textId="53A3809E" w:rsidR="00C72C7B" w:rsidRPr="0040745F" w:rsidRDefault="00C72C7B" w:rsidP="00C72C7B">
      <w:pPr>
        <w:spacing w:after="0"/>
        <w:jc w:val="both"/>
        <w:rPr>
          <w:rFonts w:ascii="Segoe UI" w:hAnsi="Segoe UI" w:cs="Segoe UI"/>
          <w:color w:val="014171"/>
          <w:lang w:val="de-DE"/>
        </w:rPr>
      </w:pPr>
      <w:r w:rsidRPr="0040745F">
        <w:rPr>
          <w:rFonts w:ascii="Segoe UI" w:hAnsi="Segoe UI" w:cs="Segoe UI"/>
          <w:color w:val="014171"/>
          <w:lang w:val="de-DE"/>
        </w:rPr>
        <w:t>Berichte zu allen Marktrisikolimits und Frühwarnindikatoren werden täglich erstellt und an die Geschäftsführ</w:t>
      </w:r>
      <w:r w:rsidR="002325DC">
        <w:rPr>
          <w:rFonts w:ascii="Segoe UI" w:hAnsi="Segoe UI" w:cs="Segoe UI"/>
          <w:color w:val="014171"/>
          <w:lang w:val="de-DE"/>
        </w:rPr>
        <w:t>ung von</w:t>
      </w:r>
      <w:r w:rsidRPr="0040745F">
        <w:rPr>
          <w:rFonts w:ascii="Segoe UI" w:hAnsi="Segoe UI" w:cs="Segoe UI"/>
          <w:color w:val="014171"/>
          <w:lang w:val="de-DE"/>
        </w:rPr>
        <w:t xml:space="preserve"> DCMD übermittelt. Darüber hinaus wird eine monatliche Berichterstattung für das Risikokomitee der DCMD erstellt.</w:t>
      </w:r>
    </w:p>
    <w:p w14:paraId="0B712611" w14:textId="77777777" w:rsidR="00C72C7B" w:rsidRPr="0040745F" w:rsidRDefault="00C72C7B" w:rsidP="00C72C7B">
      <w:pPr>
        <w:spacing w:after="0"/>
        <w:jc w:val="both"/>
        <w:rPr>
          <w:rFonts w:ascii="Segoe UI" w:hAnsi="Segoe UI" w:cs="Segoe UI"/>
          <w:color w:val="014171"/>
          <w:lang w:val="de-DE"/>
        </w:rPr>
      </w:pPr>
    </w:p>
    <w:p w14:paraId="21A4BC00" w14:textId="36589358" w:rsidR="00C72C7B" w:rsidRPr="0040745F" w:rsidRDefault="00C72C7B" w:rsidP="00C72C7B">
      <w:pPr>
        <w:spacing w:after="0"/>
        <w:jc w:val="both"/>
        <w:rPr>
          <w:rFonts w:ascii="Segoe UI" w:hAnsi="Segoe UI" w:cs="Segoe UI"/>
          <w:color w:val="014171"/>
          <w:lang w:val="de-DE"/>
        </w:rPr>
      </w:pPr>
      <w:r w:rsidRPr="0040745F">
        <w:rPr>
          <w:rFonts w:ascii="Segoe UI" w:hAnsi="Segoe UI" w:cs="Segoe UI"/>
          <w:color w:val="014171"/>
          <w:lang w:val="de-DE"/>
        </w:rPr>
        <w:t>Ad-hoc-Meldeverfahren zur rechtzeitigen Eskalation wichtiger Angelegenheiten, z.B. für Limitänderungen oder -überschreitungen, sind vorhanden und wurden in den Richtlinien und Prozessbeschreibungen der DCMD formalisiert und dokumentiert.</w:t>
      </w:r>
    </w:p>
    <w:p w14:paraId="63CD57EC" w14:textId="77777777" w:rsidR="008A542A" w:rsidRPr="0040745F" w:rsidRDefault="008A542A" w:rsidP="00E27BB3">
      <w:pPr>
        <w:spacing w:after="0"/>
        <w:jc w:val="both"/>
        <w:rPr>
          <w:rFonts w:ascii="Segoe UI" w:hAnsi="Segoe UI" w:cs="Segoe UI"/>
          <w:color w:val="014171"/>
          <w:lang w:val="de-DE"/>
        </w:rPr>
      </w:pPr>
    </w:p>
    <w:p w14:paraId="3AC94624" w14:textId="19D6D2B7" w:rsidR="00A64E0E" w:rsidRPr="0040745F" w:rsidRDefault="00277A36" w:rsidP="00E27BB3">
      <w:pPr>
        <w:pStyle w:val="Heading3"/>
        <w:rPr>
          <w:b w:val="0"/>
          <w:lang w:val="de-DE"/>
        </w:rPr>
      </w:pPr>
      <w:r w:rsidRPr="0040745F">
        <w:rPr>
          <w:lang w:val="de-DE"/>
        </w:rPr>
        <w:lastRenderedPageBreak/>
        <w:t>Kreditr</w:t>
      </w:r>
      <w:r w:rsidR="00A64E0E" w:rsidRPr="0040745F">
        <w:rPr>
          <w:lang w:val="de-DE"/>
        </w:rPr>
        <w:t>is</w:t>
      </w:r>
      <w:r w:rsidRPr="0040745F">
        <w:rPr>
          <w:lang w:val="de-DE"/>
        </w:rPr>
        <w:t>i</w:t>
      </w:r>
      <w:r w:rsidR="00A64E0E" w:rsidRPr="0040745F">
        <w:rPr>
          <w:lang w:val="de-DE"/>
        </w:rPr>
        <w:t>k</w:t>
      </w:r>
      <w:r w:rsidRPr="0040745F">
        <w:rPr>
          <w:lang w:val="de-DE"/>
        </w:rPr>
        <w:t>o</w:t>
      </w:r>
    </w:p>
    <w:p w14:paraId="5694AC05" w14:textId="77777777" w:rsidR="00A64E0E" w:rsidRPr="0040745F" w:rsidRDefault="00A64E0E" w:rsidP="00E27BB3">
      <w:pPr>
        <w:pStyle w:val="Heading4"/>
        <w:rPr>
          <w:lang w:val="de-DE"/>
        </w:rPr>
      </w:pPr>
      <w:r w:rsidRPr="0040745F">
        <w:rPr>
          <w:lang w:val="de-DE"/>
        </w:rPr>
        <w:t>Definition</w:t>
      </w:r>
    </w:p>
    <w:p w14:paraId="55E3004A" w14:textId="684BDF9F" w:rsidR="009B6F67" w:rsidRPr="0040745F" w:rsidRDefault="00D43744" w:rsidP="00E27BB3">
      <w:pPr>
        <w:spacing w:after="0"/>
        <w:jc w:val="both"/>
        <w:rPr>
          <w:rFonts w:ascii="Segoe UI" w:hAnsi="Segoe UI" w:cs="Segoe UI"/>
          <w:color w:val="014171"/>
          <w:lang w:val="de-DE"/>
        </w:rPr>
      </w:pPr>
      <w:r w:rsidRPr="0040745F">
        <w:rPr>
          <w:rFonts w:ascii="Segoe UI" w:hAnsi="Segoe UI" w:cs="Segoe UI"/>
          <w:color w:val="014171"/>
          <w:lang w:val="de-DE"/>
        </w:rPr>
        <w:t xml:space="preserve">Kreditrisiko ist definiert als potenzieller finanzieller Verlust, der entsteht, wenn, aufgrund eines Ausfalls oder einer Verschlechterung der Kreditqualität, ein Kontrahent oder ein Emittent von Finanzinstrumenten seinen finanziellen Verpflichtungen gegenüber DCMD nicht mehr nachkommen kann. Kreditrisiko besteht auch in Form von Bankguthaben, die bei zugelassenen Banken auf </w:t>
      </w:r>
      <w:r w:rsidR="002325DC">
        <w:rPr>
          <w:rFonts w:ascii="Segoe UI" w:hAnsi="Segoe UI" w:cs="Segoe UI"/>
          <w:color w:val="014171"/>
          <w:lang w:val="de-DE"/>
        </w:rPr>
        <w:t xml:space="preserve">den </w:t>
      </w:r>
      <w:r w:rsidRPr="0040745F">
        <w:rPr>
          <w:rFonts w:ascii="Segoe UI" w:hAnsi="Segoe UI" w:cs="Segoe UI"/>
          <w:color w:val="014171"/>
          <w:lang w:val="de-DE"/>
        </w:rPr>
        <w:t>Nostrokonten liegen.</w:t>
      </w:r>
    </w:p>
    <w:p w14:paraId="06B45200" w14:textId="3DD7AF77" w:rsidR="00A64E0E" w:rsidRPr="0040745F" w:rsidRDefault="00A64E0E" w:rsidP="00E27BB3">
      <w:pPr>
        <w:pStyle w:val="Heading4"/>
        <w:rPr>
          <w:lang w:val="de-DE"/>
        </w:rPr>
      </w:pPr>
      <w:r w:rsidRPr="0040745F">
        <w:rPr>
          <w:lang w:val="de-DE"/>
        </w:rPr>
        <w:t>Strateg</w:t>
      </w:r>
      <w:r w:rsidR="00765068" w:rsidRPr="0040745F">
        <w:rPr>
          <w:lang w:val="de-DE"/>
        </w:rPr>
        <w:t>ie</w:t>
      </w:r>
    </w:p>
    <w:p w14:paraId="551E8016" w14:textId="77777777" w:rsidR="00D43744" w:rsidRPr="0040745F" w:rsidRDefault="00D43744" w:rsidP="00D43744">
      <w:pPr>
        <w:spacing w:after="0"/>
        <w:jc w:val="both"/>
        <w:rPr>
          <w:rFonts w:ascii="Segoe UI" w:hAnsi="Segoe UI" w:cs="Segoe UI"/>
          <w:color w:val="014171"/>
          <w:lang w:val="de-DE"/>
        </w:rPr>
      </w:pPr>
      <w:r w:rsidRPr="0040745F">
        <w:rPr>
          <w:rFonts w:ascii="Segoe UI" w:hAnsi="Segoe UI" w:cs="Segoe UI"/>
          <w:color w:val="014171"/>
          <w:lang w:val="de-DE"/>
        </w:rPr>
        <w:t>Das Kreditrisiko wird durch eine Kombination von Kontrollen begrenzt und gesteuert. Diese umfassen sowohl Mindeststandards/-anforderungen welches ein Unternehmen erfüllen müssen, um sich als akzeptabler Kontrahenten zu qualifizieren, die Zuweisung interner Kreditratings, die Verwendung vertraglicher Standardvereinbarungen, als auch die Aufrechnung von Forderungen, sofern möglich, sowie die Besicherung von Forderungen.</w:t>
      </w:r>
    </w:p>
    <w:p w14:paraId="0E24A0F7" w14:textId="77777777" w:rsidR="00D43744" w:rsidRPr="0040745F" w:rsidRDefault="00D43744" w:rsidP="00D43744">
      <w:pPr>
        <w:spacing w:after="0"/>
        <w:jc w:val="both"/>
        <w:rPr>
          <w:rFonts w:ascii="Segoe UI" w:hAnsi="Segoe UI" w:cs="Segoe UI"/>
          <w:color w:val="014171"/>
          <w:lang w:val="de-DE"/>
        </w:rPr>
      </w:pPr>
    </w:p>
    <w:p w14:paraId="79C6EB02" w14:textId="2C639000" w:rsidR="005755A4" w:rsidRPr="0040745F" w:rsidRDefault="00D43744" w:rsidP="005755A4">
      <w:pPr>
        <w:spacing w:after="0"/>
        <w:jc w:val="both"/>
        <w:rPr>
          <w:rFonts w:ascii="Segoe UI" w:hAnsi="Segoe UI" w:cs="Segoe UI"/>
          <w:color w:val="014171"/>
          <w:lang w:val="de-DE"/>
        </w:rPr>
      </w:pPr>
      <w:r w:rsidRPr="0040745F">
        <w:rPr>
          <w:rFonts w:ascii="Segoe UI" w:hAnsi="Segoe UI" w:cs="Segoe UI"/>
          <w:color w:val="014171"/>
          <w:lang w:val="de-DE"/>
        </w:rPr>
        <w:t>Obwohl das Kreditrisikomanagement lokal durchgeführt wird, hat die DCMD verschiedene Tätigkeiten an ihre Muttergesellschaft ausgelagert, um von der Expertise und de</w:t>
      </w:r>
      <w:r w:rsidR="002325DC">
        <w:rPr>
          <w:rFonts w:ascii="Segoe UI" w:hAnsi="Segoe UI" w:cs="Segoe UI"/>
          <w:color w:val="014171"/>
          <w:lang w:val="de-DE"/>
        </w:rPr>
        <w:t>m</w:t>
      </w:r>
      <w:r w:rsidRPr="0040745F">
        <w:rPr>
          <w:rFonts w:ascii="Segoe UI" w:hAnsi="Segoe UI" w:cs="Segoe UI"/>
          <w:color w:val="014171"/>
          <w:lang w:val="de-DE"/>
        </w:rPr>
        <w:t xml:space="preserve"> Wissen des Kreditrisikoteams der DCME Gebrauch zu machen. Die Verantwortung für die Festlegung des Risikoappetits, der Kreditlimits und der damit verbundenen Risikorichtlinien und -prozesse verbleibt bei der DCMD. Darüber hinaus werden alle Kreditentscheidungen von der DCMD getroffen.</w:t>
      </w:r>
    </w:p>
    <w:p w14:paraId="1497159F" w14:textId="3CCC0ABB" w:rsidR="00A64E0E" w:rsidRPr="0040745F" w:rsidRDefault="00277A36" w:rsidP="00E27BB3">
      <w:pPr>
        <w:pStyle w:val="Heading4"/>
        <w:rPr>
          <w:lang w:val="de-DE"/>
        </w:rPr>
      </w:pPr>
      <w:r w:rsidRPr="0040745F">
        <w:rPr>
          <w:lang w:val="de-DE"/>
        </w:rPr>
        <w:t>Risiko Identifikation &amp; Beurteilung</w:t>
      </w:r>
    </w:p>
    <w:p w14:paraId="74C69DB8" w14:textId="3119FD1F" w:rsidR="00D43744" w:rsidRPr="0040745F" w:rsidRDefault="00530DF6" w:rsidP="00D43744">
      <w:pPr>
        <w:spacing w:after="0"/>
        <w:jc w:val="both"/>
        <w:rPr>
          <w:rFonts w:ascii="Segoe UI" w:hAnsi="Segoe UI" w:cs="Segoe UI"/>
          <w:color w:val="014171"/>
          <w:lang w:val="de-DE"/>
        </w:rPr>
      </w:pPr>
      <w:r>
        <w:rPr>
          <w:rFonts w:ascii="Segoe UI" w:hAnsi="Segoe UI" w:cs="Segoe UI"/>
          <w:color w:val="014171"/>
          <w:lang w:val="de-DE"/>
        </w:rPr>
        <w:t xml:space="preserve">Das </w:t>
      </w:r>
      <w:r w:rsidR="00D43744" w:rsidRPr="0040745F">
        <w:rPr>
          <w:rFonts w:ascii="Segoe UI" w:hAnsi="Segoe UI" w:cs="Segoe UI"/>
          <w:color w:val="014171"/>
          <w:lang w:val="de-DE"/>
        </w:rPr>
        <w:t xml:space="preserve">Kreditrisiko wird in einem Bottom-up-Ansatz je Transaktion/Position identifiziert und unter Berücksichtigung der rechtlichen Durchsetzbarkeit von Aufrechnungsvereinbarungen nach oben aggregiert. Das Kreditrisiko wird für alle </w:t>
      </w:r>
      <w:r>
        <w:rPr>
          <w:rFonts w:ascii="Segoe UI" w:hAnsi="Segoe UI" w:cs="Segoe UI"/>
          <w:color w:val="014171"/>
          <w:lang w:val="de-DE"/>
        </w:rPr>
        <w:t>offenen Geschäfte</w:t>
      </w:r>
      <w:r w:rsidR="00D43744" w:rsidRPr="0040745F">
        <w:rPr>
          <w:rFonts w:ascii="Segoe UI" w:hAnsi="Segoe UI" w:cs="Segoe UI"/>
          <w:color w:val="014171"/>
          <w:lang w:val="de-DE"/>
        </w:rPr>
        <w:t>, Positionen, Nostro</w:t>
      </w:r>
      <w:r w:rsidR="00F50324">
        <w:rPr>
          <w:rFonts w:ascii="Segoe UI" w:hAnsi="Segoe UI" w:cs="Segoe UI"/>
          <w:color w:val="014171"/>
          <w:lang w:val="de-DE"/>
        </w:rPr>
        <w:t>k</w:t>
      </w:r>
      <w:r>
        <w:rPr>
          <w:rFonts w:ascii="Segoe UI" w:hAnsi="Segoe UI" w:cs="Segoe UI"/>
          <w:color w:val="014171"/>
          <w:lang w:val="de-DE"/>
        </w:rPr>
        <w:t>onten</w:t>
      </w:r>
      <w:r w:rsidR="00F50324">
        <w:rPr>
          <w:rFonts w:ascii="Segoe UI" w:hAnsi="Segoe UI" w:cs="Segoe UI"/>
          <w:color w:val="014171"/>
          <w:lang w:val="de-DE"/>
        </w:rPr>
        <w:t>s</w:t>
      </w:r>
      <w:r w:rsidR="00D43744" w:rsidRPr="0040745F">
        <w:rPr>
          <w:rFonts w:ascii="Segoe UI" w:hAnsi="Segoe UI" w:cs="Segoe UI"/>
          <w:color w:val="014171"/>
          <w:lang w:val="de-DE"/>
        </w:rPr>
        <w:t xml:space="preserve">alden und Depotsalden sowie </w:t>
      </w:r>
      <w:r>
        <w:rPr>
          <w:rFonts w:ascii="Segoe UI" w:hAnsi="Segoe UI" w:cs="Segoe UI"/>
          <w:color w:val="014171"/>
          <w:lang w:val="de-DE"/>
        </w:rPr>
        <w:t>Wertpapierpensionsg</w:t>
      </w:r>
      <w:r w:rsidR="00D43744" w:rsidRPr="0040745F">
        <w:rPr>
          <w:rFonts w:ascii="Segoe UI" w:hAnsi="Segoe UI" w:cs="Segoe UI"/>
          <w:color w:val="014171"/>
          <w:lang w:val="de-DE"/>
        </w:rPr>
        <w:t>eschäften identifiziert.</w:t>
      </w:r>
    </w:p>
    <w:p w14:paraId="029D9D66" w14:textId="77777777" w:rsidR="00D43744" w:rsidRPr="0040745F" w:rsidRDefault="00D43744" w:rsidP="00D43744">
      <w:pPr>
        <w:spacing w:after="0"/>
        <w:jc w:val="both"/>
        <w:rPr>
          <w:rFonts w:ascii="Segoe UI" w:hAnsi="Segoe UI" w:cs="Segoe UI"/>
          <w:color w:val="014171"/>
          <w:lang w:val="de-DE"/>
        </w:rPr>
      </w:pPr>
    </w:p>
    <w:p w14:paraId="125D8F85" w14:textId="14C8629A" w:rsidR="000F119A" w:rsidRPr="0040745F" w:rsidRDefault="00D43744" w:rsidP="00E27BB3">
      <w:pPr>
        <w:spacing w:after="0"/>
        <w:jc w:val="both"/>
        <w:rPr>
          <w:rFonts w:ascii="Segoe UI" w:hAnsi="Segoe UI" w:cs="Segoe UI"/>
          <w:color w:val="014171"/>
          <w:lang w:val="de-DE"/>
        </w:rPr>
      </w:pPr>
      <w:r w:rsidRPr="0040745F">
        <w:rPr>
          <w:rFonts w:ascii="Segoe UI" w:hAnsi="Segoe UI" w:cs="Segoe UI"/>
          <w:color w:val="014171"/>
          <w:lang w:val="de-DE"/>
        </w:rPr>
        <w:t xml:space="preserve">Kreditrisiko ist die Summe aus </w:t>
      </w:r>
      <w:r w:rsidR="00530DF6">
        <w:rPr>
          <w:rFonts w:ascii="Segoe UI" w:hAnsi="Segoe UI" w:cs="Segoe UI"/>
          <w:color w:val="014171"/>
          <w:lang w:val="de-DE"/>
        </w:rPr>
        <w:t xml:space="preserve">dem </w:t>
      </w:r>
      <w:r w:rsidRPr="0040745F">
        <w:rPr>
          <w:rFonts w:ascii="Segoe UI" w:hAnsi="Segoe UI" w:cs="Segoe UI"/>
          <w:color w:val="014171"/>
          <w:lang w:val="de-DE"/>
        </w:rPr>
        <w:t xml:space="preserve">Kontrahenten- und Emittentenrisiko. Kontrahentenrisiko wird ermittelt als eine Kombination aus </w:t>
      </w:r>
      <w:r w:rsidR="00530DF6">
        <w:rPr>
          <w:rFonts w:ascii="Segoe UI" w:hAnsi="Segoe UI" w:cs="Segoe UI"/>
          <w:color w:val="014171"/>
          <w:lang w:val="de-DE"/>
        </w:rPr>
        <w:t>einer aktuellen Bewertung (</w:t>
      </w:r>
      <w:r w:rsidRPr="0040745F">
        <w:rPr>
          <w:rFonts w:ascii="Segoe UI" w:hAnsi="Segoe UI" w:cs="Segoe UI"/>
          <w:color w:val="014171"/>
          <w:lang w:val="de-DE"/>
        </w:rPr>
        <w:t>Mark-to-Market „MTM“</w:t>
      </w:r>
      <w:r w:rsidR="00530DF6">
        <w:rPr>
          <w:rFonts w:ascii="Segoe UI" w:hAnsi="Segoe UI" w:cs="Segoe UI"/>
          <w:color w:val="014171"/>
          <w:lang w:val="de-DE"/>
        </w:rPr>
        <w:t>)</w:t>
      </w:r>
      <w:r w:rsidRPr="0040745F">
        <w:rPr>
          <w:rFonts w:ascii="Segoe UI" w:hAnsi="Segoe UI" w:cs="Segoe UI"/>
          <w:color w:val="014171"/>
          <w:lang w:val="de-DE"/>
        </w:rPr>
        <w:t xml:space="preserve"> und </w:t>
      </w:r>
      <w:r w:rsidR="00B20402">
        <w:rPr>
          <w:rFonts w:ascii="Segoe UI" w:hAnsi="Segoe UI" w:cs="Segoe UI"/>
          <w:color w:val="014171"/>
          <w:lang w:val="de-DE"/>
        </w:rPr>
        <w:t xml:space="preserve">dem </w:t>
      </w:r>
      <w:r w:rsidR="00B20402" w:rsidRPr="0040745F">
        <w:rPr>
          <w:rFonts w:ascii="Segoe UI" w:hAnsi="Segoe UI" w:cs="Segoe UI"/>
          <w:color w:val="014171"/>
          <w:lang w:val="de-DE"/>
        </w:rPr>
        <w:t>potenziellen zukünftigen Risiko</w:t>
      </w:r>
      <w:r w:rsidRPr="0040745F">
        <w:rPr>
          <w:rFonts w:ascii="Segoe UI" w:hAnsi="Segoe UI" w:cs="Segoe UI"/>
          <w:color w:val="014171"/>
          <w:lang w:val="de-DE"/>
        </w:rPr>
        <w:t xml:space="preserve">, also dem zusätzlichen Risiko, das allen offenen und noch nicht abgewickelten Transaktionen innewohnt. Dieses </w:t>
      </w:r>
      <w:r w:rsidR="00530DF6">
        <w:rPr>
          <w:rFonts w:ascii="Segoe UI" w:hAnsi="Segoe UI" w:cs="Segoe UI"/>
          <w:color w:val="014171"/>
          <w:lang w:val="de-DE"/>
        </w:rPr>
        <w:t xml:space="preserve">Risiko </w:t>
      </w:r>
      <w:r w:rsidRPr="0040745F">
        <w:rPr>
          <w:rFonts w:ascii="Segoe UI" w:hAnsi="Segoe UI" w:cs="Segoe UI"/>
          <w:color w:val="014171"/>
          <w:lang w:val="de-DE"/>
        </w:rPr>
        <w:t>wird unter Berücksichtigung von Aufrechnungsvereinbarungen und damit verbundenen Risiken, wie der Unfähigkeit während der Abwicklung der Transaktion zusätzliche Sicherheiten einzufordern</w:t>
      </w:r>
      <w:r w:rsidR="00530DF6">
        <w:rPr>
          <w:rFonts w:ascii="Segoe UI" w:hAnsi="Segoe UI" w:cs="Segoe UI"/>
          <w:color w:val="014171"/>
          <w:lang w:val="de-DE"/>
        </w:rPr>
        <w:t xml:space="preserve">, </w:t>
      </w:r>
      <w:r w:rsidR="00530DF6" w:rsidRPr="0040745F">
        <w:rPr>
          <w:rFonts w:ascii="Segoe UI" w:hAnsi="Segoe UI" w:cs="Segoe UI"/>
          <w:color w:val="014171"/>
          <w:lang w:val="de-DE"/>
        </w:rPr>
        <w:t>berechnet</w:t>
      </w:r>
      <w:r w:rsidRPr="0040745F">
        <w:rPr>
          <w:rFonts w:ascii="Segoe UI" w:hAnsi="Segoe UI" w:cs="Segoe UI"/>
          <w:color w:val="014171"/>
          <w:lang w:val="de-DE"/>
        </w:rPr>
        <w:t>.</w:t>
      </w:r>
    </w:p>
    <w:p w14:paraId="35D549A7" w14:textId="48A0E959" w:rsidR="00A64E0E" w:rsidRPr="0040745F" w:rsidRDefault="006E3B47" w:rsidP="00E27BB3">
      <w:pPr>
        <w:pStyle w:val="Heading4"/>
        <w:rPr>
          <w:lang w:val="de-DE"/>
        </w:rPr>
      </w:pPr>
      <w:r w:rsidRPr="0040745F">
        <w:rPr>
          <w:lang w:val="de-DE"/>
        </w:rPr>
        <w:t>Überwachung der Limite und deren Auslastung</w:t>
      </w:r>
    </w:p>
    <w:p w14:paraId="35E9B1C2" w14:textId="77777777" w:rsidR="00D43744" w:rsidRPr="0040745F" w:rsidRDefault="00D43744" w:rsidP="00D43744">
      <w:pPr>
        <w:spacing w:after="0"/>
        <w:jc w:val="both"/>
        <w:rPr>
          <w:rFonts w:ascii="Segoe UI" w:hAnsi="Segoe UI" w:cs="Segoe UI"/>
          <w:color w:val="014171"/>
          <w:lang w:val="de-DE"/>
        </w:rPr>
      </w:pPr>
      <w:r w:rsidRPr="0040745F">
        <w:rPr>
          <w:rFonts w:ascii="Segoe UI" w:hAnsi="Segoe UI" w:cs="Segoe UI"/>
          <w:color w:val="014171"/>
          <w:lang w:val="de-DE"/>
        </w:rPr>
        <w:t>Kontrahenten werden interne Kreditratings zugewiesen, welche in die Gesamtheit der Maßnahmen zur Begrenzung des Kreditrisikos integriert sind. Bonitätsprüfungen werden regelmäßig auf Basis eines formellen Prüfungszyklus durchgeführt. Limite werden für jedes rechtlich unabhängige Unternehmen und auf Ebene der Kontrahentengruppen festgelegt.</w:t>
      </w:r>
    </w:p>
    <w:p w14:paraId="4A07F7B1" w14:textId="0333795C" w:rsidR="00A64E0E" w:rsidRPr="0040745F" w:rsidRDefault="00D43744" w:rsidP="00E27BB3">
      <w:pPr>
        <w:spacing w:after="0"/>
        <w:jc w:val="both"/>
        <w:rPr>
          <w:rFonts w:ascii="Segoe UI" w:hAnsi="Segoe UI" w:cs="Segoe UI"/>
          <w:color w:val="014171"/>
          <w:lang w:val="de-DE"/>
        </w:rPr>
      </w:pPr>
      <w:r w:rsidRPr="0040745F">
        <w:rPr>
          <w:rFonts w:ascii="Segoe UI" w:hAnsi="Segoe UI" w:cs="Segoe UI"/>
          <w:color w:val="014171"/>
          <w:lang w:val="de-DE"/>
        </w:rPr>
        <w:lastRenderedPageBreak/>
        <w:t>Die Aus</w:t>
      </w:r>
      <w:r w:rsidR="00D646E3">
        <w:rPr>
          <w:rFonts w:ascii="Segoe UI" w:hAnsi="Segoe UI" w:cs="Segoe UI"/>
          <w:color w:val="014171"/>
          <w:lang w:val="de-DE"/>
        </w:rPr>
        <w:t>lastung aller Kreditrisikolimite</w:t>
      </w:r>
      <w:r w:rsidRPr="0040745F">
        <w:rPr>
          <w:rFonts w:ascii="Segoe UI" w:hAnsi="Segoe UI" w:cs="Segoe UI"/>
          <w:color w:val="014171"/>
          <w:lang w:val="de-DE"/>
        </w:rPr>
        <w:t xml:space="preserve"> wird täglich berechnet und überprüft. Dies beinhaltet </w:t>
      </w:r>
      <w:r w:rsidR="00D646E3">
        <w:rPr>
          <w:rFonts w:ascii="Segoe UI" w:hAnsi="Segoe UI" w:cs="Segoe UI"/>
          <w:color w:val="014171"/>
          <w:lang w:val="de-DE"/>
        </w:rPr>
        <w:t xml:space="preserve">auch </w:t>
      </w:r>
      <w:r w:rsidRPr="0040745F">
        <w:rPr>
          <w:rFonts w:ascii="Segoe UI" w:hAnsi="Segoe UI" w:cs="Segoe UI"/>
          <w:color w:val="014171"/>
          <w:lang w:val="de-DE"/>
        </w:rPr>
        <w:t>die Überwachung von Risikokonzentrationen in Bezug auf Kontrahenten</w:t>
      </w:r>
      <w:r w:rsidR="00D646E3">
        <w:rPr>
          <w:rFonts w:ascii="Segoe UI" w:hAnsi="Segoe UI" w:cs="Segoe UI"/>
          <w:color w:val="014171"/>
          <w:lang w:val="de-DE"/>
        </w:rPr>
        <w:t>beurteilungen</w:t>
      </w:r>
      <w:r w:rsidRPr="0040745F">
        <w:rPr>
          <w:rFonts w:ascii="Segoe UI" w:hAnsi="Segoe UI" w:cs="Segoe UI"/>
          <w:color w:val="014171"/>
          <w:lang w:val="de-DE"/>
        </w:rPr>
        <w:t>, Kontrahententyp, Land dem ein Kontrahent aus risikotechnisch</w:t>
      </w:r>
      <w:r w:rsidR="00D646E3">
        <w:rPr>
          <w:rFonts w:ascii="Segoe UI" w:hAnsi="Segoe UI" w:cs="Segoe UI"/>
          <w:color w:val="014171"/>
          <w:lang w:val="de-DE"/>
        </w:rPr>
        <w:t>en</w:t>
      </w:r>
      <w:r w:rsidRPr="0040745F">
        <w:rPr>
          <w:rFonts w:ascii="Segoe UI" w:hAnsi="Segoe UI" w:cs="Segoe UI"/>
          <w:color w:val="014171"/>
          <w:lang w:val="de-DE"/>
        </w:rPr>
        <w:t xml:space="preserve"> Gesichtspunkten zuzuordnen ist, und dem Rating des Land</w:t>
      </w:r>
      <w:r w:rsidR="006C1309">
        <w:rPr>
          <w:rFonts w:ascii="Segoe UI" w:hAnsi="Segoe UI" w:cs="Segoe UI"/>
          <w:color w:val="014171"/>
          <w:lang w:val="de-DE"/>
        </w:rPr>
        <w:t>es dem der Kontrahent zugeordnet</w:t>
      </w:r>
      <w:r w:rsidRPr="0040745F">
        <w:rPr>
          <w:rFonts w:ascii="Segoe UI" w:hAnsi="Segoe UI" w:cs="Segoe UI"/>
          <w:color w:val="014171"/>
          <w:lang w:val="de-DE"/>
        </w:rPr>
        <w:t xml:space="preserve"> wird. Darüber hinaus können bei Bedarf Ad-hoc-Analysen durchgeführt werden, um eine bessere Einsicht in die einzelnen Kreditrisiken und das Gesamtrisikoprofil der Gesellschaft zu ermöglichen.</w:t>
      </w:r>
    </w:p>
    <w:p w14:paraId="2EB614B3" w14:textId="527B28DC" w:rsidR="00A64E0E" w:rsidRPr="0040745F" w:rsidRDefault="006E3B47" w:rsidP="00E27BB3">
      <w:pPr>
        <w:pStyle w:val="Heading4"/>
        <w:rPr>
          <w:lang w:val="de-DE"/>
        </w:rPr>
      </w:pPr>
      <w:r w:rsidRPr="0040745F">
        <w:rPr>
          <w:lang w:val="de-DE"/>
        </w:rPr>
        <w:t>Berichtswesen</w:t>
      </w:r>
    </w:p>
    <w:p w14:paraId="53BFDD74" w14:textId="2552C4A5" w:rsidR="00D43744" w:rsidRPr="0040745F" w:rsidRDefault="00D43744" w:rsidP="00D43744">
      <w:pPr>
        <w:spacing w:after="0"/>
        <w:jc w:val="both"/>
        <w:rPr>
          <w:rFonts w:ascii="Segoe UI" w:hAnsi="Segoe UI" w:cs="Segoe UI"/>
          <w:color w:val="014171"/>
          <w:lang w:val="de-DE"/>
        </w:rPr>
      </w:pPr>
      <w:r w:rsidRPr="0040745F">
        <w:rPr>
          <w:rFonts w:ascii="Segoe UI" w:hAnsi="Segoe UI" w:cs="Segoe UI"/>
          <w:color w:val="014171"/>
          <w:lang w:val="de-DE"/>
        </w:rPr>
        <w:t xml:space="preserve">Auf täglicher Basis werden an die </w:t>
      </w:r>
      <w:r w:rsidR="00D646E3">
        <w:rPr>
          <w:rFonts w:ascii="Segoe UI" w:hAnsi="Segoe UI" w:cs="Segoe UI"/>
          <w:color w:val="014171"/>
          <w:lang w:val="de-DE"/>
        </w:rPr>
        <w:t>Geschäftsbereiche „Handel / Verkauf“</w:t>
      </w:r>
      <w:r w:rsidRPr="0040745F">
        <w:rPr>
          <w:rFonts w:ascii="Segoe UI" w:hAnsi="Segoe UI" w:cs="Segoe UI"/>
          <w:color w:val="014171"/>
          <w:lang w:val="de-DE"/>
        </w:rPr>
        <w:t xml:space="preserve"> detaillierte Berichte (z. B. Limitauslastung je Abteilung) mit den nötigen Einzelheiten verteilt, die es den Geschäftsbereichen erlaubt ihre Risiken innerhalb zugewiesener Limits steuern zu können.</w:t>
      </w:r>
    </w:p>
    <w:p w14:paraId="029F8775" w14:textId="77777777" w:rsidR="00D43744" w:rsidRPr="0040745F" w:rsidRDefault="00D43744" w:rsidP="00D43744">
      <w:pPr>
        <w:spacing w:after="0"/>
        <w:jc w:val="both"/>
        <w:rPr>
          <w:rFonts w:ascii="Segoe UI" w:hAnsi="Segoe UI" w:cs="Segoe UI"/>
          <w:color w:val="014171"/>
          <w:lang w:val="de-DE"/>
        </w:rPr>
      </w:pPr>
    </w:p>
    <w:p w14:paraId="3D1C3E97" w14:textId="22C4BD38" w:rsidR="00D43744" w:rsidRPr="0040745F" w:rsidRDefault="00D43744" w:rsidP="00D43744">
      <w:pPr>
        <w:spacing w:after="0"/>
        <w:jc w:val="both"/>
        <w:rPr>
          <w:rFonts w:ascii="Segoe UI" w:hAnsi="Segoe UI" w:cs="Segoe UI"/>
          <w:color w:val="014171"/>
          <w:lang w:val="de-DE"/>
        </w:rPr>
      </w:pPr>
      <w:r w:rsidRPr="0040745F">
        <w:rPr>
          <w:rFonts w:ascii="Segoe UI" w:hAnsi="Segoe UI" w:cs="Segoe UI"/>
          <w:color w:val="014171"/>
          <w:lang w:val="de-DE"/>
        </w:rPr>
        <w:t>Außerdem werden täglich zusammenfassende Berichte erstellt, welche an die Geschäftsleitung der DCMD übermittelt werden.</w:t>
      </w:r>
    </w:p>
    <w:p w14:paraId="7F99EB57" w14:textId="77777777" w:rsidR="00D43744" w:rsidRPr="0040745F" w:rsidRDefault="00D43744" w:rsidP="00D43744">
      <w:pPr>
        <w:spacing w:after="0"/>
        <w:jc w:val="both"/>
        <w:rPr>
          <w:rFonts w:ascii="Segoe UI" w:hAnsi="Segoe UI" w:cs="Segoe UI"/>
          <w:color w:val="014171"/>
          <w:lang w:val="de-DE"/>
        </w:rPr>
      </w:pPr>
    </w:p>
    <w:p w14:paraId="4EE65A32" w14:textId="16908C78" w:rsidR="00D43744" w:rsidRPr="0040745F" w:rsidRDefault="00D43744" w:rsidP="00D43744">
      <w:pPr>
        <w:spacing w:after="0"/>
        <w:jc w:val="both"/>
        <w:rPr>
          <w:rFonts w:ascii="Segoe UI" w:hAnsi="Segoe UI" w:cs="Segoe UI"/>
          <w:color w:val="014171"/>
          <w:lang w:val="de-DE"/>
        </w:rPr>
      </w:pPr>
      <w:r w:rsidRPr="00F50324">
        <w:rPr>
          <w:rFonts w:ascii="Segoe UI" w:hAnsi="Segoe UI" w:cs="Segoe UI"/>
          <w:color w:val="014171"/>
          <w:lang w:val="de-DE"/>
        </w:rPr>
        <w:t>Für das Ris</w:t>
      </w:r>
      <w:r w:rsidR="00476E3B" w:rsidRPr="00F50324">
        <w:rPr>
          <w:rFonts w:ascii="Segoe UI" w:hAnsi="Segoe UI" w:cs="Segoe UI"/>
          <w:color w:val="014171"/>
          <w:lang w:val="de-DE"/>
        </w:rPr>
        <w:t>i</w:t>
      </w:r>
      <w:r w:rsidRPr="00F50324">
        <w:rPr>
          <w:rFonts w:ascii="Segoe UI" w:hAnsi="Segoe UI" w:cs="Segoe UI"/>
          <w:color w:val="014171"/>
          <w:lang w:val="de-DE"/>
        </w:rPr>
        <w:t>k</w:t>
      </w:r>
      <w:r w:rsidR="00476E3B" w:rsidRPr="00F50324">
        <w:rPr>
          <w:rFonts w:ascii="Segoe UI" w:hAnsi="Segoe UI" w:cs="Segoe UI"/>
          <w:color w:val="014171"/>
          <w:lang w:val="de-DE"/>
        </w:rPr>
        <w:t>o</w:t>
      </w:r>
      <w:r w:rsidRPr="00F50324">
        <w:rPr>
          <w:rFonts w:ascii="Segoe UI" w:hAnsi="Segoe UI" w:cs="Segoe UI"/>
          <w:color w:val="014171"/>
          <w:lang w:val="de-DE"/>
        </w:rPr>
        <w:t xml:space="preserve"> </w:t>
      </w:r>
      <w:r w:rsidR="00476E3B" w:rsidRPr="00F50324">
        <w:rPr>
          <w:rFonts w:ascii="Segoe UI" w:hAnsi="Segoe UI" w:cs="Segoe UI"/>
          <w:color w:val="014171"/>
          <w:lang w:val="de-DE"/>
        </w:rPr>
        <w:t>Komitee, das Exek</w:t>
      </w:r>
      <w:r w:rsidRPr="00F50324">
        <w:rPr>
          <w:rFonts w:ascii="Segoe UI" w:hAnsi="Segoe UI" w:cs="Segoe UI"/>
          <w:color w:val="014171"/>
          <w:lang w:val="de-DE"/>
        </w:rPr>
        <w:t xml:space="preserve">utive </w:t>
      </w:r>
      <w:r w:rsidR="00476E3B" w:rsidRPr="00F50324">
        <w:rPr>
          <w:rFonts w:ascii="Segoe UI" w:hAnsi="Segoe UI" w:cs="Segoe UI"/>
          <w:color w:val="014171"/>
          <w:lang w:val="de-DE"/>
        </w:rPr>
        <w:t>Komitee</w:t>
      </w:r>
      <w:r w:rsidRPr="00F50324">
        <w:rPr>
          <w:rFonts w:ascii="Segoe UI" w:hAnsi="Segoe UI" w:cs="Segoe UI"/>
          <w:color w:val="014171"/>
          <w:lang w:val="de-DE"/>
        </w:rPr>
        <w:t xml:space="preserve"> und die Geschäftsführung wird jeweils ein</w:t>
      </w:r>
      <w:r w:rsidRPr="0040745F">
        <w:rPr>
          <w:rFonts w:ascii="Segoe UI" w:hAnsi="Segoe UI" w:cs="Segoe UI"/>
          <w:color w:val="014171"/>
          <w:lang w:val="de-DE"/>
        </w:rPr>
        <w:t xml:space="preserve"> monatliches Berichtswerk erstellt. Melde- und Eskalationsverfahren sind in Übereinstimmung mit den Daiwa-Standards und den Vorgaben der Mindestanforderungen an das Risikomanagement („MaRisk“) der BaFin eingerichtet.</w:t>
      </w:r>
    </w:p>
    <w:p w14:paraId="761F1816" w14:textId="77777777" w:rsidR="00D43744" w:rsidRPr="0040745F" w:rsidRDefault="00D43744" w:rsidP="00D43744">
      <w:pPr>
        <w:spacing w:after="0"/>
        <w:jc w:val="both"/>
        <w:rPr>
          <w:rFonts w:ascii="Segoe UI" w:hAnsi="Segoe UI" w:cs="Segoe UI"/>
          <w:color w:val="014171"/>
          <w:lang w:val="de-DE"/>
        </w:rPr>
      </w:pPr>
    </w:p>
    <w:p w14:paraId="2463995B" w14:textId="60562B01" w:rsidR="00A64E0E" w:rsidRPr="0040745F" w:rsidRDefault="00D43744" w:rsidP="00E27BB3">
      <w:pPr>
        <w:spacing w:after="0"/>
        <w:jc w:val="both"/>
        <w:rPr>
          <w:rFonts w:ascii="Segoe UI" w:hAnsi="Segoe UI" w:cs="Segoe UI"/>
          <w:color w:val="014171"/>
          <w:lang w:val="de-DE"/>
        </w:rPr>
      </w:pPr>
      <w:r w:rsidRPr="0040745F">
        <w:rPr>
          <w:rFonts w:ascii="Segoe UI" w:hAnsi="Segoe UI" w:cs="Segoe UI"/>
          <w:color w:val="014171"/>
          <w:lang w:val="de-DE"/>
        </w:rPr>
        <w:t>Ad-hoc-Meldeverfahren zur rechtzeitigen Eskalation wichtiger Angelegenheiten, z.B. für Limitänderungen oder -überschreitungen, sind vorhanden und wurden in den Richtlinien und Prozessbeschreibungen der DCMD formalisiert und dokumentiert.</w:t>
      </w:r>
    </w:p>
    <w:p w14:paraId="13729730" w14:textId="77777777" w:rsidR="000F26E7" w:rsidRPr="0040745F" w:rsidRDefault="000F26E7" w:rsidP="00E27BB3">
      <w:pPr>
        <w:spacing w:after="0"/>
        <w:jc w:val="both"/>
        <w:rPr>
          <w:rFonts w:ascii="Segoe UI" w:hAnsi="Segoe UI" w:cs="Segoe UI"/>
          <w:color w:val="014171"/>
          <w:lang w:val="de-DE"/>
        </w:rPr>
      </w:pPr>
    </w:p>
    <w:p w14:paraId="1BFF0B75" w14:textId="53EC2C14" w:rsidR="00A64E0E" w:rsidRPr="0040745F" w:rsidRDefault="00D43744" w:rsidP="00E27BB3">
      <w:pPr>
        <w:pStyle w:val="Heading3"/>
        <w:rPr>
          <w:b w:val="0"/>
          <w:lang w:val="de-DE"/>
        </w:rPr>
      </w:pPr>
      <w:r w:rsidRPr="0040745F">
        <w:rPr>
          <w:lang w:val="de-DE"/>
        </w:rPr>
        <w:t xml:space="preserve">Finanzierungs- </w:t>
      </w:r>
      <w:r w:rsidR="004E1139">
        <w:rPr>
          <w:lang w:val="de-DE"/>
        </w:rPr>
        <w:t>u</w:t>
      </w:r>
      <w:r w:rsidR="00A64E0E" w:rsidRPr="0040745F">
        <w:rPr>
          <w:lang w:val="de-DE"/>
        </w:rPr>
        <w:t>nd Liquidit</w:t>
      </w:r>
      <w:r w:rsidRPr="0040745F">
        <w:rPr>
          <w:lang w:val="de-DE"/>
        </w:rPr>
        <w:t>ätsr</w:t>
      </w:r>
      <w:r w:rsidR="00A64E0E" w:rsidRPr="0040745F">
        <w:rPr>
          <w:lang w:val="de-DE"/>
        </w:rPr>
        <w:t>is</w:t>
      </w:r>
      <w:r w:rsidRPr="0040745F">
        <w:rPr>
          <w:lang w:val="de-DE"/>
        </w:rPr>
        <w:t>i</w:t>
      </w:r>
      <w:r w:rsidR="00A64E0E" w:rsidRPr="0040745F">
        <w:rPr>
          <w:lang w:val="de-DE"/>
        </w:rPr>
        <w:t>k</w:t>
      </w:r>
      <w:r w:rsidRPr="0040745F">
        <w:rPr>
          <w:lang w:val="de-DE"/>
        </w:rPr>
        <w:t>o</w:t>
      </w:r>
    </w:p>
    <w:p w14:paraId="2267415A" w14:textId="77777777" w:rsidR="00A64E0E" w:rsidRPr="0040745F" w:rsidRDefault="00A64E0E" w:rsidP="00E27BB3">
      <w:pPr>
        <w:pStyle w:val="Heading4"/>
        <w:rPr>
          <w:lang w:val="de-DE"/>
        </w:rPr>
      </w:pPr>
      <w:r w:rsidRPr="0040745F">
        <w:rPr>
          <w:lang w:val="de-DE"/>
        </w:rPr>
        <w:t>Definition</w:t>
      </w:r>
    </w:p>
    <w:p w14:paraId="786ADE95" w14:textId="1B0C1254" w:rsidR="00D43744" w:rsidRPr="0040745F" w:rsidRDefault="00D43744" w:rsidP="00D43744">
      <w:pPr>
        <w:spacing w:after="0"/>
        <w:jc w:val="both"/>
        <w:rPr>
          <w:rFonts w:ascii="Segoe UI" w:hAnsi="Segoe UI" w:cs="Segoe UI"/>
          <w:color w:val="014171"/>
          <w:lang w:val="de-DE"/>
        </w:rPr>
      </w:pPr>
      <w:r w:rsidRPr="0040745F">
        <w:rPr>
          <w:rFonts w:ascii="Segoe UI" w:hAnsi="Segoe UI" w:cs="Segoe UI"/>
          <w:color w:val="014171"/>
          <w:lang w:val="de-DE"/>
        </w:rPr>
        <w:t>Liquiditätsrisiko ist definiert als das Risiko, dass ein Unternehmen seinen Verpflichtungen bei Fälligkeit nicht nachkommen kann</w:t>
      </w:r>
      <w:r w:rsidR="00DF152B">
        <w:rPr>
          <w:rFonts w:ascii="Segoe UI" w:hAnsi="Segoe UI" w:cs="Segoe UI"/>
          <w:color w:val="014171"/>
          <w:lang w:val="de-DE"/>
        </w:rPr>
        <w:t xml:space="preserve">. Ein Liquiditätsengpass </w:t>
      </w:r>
      <w:r w:rsidRPr="0040745F">
        <w:rPr>
          <w:rFonts w:ascii="Segoe UI" w:hAnsi="Segoe UI" w:cs="Segoe UI"/>
          <w:color w:val="014171"/>
          <w:lang w:val="de-DE"/>
        </w:rPr>
        <w:t>führt</w:t>
      </w:r>
      <w:r w:rsidR="00DF152B">
        <w:rPr>
          <w:rFonts w:ascii="Segoe UI" w:hAnsi="Segoe UI" w:cs="Segoe UI"/>
          <w:color w:val="014171"/>
          <w:lang w:val="de-DE"/>
        </w:rPr>
        <w:t xml:space="preserve"> dazu</w:t>
      </w:r>
      <w:r w:rsidRPr="0040745F">
        <w:rPr>
          <w:rFonts w:ascii="Segoe UI" w:hAnsi="Segoe UI" w:cs="Segoe UI"/>
          <w:color w:val="014171"/>
          <w:lang w:val="de-DE"/>
        </w:rPr>
        <w:t xml:space="preserve">, dass es nicht in der Lage ist, die normale Geschäftstätigkeit aufrechtzuerhalten und </w:t>
      </w:r>
      <w:r w:rsidR="00DF152B">
        <w:rPr>
          <w:rFonts w:ascii="Segoe UI" w:hAnsi="Segoe UI" w:cs="Segoe UI"/>
          <w:color w:val="014171"/>
          <w:lang w:val="de-DE"/>
        </w:rPr>
        <w:t>eventuelle</w:t>
      </w:r>
      <w:r w:rsidRPr="0040745F">
        <w:rPr>
          <w:rFonts w:ascii="Segoe UI" w:hAnsi="Segoe UI" w:cs="Segoe UI"/>
          <w:color w:val="014171"/>
          <w:lang w:val="de-DE"/>
        </w:rPr>
        <w:t xml:space="preserve"> regulatorische Anforderungen an die Liquidität </w:t>
      </w:r>
      <w:r w:rsidR="00DF152B">
        <w:rPr>
          <w:rFonts w:ascii="Segoe UI" w:hAnsi="Segoe UI" w:cs="Segoe UI"/>
          <w:color w:val="014171"/>
          <w:lang w:val="de-DE"/>
        </w:rPr>
        <w:t xml:space="preserve">nicht </w:t>
      </w:r>
      <w:r w:rsidRPr="0040745F">
        <w:rPr>
          <w:rFonts w:ascii="Segoe UI" w:hAnsi="Segoe UI" w:cs="Segoe UI"/>
          <w:color w:val="014171"/>
          <w:lang w:val="de-DE"/>
        </w:rPr>
        <w:t>zu erfüllen.</w:t>
      </w:r>
    </w:p>
    <w:p w14:paraId="36E9E713" w14:textId="77777777" w:rsidR="00D43744" w:rsidRPr="0040745F" w:rsidRDefault="00D43744" w:rsidP="00D43744">
      <w:pPr>
        <w:spacing w:after="0"/>
        <w:jc w:val="both"/>
        <w:rPr>
          <w:rFonts w:ascii="Segoe UI" w:hAnsi="Segoe UI" w:cs="Segoe UI"/>
          <w:color w:val="014171"/>
          <w:lang w:val="de-DE"/>
        </w:rPr>
      </w:pPr>
    </w:p>
    <w:p w14:paraId="0F467851" w14:textId="5578AC21" w:rsidR="00FA2278" w:rsidRPr="0040745F" w:rsidRDefault="00D43744" w:rsidP="00E27BB3">
      <w:pPr>
        <w:spacing w:after="0"/>
        <w:jc w:val="both"/>
        <w:rPr>
          <w:rFonts w:ascii="Segoe UI" w:hAnsi="Segoe UI" w:cs="Segoe UI"/>
          <w:color w:val="014171"/>
          <w:lang w:val="de-DE"/>
        </w:rPr>
      </w:pPr>
      <w:r w:rsidRPr="0040745F">
        <w:rPr>
          <w:rFonts w:ascii="Segoe UI" w:hAnsi="Segoe UI" w:cs="Segoe UI"/>
          <w:color w:val="014171"/>
          <w:lang w:val="de-DE"/>
        </w:rPr>
        <w:t xml:space="preserve">Finanzierungsrisiko ist definiert als das Risiko, dass ein Unternehmen nicht in der Lage ist, sowohl den erwarteten als auch den unerwarteten aktuellen und zukünftigen Bedarf an Kapitalflüssen und </w:t>
      </w:r>
      <w:r w:rsidR="00DF152B">
        <w:rPr>
          <w:rFonts w:ascii="Segoe UI" w:hAnsi="Segoe UI" w:cs="Segoe UI"/>
          <w:color w:val="014171"/>
          <w:lang w:val="de-DE"/>
        </w:rPr>
        <w:t xml:space="preserve">finanziellen </w:t>
      </w:r>
      <w:r w:rsidRPr="0040745F">
        <w:rPr>
          <w:rFonts w:ascii="Segoe UI" w:hAnsi="Segoe UI" w:cs="Segoe UI"/>
          <w:color w:val="014171"/>
          <w:lang w:val="de-DE"/>
        </w:rPr>
        <w:t>Sicherheiten zu decken, ohne das Tagesgeschäft oder die Finanzlage des Unternehmens zu beeinträchtigen.</w:t>
      </w:r>
    </w:p>
    <w:p w14:paraId="217D1BE4" w14:textId="2D0E0EEC" w:rsidR="00A64E0E" w:rsidRPr="0040745F" w:rsidRDefault="00A64E0E" w:rsidP="00E27BB3">
      <w:pPr>
        <w:pStyle w:val="Heading4"/>
        <w:rPr>
          <w:lang w:val="de-DE"/>
        </w:rPr>
      </w:pPr>
      <w:r w:rsidRPr="0040745F">
        <w:rPr>
          <w:lang w:val="de-DE"/>
        </w:rPr>
        <w:t>Strateg</w:t>
      </w:r>
      <w:r w:rsidR="00765068" w:rsidRPr="0040745F">
        <w:rPr>
          <w:lang w:val="de-DE"/>
        </w:rPr>
        <w:t>ie</w:t>
      </w:r>
    </w:p>
    <w:p w14:paraId="53C30190" w14:textId="41B24070" w:rsidR="000F119A" w:rsidRPr="0040745F" w:rsidRDefault="00D43744" w:rsidP="00E27BB3">
      <w:pPr>
        <w:spacing w:after="0"/>
        <w:jc w:val="both"/>
        <w:rPr>
          <w:rFonts w:ascii="Segoe UI" w:hAnsi="Segoe UI" w:cs="Segoe UI"/>
          <w:color w:val="014171"/>
          <w:lang w:val="de-DE"/>
        </w:rPr>
      </w:pPr>
      <w:r w:rsidRPr="0040745F">
        <w:rPr>
          <w:rFonts w:ascii="Segoe UI" w:hAnsi="Segoe UI" w:cs="Segoe UI"/>
          <w:color w:val="014171"/>
          <w:lang w:val="de-DE"/>
        </w:rPr>
        <w:t>Das Liquiditätsrisiko wird durch eine Kombination von Kontrollen begrenzt und verwaltet, einschli</w:t>
      </w:r>
      <w:r w:rsidR="005F5744">
        <w:rPr>
          <w:rFonts w:ascii="Segoe UI" w:hAnsi="Segoe UI" w:cs="Segoe UI"/>
          <w:color w:val="014171"/>
          <w:lang w:val="de-DE"/>
        </w:rPr>
        <w:t>eßlich eines Liquiditätspuffers</w:t>
      </w:r>
      <w:r w:rsidRPr="0040745F">
        <w:rPr>
          <w:rFonts w:ascii="Segoe UI" w:hAnsi="Segoe UI" w:cs="Segoe UI"/>
          <w:color w:val="014171"/>
          <w:lang w:val="de-DE"/>
        </w:rPr>
        <w:t>, der auf gestresste Geldabflüsse kalibriert ist</w:t>
      </w:r>
      <w:r w:rsidR="00D24931">
        <w:rPr>
          <w:rFonts w:ascii="Segoe UI" w:hAnsi="Segoe UI" w:cs="Segoe UI"/>
          <w:color w:val="014171"/>
          <w:lang w:val="de-DE"/>
        </w:rPr>
        <w:t>. D</w:t>
      </w:r>
      <w:r w:rsidRPr="0040745F">
        <w:rPr>
          <w:rFonts w:ascii="Segoe UI" w:hAnsi="Segoe UI" w:cs="Segoe UI"/>
          <w:color w:val="014171"/>
          <w:lang w:val="de-DE"/>
        </w:rPr>
        <w:t xml:space="preserve">ie </w:t>
      </w:r>
      <w:r w:rsidRPr="0040745F">
        <w:rPr>
          <w:rFonts w:ascii="Segoe UI" w:hAnsi="Segoe UI" w:cs="Segoe UI"/>
          <w:color w:val="014171"/>
          <w:lang w:val="de-DE"/>
        </w:rPr>
        <w:lastRenderedPageBreak/>
        <w:t>Steuerung von Laufzeitinkongruenzen, sowie Verfahren zur Geldfluss- und Bilanzsteuer</w:t>
      </w:r>
      <w:r w:rsidR="00D24931">
        <w:rPr>
          <w:rFonts w:ascii="Segoe UI" w:hAnsi="Segoe UI" w:cs="Segoe UI"/>
          <w:color w:val="014171"/>
          <w:lang w:val="de-DE"/>
        </w:rPr>
        <w:t xml:space="preserve"> sind durch</w:t>
      </w:r>
      <w:r w:rsidR="004E341B">
        <w:rPr>
          <w:rFonts w:ascii="Segoe UI" w:hAnsi="Segoe UI" w:cs="Segoe UI"/>
          <w:color w:val="014171"/>
          <w:lang w:val="de-DE"/>
        </w:rPr>
        <w:t xml:space="preserve"> das Buchungsmodell vorgegeben</w:t>
      </w:r>
      <w:r w:rsidRPr="0040745F">
        <w:rPr>
          <w:rFonts w:ascii="Segoe UI" w:hAnsi="Segoe UI" w:cs="Segoe UI"/>
          <w:color w:val="014171"/>
          <w:lang w:val="de-DE"/>
        </w:rPr>
        <w:t>.</w:t>
      </w:r>
    </w:p>
    <w:p w14:paraId="3E58EE34" w14:textId="77E2D811" w:rsidR="00A64E0E" w:rsidRPr="0040745F" w:rsidRDefault="00277A36" w:rsidP="00E27BB3">
      <w:pPr>
        <w:pStyle w:val="Heading4"/>
        <w:rPr>
          <w:lang w:val="de-DE"/>
        </w:rPr>
      </w:pPr>
      <w:r w:rsidRPr="0040745F">
        <w:rPr>
          <w:lang w:val="de-DE"/>
        </w:rPr>
        <w:t>Risiko Identifikation &amp; Beurteilung</w:t>
      </w:r>
    </w:p>
    <w:p w14:paraId="28BFCE15" w14:textId="69ECE635" w:rsidR="00D43744" w:rsidRPr="0040745F" w:rsidRDefault="00D43744" w:rsidP="00D43744">
      <w:pPr>
        <w:spacing w:after="0"/>
        <w:jc w:val="both"/>
        <w:rPr>
          <w:rFonts w:ascii="Segoe UI" w:hAnsi="Segoe UI" w:cs="Segoe UI"/>
          <w:color w:val="014171"/>
          <w:lang w:val="de-DE"/>
        </w:rPr>
      </w:pPr>
      <w:r w:rsidRPr="0040745F">
        <w:rPr>
          <w:rFonts w:ascii="Segoe UI" w:hAnsi="Segoe UI" w:cs="Segoe UI"/>
          <w:color w:val="014171"/>
          <w:lang w:val="de-DE"/>
        </w:rPr>
        <w:t>Risiken werden durch eine Reihe von Liquiditäts- und Finanzierungsrisikotreiber</w:t>
      </w:r>
      <w:r w:rsidR="00D24931">
        <w:rPr>
          <w:rFonts w:ascii="Segoe UI" w:hAnsi="Segoe UI" w:cs="Segoe UI"/>
          <w:color w:val="014171"/>
          <w:lang w:val="de-DE"/>
        </w:rPr>
        <w:t>n identifiziert, wie z. B. Intra-T</w:t>
      </w:r>
      <w:r w:rsidRPr="0040745F">
        <w:rPr>
          <w:rFonts w:ascii="Segoe UI" w:hAnsi="Segoe UI" w:cs="Segoe UI"/>
          <w:color w:val="014171"/>
          <w:lang w:val="de-DE"/>
        </w:rPr>
        <w:t xml:space="preserve">agesliquidität und </w:t>
      </w:r>
      <w:r w:rsidR="004E341B">
        <w:rPr>
          <w:rFonts w:ascii="Segoe UI" w:hAnsi="Segoe UI" w:cs="Segoe UI"/>
          <w:color w:val="014171"/>
          <w:lang w:val="de-DE"/>
        </w:rPr>
        <w:t>das F</w:t>
      </w:r>
      <w:r w:rsidRPr="0040745F">
        <w:rPr>
          <w:rFonts w:ascii="Segoe UI" w:hAnsi="Segoe UI" w:cs="Segoe UI"/>
          <w:color w:val="014171"/>
          <w:lang w:val="de-DE"/>
        </w:rPr>
        <w:t>inanzierungskonzentrationsrisiko.</w:t>
      </w:r>
    </w:p>
    <w:p w14:paraId="6151BA58" w14:textId="77777777" w:rsidR="00D43744" w:rsidRPr="0040745F" w:rsidRDefault="00D43744" w:rsidP="00D43744">
      <w:pPr>
        <w:spacing w:after="0"/>
        <w:jc w:val="both"/>
        <w:rPr>
          <w:rFonts w:ascii="Segoe UI" w:hAnsi="Segoe UI" w:cs="Segoe UI"/>
          <w:color w:val="014171"/>
          <w:lang w:val="de-DE"/>
        </w:rPr>
      </w:pPr>
    </w:p>
    <w:p w14:paraId="2D074743" w14:textId="5494CB31" w:rsidR="00BB66DD" w:rsidRPr="0040745F" w:rsidRDefault="00D43744" w:rsidP="00E27BB3">
      <w:pPr>
        <w:spacing w:after="0"/>
        <w:jc w:val="both"/>
        <w:rPr>
          <w:rFonts w:ascii="Segoe UI" w:hAnsi="Segoe UI" w:cs="Segoe UI"/>
          <w:color w:val="014171"/>
          <w:lang w:val="de-DE"/>
        </w:rPr>
      </w:pPr>
      <w:r w:rsidRPr="0040745F">
        <w:rPr>
          <w:rFonts w:ascii="Segoe UI" w:hAnsi="Segoe UI" w:cs="Segoe UI"/>
          <w:color w:val="014171"/>
          <w:lang w:val="de-DE"/>
        </w:rPr>
        <w:t xml:space="preserve">Risiken werden regelmäßig unter Verwendung von Instrumenten und Methoden wie der Geldfluss- und Bilanzgrößensteuerung, sowie der Notfallfinanzierungsplanung bewertet. Das wichtigste Instrument zur Minderung des Liquiditätsrisikos in DCMD </w:t>
      </w:r>
      <w:r w:rsidR="001D6222">
        <w:rPr>
          <w:rFonts w:ascii="Segoe UI" w:hAnsi="Segoe UI" w:cs="Segoe UI"/>
          <w:color w:val="014171"/>
          <w:lang w:val="de-DE"/>
        </w:rPr>
        <w:t>(</w:t>
      </w:r>
      <w:r w:rsidR="004E341B">
        <w:rPr>
          <w:rFonts w:ascii="Segoe UI" w:hAnsi="Segoe UI" w:cs="Segoe UI"/>
          <w:color w:val="014171"/>
          <w:lang w:val="de-DE"/>
        </w:rPr>
        <w:t>neben dem Buchungsmodell</w:t>
      </w:r>
      <w:r w:rsidR="001D6222">
        <w:rPr>
          <w:rFonts w:ascii="Segoe UI" w:hAnsi="Segoe UI" w:cs="Segoe UI"/>
          <w:color w:val="014171"/>
          <w:lang w:val="de-DE"/>
        </w:rPr>
        <w:t>)</w:t>
      </w:r>
      <w:r w:rsidR="004E341B">
        <w:rPr>
          <w:rFonts w:ascii="Segoe UI" w:hAnsi="Segoe UI" w:cs="Segoe UI"/>
          <w:color w:val="014171"/>
          <w:lang w:val="de-DE"/>
        </w:rPr>
        <w:t xml:space="preserve"> </w:t>
      </w:r>
      <w:r w:rsidRPr="0040745F">
        <w:rPr>
          <w:rFonts w:ascii="Segoe UI" w:hAnsi="Segoe UI" w:cs="Segoe UI"/>
          <w:color w:val="014171"/>
          <w:lang w:val="de-DE"/>
        </w:rPr>
        <w:t xml:space="preserve">ist der Liquiditätspuffer, Dieser wird auf Grundlage der Historie </w:t>
      </w:r>
      <w:r w:rsidR="001D6222">
        <w:rPr>
          <w:rFonts w:ascii="Segoe UI" w:hAnsi="Segoe UI" w:cs="Segoe UI"/>
          <w:color w:val="014171"/>
          <w:lang w:val="de-DE"/>
        </w:rPr>
        <w:t>von „</w:t>
      </w:r>
      <w:r w:rsidR="004E341B">
        <w:rPr>
          <w:rFonts w:ascii="Segoe UI" w:hAnsi="Segoe UI" w:cs="Segoe UI"/>
          <w:color w:val="014171"/>
          <w:lang w:val="de-DE"/>
        </w:rPr>
        <w:t>zu spät abgewickelten Geschäften</w:t>
      </w:r>
      <w:r w:rsidR="001D6222">
        <w:rPr>
          <w:rFonts w:ascii="Segoe UI" w:hAnsi="Segoe UI" w:cs="Segoe UI"/>
          <w:color w:val="014171"/>
          <w:lang w:val="de-DE"/>
        </w:rPr>
        <w:t>“</w:t>
      </w:r>
      <w:r w:rsidRPr="0040745F">
        <w:rPr>
          <w:rFonts w:ascii="Segoe UI" w:hAnsi="Segoe UI" w:cs="Segoe UI"/>
          <w:color w:val="014171"/>
          <w:lang w:val="de-DE"/>
        </w:rPr>
        <w:t xml:space="preserve"> von DCMD festgelegt und jährlich, entsprechend der Geschäftstätigkeit und sich ändernden regulatorischen Anforderungen, neu kalibriert.</w:t>
      </w:r>
    </w:p>
    <w:p w14:paraId="38A276FC" w14:textId="51F06718" w:rsidR="00A64E0E" w:rsidRPr="0040745F" w:rsidRDefault="006E3B47" w:rsidP="00E27BB3">
      <w:pPr>
        <w:pStyle w:val="Heading4"/>
        <w:rPr>
          <w:lang w:val="de-DE"/>
        </w:rPr>
      </w:pPr>
      <w:r w:rsidRPr="0040745F">
        <w:rPr>
          <w:lang w:val="de-DE"/>
        </w:rPr>
        <w:t>Überwachung der Limite und deren Auslastung</w:t>
      </w:r>
    </w:p>
    <w:p w14:paraId="11577D87" w14:textId="77777777" w:rsidR="00D43744" w:rsidRPr="001D6222" w:rsidRDefault="00D43744" w:rsidP="00D43744">
      <w:pPr>
        <w:spacing w:after="0"/>
        <w:jc w:val="both"/>
        <w:rPr>
          <w:rFonts w:ascii="Segoe UI" w:hAnsi="Segoe UI" w:cs="Segoe UI"/>
          <w:color w:val="014171"/>
          <w:lang w:val="de-DE"/>
        </w:rPr>
      </w:pPr>
      <w:r w:rsidRPr="0040745F">
        <w:rPr>
          <w:rFonts w:ascii="Segoe UI" w:hAnsi="Segoe UI" w:cs="Segoe UI"/>
          <w:color w:val="014171"/>
          <w:lang w:val="de-DE"/>
        </w:rPr>
        <w:t xml:space="preserve">Im Hinblick auf die regulatorischen Liquiditätsanforderungen sowie das Profil der besicherten und unbesicherten Refinanzierung wurde ein Rahmenwerk aus Risikolimiten und Frühwarnindikatoren </w:t>
      </w:r>
      <w:r w:rsidRPr="001D6222">
        <w:rPr>
          <w:rFonts w:ascii="Segoe UI" w:hAnsi="Segoe UI" w:cs="Segoe UI"/>
          <w:color w:val="014171"/>
          <w:lang w:val="de-DE"/>
        </w:rPr>
        <w:t>festgelegt.</w:t>
      </w:r>
    </w:p>
    <w:p w14:paraId="7D530FA0" w14:textId="77777777" w:rsidR="001D6222" w:rsidRPr="001D6222" w:rsidRDefault="00D43744" w:rsidP="00E27BB3">
      <w:pPr>
        <w:spacing w:after="0"/>
        <w:jc w:val="both"/>
        <w:rPr>
          <w:rFonts w:ascii="Segoe UI" w:hAnsi="Segoe UI" w:cs="Segoe UI"/>
          <w:color w:val="014171"/>
          <w:lang w:val="de-DE"/>
        </w:rPr>
      </w:pPr>
      <w:r w:rsidRPr="001D6222">
        <w:rPr>
          <w:rFonts w:ascii="Segoe UI" w:hAnsi="Segoe UI" w:cs="Segoe UI"/>
          <w:color w:val="014171"/>
          <w:lang w:val="de-DE"/>
        </w:rPr>
        <w:t xml:space="preserve">Die Auslastung aller genehmigten Limits wird täglich berechnet. </w:t>
      </w:r>
    </w:p>
    <w:p w14:paraId="007328AC" w14:textId="05311D02" w:rsidR="000F119A" w:rsidRPr="0040745F" w:rsidRDefault="00D43744" w:rsidP="00E27BB3">
      <w:pPr>
        <w:spacing w:after="0"/>
        <w:jc w:val="both"/>
        <w:rPr>
          <w:rFonts w:ascii="Segoe UI" w:hAnsi="Segoe UI" w:cs="Segoe UI"/>
          <w:color w:val="014171"/>
          <w:lang w:val="de-DE"/>
        </w:rPr>
      </w:pPr>
      <w:r w:rsidRPr="001D6222">
        <w:rPr>
          <w:rFonts w:ascii="Segoe UI" w:hAnsi="Segoe UI" w:cs="Segoe UI"/>
          <w:color w:val="014171"/>
          <w:lang w:val="de-DE"/>
        </w:rPr>
        <w:t xml:space="preserve">Aufgrund der ausgelagerten </w:t>
      </w:r>
      <w:r w:rsidR="001D6222" w:rsidRPr="001D6222">
        <w:rPr>
          <w:rFonts w:ascii="Segoe UI" w:hAnsi="Segoe UI" w:cs="Segoe UI"/>
          <w:color w:val="014171"/>
          <w:lang w:val="de-DE"/>
        </w:rPr>
        <w:t>Abwicklungs</w:t>
      </w:r>
      <w:r w:rsidRPr="001D6222">
        <w:rPr>
          <w:rFonts w:ascii="Segoe UI" w:hAnsi="Segoe UI" w:cs="Segoe UI"/>
          <w:color w:val="014171"/>
          <w:lang w:val="de-DE"/>
        </w:rPr>
        <w:t>-</w:t>
      </w:r>
      <w:r w:rsidR="001D6222" w:rsidRPr="001D6222">
        <w:rPr>
          <w:rFonts w:ascii="Segoe UI" w:hAnsi="Segoe UI" w:cs="Segoe UI"/>
          <w:color w:val="014171"/>
          <w:lang w:val="de-DE"/>
        </w:rPr>
        <w:t>Liefer-</w:t>
      </w:r>
      <w:r w:rsidRPr="001D6222">
        <w:rPr>
          <w:rFonts w:ascii="Segoe UI" w:hAnsi="Segoe UI" w:cs="Segoe UI"/>
          <w:color w:val="014171"/>
          <w:lang w:val="de-DE"/>
        </w:rPr>
        <w:t>Funktion</w:t>
      </w:r>
      <w:r w:rsidR="001D6222" w:rsidRPr="001D6222">
        <w:rPr>
          <w:rFonts w:ascii="Segoe UI" w:hAnsi="Segoe UI" w:cs="Segoe UI"/>
          <w:color w:val="014171"/>
          <w:lang w:val="de-DE"/>
        </w:rPr>
        <w:t>en,</w:t>
      </w:r>
      <w:r w:rsidRPr="001D6222">
        <w:rPr>
          <w:rFonts w:ascii="Segoe UI" w:hAnsi="Segoe UI" w:cs="Segoe UI"/>
          <w:color w:val="014171"/>
          <w:lang w:val="de-DE"/>
        </w:rPr>
        <w:t xml:space="preserve"> wird die In</w:t>
      </w:r>
      <w:r w:rsidR="001D6222" w:rsidRPr="001D6222">
        <w:rPr>
          <w:rFonts w:ascii="Segoe UI" w:hAnsi="Segoe UI" w:cs="Segoe UI"/>
          <w:color w:val="014171"/>
          <w:lang w:val="de-DE"/>
        </w:rPr>
        <w:t>tra-T</w:t>
      </w:r>
      <w:r w:rsidRPr="001D6222">
        <w:rPr>
          <w:rFonts w:ascii="Segoe UI" w:hAnsi="Segoe UI" w:cs="Segoe UI"/>
          <w:color w:val="014171"/>
          <w:lang w:val="de-DE"/>
        </w:rPr>
        <w:t>agesliquidität bei den Depotbanken von DCME unter</w:t>
      </w:r>
      <w:r w:rsidRPr="0040745F">
        <w:rPr>
          <w:rFonts w:ascii="Segoe UI" w:hAnsi="Segoe UI" w:cs="Segoe UI"/>
          <w:color w:val="014171"/>
          <w:lang w:val="de-DE"/>
        </w:rPr>
        <w:t xml:space="preserve"> Aufsicht der DCMD verwaltet und kontrolliert.</w:t>
      </w:r>
    </w:p>
    <w:p w14:paraId="3C34A665" w14:textId="14DB7328" w:rsidR="00A64E0E" w:rsidRPr="0040745F" w:rsidRDefault="006E3B47" w:rsidP="00E27BB3">
      <w:pPr>
        <w:pStyle w:val="Heading4"/>
        <w:rPr>
          <w:lang w:val="de-DE"/>
        </w:rPr>
      </w:pPr>
      <w:r w:rsidRPr="0040745F">
        <w:rPr>
          <w:lang w:val="de-DE"/>
        </w:rPr>
        <w:t>Berichtswesen</w:t>
      </w:r>
    </w:p>
    <w:p w14:paraId="6B424E4E" w14:textId="0A585A01" w:rsidR="00D43744" w:rsidRPr="001D6222" w:rsidRDefault="00D43744" w:rsidP="00D43744">
      <w:pPr>
        <w:spacing w:after="0"/>
        <w:jc w:val="both"/>
        <w:rPr>
          <w:rFonts w:ascii="Segoe UI" w:hAnsi="Segoe UI" w:cs="Segoe UI"/>
          <w:color w:val="014171"/>
          <w:lang w:val="de-DE"/>
        </w:rPr>
      </w:pPr>
      <w:r w:rsidRPr="0040745F">
        <w:rPr>
          <w:rFonts w:ascii="Segoe UI" w:hAnsi="Segoe UI" w:cs="Segoe UI"/>
          <w:color w:val="014171"/>
          <w:lang w:val="de-DE"/>
        </w:rPr>
        <w:t>Zusammenfassende Berichte werden täglich erstel</w:t>
      </w:r>
      <w:r w:rsidR="001D6222">
        <w:rPr>
          <w:rFonts w:ascii="Segoe UI" w:hAnsi="Segoe UI" w:cs="Segoe UI"/>
          <w:color w:val="014171"/>
          <w:lang w:val="de-DE"/>
        </w:rPr>
        <w:t>lt und an die Geschäftsleitung von</w:t>
      </w:r>
      <w:r w:rsidRPr="0040745F">
        <w:rPr>
          <w:rFonts w:ascii="Segoe UI" w:hAnsi="Segoe UI" w:cs="Segoe UI"/>
          <w:color w:val="014171"/>
          <w:lang w:val="de-DE"/>
        </w:rPr>
        <w:t xml:space="preserve"> DCMD </w:t>
      </w:r>
      <w:r w:rsidRPr="001D6222">
        <w:rPr>
          <w:rFonts w:ascii="Segoe UI" w:hAnsi="Segoe UI" w:cs="Segoe UI"/>
          <w:color w:val="014171"/>
          <w:lang w:val="de-DE"/>
        </w:rPr>
        <w:t>übermittelt.</w:t>
      </w:r>
    </w:p>
    <w:p w14:paraId="69C308A2" w14:textId="77777777" w:rsidR="00D43744" w:rsidRPr="001D6222" w:rsidRDefault="00D43744" w:rsidP="00D43744">
      <w:pPr>
        <w:spacing w:after="0"/>
        <w:jc w:val="both"/>
        <w:rPr>
          <w:rFonts w:ascii="Segoe UI" w:hAnsi="Segoe UI" w:cs="Segoe UI"/>
          <w:color w:val="014171"/>
          <w:lang w:val="de-DE"/>
        </w:rPr>
      </w:pPr>
    </w:p>
    <w:p w14:paraId="7A2F2A41" w14:textId="635E5C3F" w:rsidR="00D43744" w:rsidRPr="0040745F" w:rsidRDefault="00D43744" w:rsidP="00D43744">
      <w:pPr>
        <w:spacing w:after="0"/>
        <w:jc w:val="both"/>
        <w:rPr>
          <w:rFonts w:ascii="Segoe UI" w:hAnsi="Segoe UI" w:cs="Segoe UI"/>
          <w:color w:val="014171"/>
          <w:lang w:val="de-DE"/>
        </w:rPr>
      </w:pPr>
      <w:r w:rsidRPr="001D6222">
        <w:rPr>
          <w:rFonts w:ascii="Segoe UI" w:hAnsi="Segoe UI" w:cs="Segoe UI"/>
          <w:color w:val="014171"/>
          <w:lang w:val="de-DE"/>
        </w:rPr>
        <w:t>Für das Ris</w:t>
      </w:r>
      <w:r w:rsidR="001D6222" w:rsidRPr="001D6222">
        <w:rPr>
          <w:rFonts w:ascii="Segoe UI" w:hAnsi="Segoe UI" w:cs="Segoe UI"/>
          <w:color w:val="014171"/>
          <w:lang w:val="de-DE"/>
        </w:rPr>
        <w:t>i</w:t>
      </w:r>
      <w:r w:rsidRPr="001D6222">
        <w:rPr>
          <w:rFonts w:ascii="Segoe UI" w:hAnsi="Segoe UI" w:cs="Segoe UI"/>
          <w:color w:val="014171"/>
          <w:lang w:val="de-DE"/>
        </w:rPr>
        <w:t>k</w:t>
      </w:r>
      <w:r w:rsidR="001D6222" w:rsidRPr="001D6222">
        <w:rPr>
          <w:rFonts w:ascii="Segoe UI" w:hAnsi="Segoe UI" w:cs="Segoe UI"/>
          <w:color w:val="014171"/>
          <w:lang w:val="de-DE"/>
        </w:rPr>
        <w:t>o</w:t>
      </w:r>
      <w:r w:rsidRPr="001D6222">
        <w:rPr>
          <w:rFonts w:ascii="Segoe UI" w:hAnsi="Segoe UI" w:cs="Segoe UI"/>
          <w:color w:val="014171"/>
          <w:lang w:val="de-DE"/>
        </w:rPr>
        <w:t xml:space="preserve"> </w:t>
      </w:r>
      <w:r w:rsidR="007D44A8" w:rsidRPr="001D6222">
        <w:rPr>
          <w:rFonts w:ascii="Segoe UI" w:hAnsi="Segoe UI" w:cs="Segoe UI"/>
          <w:color w:val="014171"/>
          <w:lang w:val="de-DE"/>
        </w:rPr>
        <w:t>Komitee</w:t>
      </w:r>
      <w:r w:rsidRPr="001D6222">
        <w:rPr>
          <w:rFonts w:ascii="Segoe UI" w:hAnsi="Segoe UI" w:cs="Segoe UI"/>
          <w:color w:val="014171"/>
          <w:lang w:val="de-DE"/>
        </w:rPr>
        <w:t>, das Exe</w:t>
      </w:r>
      <w:r w:rsidR="001D6222" w:rsidRPr="001D6222">
        <w:rPr>
          <w:rFonts w:ascii="Segoe UI" w:hAnsi="Segoe UI" w:cs="Segoe UI"/>
          <w:color w:val="014171"/>
          <w:lang w:val="de-DE"/>
        </w:rPr>
        <w:t>k</w:t>
      </w:r>
      <w:r w:rsidRPr="001D6222">
        <w:rPr>
          <w:rFonts w:ascii="Segoe UI" w:hAnsi="Segoe UI" w:cs="Segoe UI"/>
          <w:color w:val="014171"/>
          <w:lang w:val="de-DE"/>
        </w:rPr>
        <w:t xml:space="preserve">utive </w:t>
      </w:r>
      <w:r w:rsidR="007D44A8" w:rsidRPr="001D6222">
        <w:rPr>
          <w:rFonts w:ascii="Segoe UI" w:hAnsi="Segoe UI" w:cs="Segoe UI"/>
          <w:color w:val="014171"/>
          <w:lang w:val="de-DE"/>
        </w:rPr>
        <w:t>Komitee</w:t>
      </w:r>
      <w:r w:rsidRPr="001D6222">
        <w:rPr>
          <w:rFonts w:ascii="Segoe UI" w:hAnsi="Segoe UI" w:cs="Segoe UI"/>
          <w:color w:val="014171"/>
          <w:lang w:val="de-DE"/>
        </w:rPr>
        <w:t xml:space="preserve"> und die Geschäftsführung wird jeweils ein monatliches</w:t>
      </w:r>
      <w:r w:rsidRPr="0040745F">
        <w:rPr>
          <w:rFonts w:ascii="Segoe UI" w:hAnsi="Segoe UI" w:cs="Segoe UI"/>
          <w:color w:val="014171"/>
          <w:lang w:val="de-DE"/>
        </w:rPr>
        <w:t xml:space="preserve"> Berichtswerk erstellt (soweit angebracht).</w:t>
      </w:r>
    </w:p>
    <w:p w14:paraId="7E750608" w14:textId="77777777" w:rsidR="00D43744" w:rsidRPr="0040745F" w:rsidRDefault="00D43744" w:rsidP="00D43744">
      <w:pPr>
        <w:spacing w:after="0"/>
        <w:jc w:val="both"/>
        <w:rPr>
          <w:rFonts w:ascii="Segoe UI" w:hAnsi="Segoe UI" w:cs="Segoe UI"/>
          <w:color w:val="014171"/>
          <w:lang w:val="de-DE"/>
        </w:rPr>
      </w:pPr>
    </w:p>
    <w:p w14:paraId="78869597" w14:textId="46B812E7" w:rsidR="00A64E0E" w:rsidRPr="0040745F" w:rsidRDefault="00D43744" w:rsidP="00E27BB3">
      <w:pPr>
        <w:spacing w:after="0"/>
        <w:jc w:val="both"/>
        <w:rPr>
          <w:rFonts w:ascii="Segoe UI" w:hAnsi="Segoe UI" w:cs="Segoe UI"/>
          <w:color w:val="014171"/>
          <w:lang w:val="de-DE"/>
        </w:rPr>
      </w:pPr>
      <w:r w:rsidRPr="0040745F">
        <w:rPr>
          <w:rFonts w:ascii="Segoe UI" w:hAnsi="Segoe UI" w:cs="Segoe UI"/>
          <w:color w:val="014171"/>
          <w:lang w:val="de-DE"/>
        </w:rPr>
        <w:t>Jegliche Limitüberschreitungen werden, wenn diese vorkommen, gemäß den festgelegten Prozessen und Verfahren der DCMD eskaliert.</w:t>
      </w:r>
    </w:p>
    <w:p w14:paraId="1FC63A9C" w14:textId="77777777" w:rsidR="001201B9" w:rsidRPr="0040745F" w:rsidRDefault="001201B9" w:rsidP="00E27BB3">
      <w:pPr>
        <w:spacing w:after="0"/>
        <w:jc w:val="both"/>
        <w:rPr>
          <w:rFonts w:ascii="Segoe UI" w:hAnsi="Segoe UI" w:cs="Segoe UI"/>
          <w:color w:val="014171"/>
          <w:lang w:val="de-DE"/>
        </w:rPr>
      </w:pPr>
    </w:p>
    <w:p w14:paraId="5E25A8F5" w14:textId="1EB9F15A" w:rsidR="00A64E0E" w:rsidRPr="0040745F" w:rsidRDefault="00A64E0E" w:rsidP="00E27BB3">
      <w:pPr>
        <w:pStyle w:val="Heading3"/>
        <w:rPr>
          <w:b w:val="0"/>
          <w:lang w:val="de-DE"/>
        </w:rPr>
      </w:pPr>
      <w:r w:rsidRPr="0040745F">
        <w:rPr>
          <w:lang w:val="de-DE"/>
        </w:rPr>
        <w:t>Operation</w:t>
      </w:r>
      <w:r w:rsidR="00765068" w:rsidRPr="0040745F">
        <w:rPr>
          <w:lang w:val="de-DE"/>
        </w:rPr>
        <w:t>e</w:t>
      </w:r>
      <w:r w:rsidRPr="0040745F">
        <w:rPr>
          <w:lang w:val="de-DE"/>
        </w:rPr>
        <w:t>l</w:t>
      </w:r>
      <w:r w:rsidR="00765068" w:rsidRPr="0040745F">
        <w:rPr>
          <w:lang w:val="de-DE"/>
        </w:rPr>
        <w:t>les</w:t>
      </w:r>
      <w:r w:rsidRPr="0040745F">
        <w:rPr>
          <w:lang w:val="de-DE"/>
        </w:rPr>
        <w:t xml:space="preserve"> Ris</w:t>
      </w:r>
      <w:r w:rsidR="00765068" w:rsidRPr="0040745F">
        <w:rPr>
          <w:lang w:val="de-DE"/>
        </w:rPr>
        <w:t>i</w:t>
      </w:r>
      <w:r w:rsidRPr="0040745F">
        <w:rPr>
          <w:lang w:val="de-DE"/>
        </w:rPr>
        <w:t>k</w:t>
      </w:r>
      <w:r w:rsidR="00765068" w:rsidRPr="0040745F">
        <w:rPr>
          <w:lang w:val="de-DE"/>
        </w:rPr>
        <w:t>o</w:t>
      </w:r>
    </w:p>
    <w:p w14:paraId="65CF9671" w14:textId="77777777" w:rsidR="00A64E0E" w:rsidRPr="0040745F" w:rsidRDefault="00A64E0E" w:rsidP="00E27BB3">
      <w:pPr>
        <w:pStyle w:val="Heading4"/>
        <w:rPr>
          <w:lang w:val="de-DE"/>
        </w:rPr>
      </w:pPr>
      <w:r w:rsidRPr="0040745F">
        <w:rPr>
          <w:lang w:val="de-DE"/>
        </w:rPr>
        <w:t>Definition</w:t>
      </w:r>
    </w:p>
    <w:p w14:paraId="7385DC64" w14:textId="19E28E09" w:rsidR="000F119A" w:rsidRPr="0040745F" w:rsidRDefault="00B94898" w:rsidP="00E27BB3">
      <w:pPr>
        <w:spacing w:after="0"/>
        <w:jc w:val="both"/>
        <w:rPr>
          <w:rFonts w:ascii="Segoe UI" w:hAnsi="Segoe UI" w:cs="Segoe UI"/>
          <w:color w:val="014171"/>
          <w:lang w:val="de-DE"/>
        </w:rPr>
      </w:pPr>
      <w:r w:rsidRPr="0040745F">
        <w:rPr>
          <w:rFonts w:ascii="Segoe UI" w:hAnsi="Segoe UI" w:cs="Segoe UI"/>
          <w:color w:val="014171"/>
          <w:lang w:val="de-DE"/>
        </w:rPr>
        <w:t xml:space="preserve">Das operationelle Risiko ist definiert als das Risiko von Verlusten, die durch das Versagen interner Prozesse, Personen und Systeme sowie durch externe Ereignisse entstehen. Das operationelle Risiko </w:t>
      </w:r>
      <w:r w:rsidR="0084676F">
        <w:rPr>
          <w:rFonts w:ascii="Segoe UI" w:hAnsi="Segoe UI" w:cs="Segoe UI"/>
          <w:color w:val="014171"/>
          <w:lang w:val="de-DE"/>
        </w:rPr>
        <w:t xml:space="preserve">bei DCMD </w:t>
      </w:r>
      <w:r w:rsidRPr="0040745F">
        <w:rPr>
          <w:rFonts w:ascii="Segoe UI" w:hAnsi="Segoe UI" w:cs="Segoe UI"/>
          <w:color w:val="014171"/>
          <w:lang w:val="de-DE"/>
        </w:rPr>
        <w:t xml:space="preserve">umfasst insbesondere das </w:t>
      </w:r>
      <w:r w:rsidR="00621E62">
        <w:rPr>
          <w:rFonts w:ascii="Segoe UI" w:hAnsi="Segoe UI" w:cs="Segoe UI"/>
          <w:color w:val="014171"/>
          <w:lang w:val="de-DE"/>
        </w:rPr>
        <w:t>Auslagerungs</w:t>
      </w:r>
      <w:r w:rsidRPr="0040745F">
        <w:rPr>
          <w:rFonts w:ascii="Segoe UI" w:hAnsi="Segoe UI" w:cs="Segoe UI"/>
          <w:color w:val="014171"/>
          <w:lang w:val="de-DE"/>
        </w:rPr>
        <w:t>- und Lieferantenrisiko, Risiken aus Finanz- und Wirtschaftskriminalität sowie das Modell- und das Rechtsrisiko als wesentliche Unterkategorien.</w:t>
      </w:r>
    </w:p>
    <w:p w14:paraId="0205C9F8" w14:textId="79CC37FB" w:rsidR="00A64E0E" w:rsidRPr="0040745F" w:rsidRDefault="00A64E0E" w:rsidP="00E27BB3">
      <w:pPr>
        <w:pStyle w:val="Heading4"/>
        <w:rPr>
          <w:lang w:val="de-DE"/>
        </w:rPr>
      </w:pPr>
      <w:r w:rsidRPr="0040745F">
        <w:rPr>
          <w:lang w:val="de-DE"/>
        </w:rPr>
        <w:lastRenderedPageBreak/>
        <w:t>Strateg</w:t>
      </w:r>
      <w:r w:rsidR="00765068" w:rsidRPr="0040745F">
        <w:rPr>
          <w:lang w:val="de-DE"/>
        </w:rPr>
        <w:t>ie</w:t>
      </w:r>
    </w:p>
    <w:p w14:paraId="3321F155" w14:textId="3E38E660" w:rsidR="00A64E0E" w:rsidRPr="0040745F" w:rsidRDefault="00534857" w:rsidP="00E27BB3">
      <w:pPr>
        <w:spacing w:after="0"/>
        <w:jc w:val="both"/>
        <w:rPr>
          <w:rFonts w:ascii="Segoe UI" w:hAnsi="Segoe UI" w:cs="Segoe UI"/>
          <w:color w:val="014171"/>
          <w:lang w:val="de-DE"/>
        </w:rPr>
      </w:pPr>
      <w:r w:rsidRPr="0040745F">
        <w:rPr>
          <w:rFonts w:ascii="Segoe UI" w:hAnsi="Segoe UI" w:cs="Segoe UI"/>
          <w:color w:val="014171"/>
          <w:lang w:val="de-DE"/>
        </w:rPr>
        <w:t>Die Hauptziele von DCMD sind die frühzeitige Erkennung, Erfassung, Bewertung, Überwachung, Vermeidung und Minderung von operationellen Risiken sowie eine zeitnahe und richtungsweisen</w:t>
      </w:r>
      <w:r w:rsidR="008A7319" w:rsidRPr="0040745F">
        <w:rPr>
          <w:rFonts w:ascii="Segoe UI" w:hAnsi="Segoe UI" w:cs="Segoe UI"/>
          <w:color w:val="014171"/>
          <w:lang w:val="de-DE"/>
        </w:rPr>
        <w:t xml:space="preserve">de </w:t>
      </w:r>
      <w:r w:rsidR="0084676F">
        <w:rPr>
          <w:rFonts w:ascii="Segoe UI" w:hAnsi="Segoe UI" w:cs="Segoe UI"/>
          <w:color w:val="014171"/>
          <w:lang w:val="de-DE"/>
        </w:rPr>
        <w:t>B</w:t>
      </w:r>
      <w:r w:rsidR="008A7319" w:rsidRPr="0040745F">
        <w:rPr>
          <w:rFonts w:ascii="Segoe UI" w:hAnsi="Segoe UI" w:cs="Segoe UI"/>
          <w:color w:val="014171"/>
          <w:lang w:val="de-DE"/>
        </w:rPr>
        <w:t>erichterstattung.</w:t>
      </w:r>
    </w:p>
    <w:p w14:paraId="3834133D" w14:textId="3E8F911B" w:rsidR="00A64E0E" w:rsidRPr="0040745F" w:rsidRDefault="00277A36" w:rsidP="00E27BB3">
      <w:pPr>
        <w:pStyle w:val="Heading4"/>
        <w:rPr>
          <w:lang w:val="de-DE"/>
        </w:rPr>
      </w:pPr>
      <w:r w:rsidRPr="0040745F">
        <w:rPr>
          <w:lang w:val="de-DE"/>
        </w:rPr>
        <w:t>Risiko Identifikation &amp; Beurteilung</w:t>
      </w:r>
    </w:p>
    <w:p w14:paraId="40D2CEF8" w14:textId="1FA12D4A" w:rsidR="00A64E0E" w:rsidRPr="0040745F" w:rsidRDefault="00534857" w:rsidP="00E27BB3">
      <w:pPr>
        <w:spacing w:after="0"/>
        <w:jc w:val="both"/>
        <w:rPr>
          <w:rFonts w:ascii="Segoe UI" w:hAnsi="Segoe UI" w:cs="Segoe UI"/>
          <w:color w:val="014171"/>
          <w:lang w:val="de-DE"/>
        </w:rPr>
      </w:pPr>
      <w:r w:rsidRPr="0040745F">
        <w:rPr>
          <w:rFonts w:ascii="Segoe UI" w:hAnsi="Segoe UI" w:cs="Segoe UI"/>
          <w:color w:val="014171"/>
          <w:lang w:val="de-DE"/>
        </w:rPr>
        <w:t>Die Komponenten des Rahmenwerks für operationelle Risiken wurden entwickelt, um Risiken sowohl aus einer Top-Down- als auch aus einer Bottom-Up-Perspektive zu identifizieren.</w:t>
      </w:r>
      <w:r w:rsidR="00EC1F61" w:rsidRPr="0040745F">
        <w:rPr>
          <w:rFonts w:ascii="Segoe UI" w:hAnsi="Segoe UI" w:cs="Segoe UI"/>
          <w:color w:val="014171"/>
          <w:lang w:val="de-DE"/>
        </w:rPr>
        <w:t xml:space="preserve"> </w:t>
      </w:r>
      <w:r w:rsidR="006C1309" w:rsidRPr="006C1309">
        <w:rPr>
          <w:rFonts w:ascii="Segoe UI" w:hAnsi="Segoe UI" w:cs="Segoe UI"/>
          <w:color w:val="014171"/>
          <w:lang w:val="de-DE"/>
        </w:rPr>
        <w:t>Das operationelle Risikomanagement</w:t>
      </w:r>
      <w:r w:rsidRPr="006C1309">
        <w:rPr>
          <w:rFonts w:ascii="Segoe UI" w:hAnsi="Segoe UI" w:cs="Segoe UI"/>
          <w:color w:val="014171"/>
          <w:lang w:val="de-DE"/>
        </w:rPr>
        <w:t xml:space="preserve"> verfügt über eine Reihe von </w:t>
      </w:r>
      <w:r w:rsidR="00742529">
        <w:rPr>
          <w:rFonts w:ascii="Segoe UI" w:hAnsi="Segoe UI" w:cs="Segoe UI"/>
          <w:color w:val="014171"/>
          <w:lang w:val="de-DE"/>
        </w:rPr>
        <w:t>Instrumente</w:t>
      </w:r>
      <w:r w:rsidRPr="006C1309">
        <w:rPr>
          <w:rFonts w:ascii="Segoe UI" w:hAnsi="Segoe UI" w:cs="Segoe UI"/>
          <w:color w:val="014171"/>
          <w:lang w:val="de-DE"/>
        </w:rPr>
        <w:t xml:space="preserve"> und Methoden, um</w:t>
      </w:r>
      <w:r w:rsidRPr="0040745F">
        <w:rPr>
          <w:rFonts w:ascii="Segoe UI" w:hAnsi="Segoe UI" w:cs="Segoe UI"/>
          <w:color w:val="014171"/>
          <w:lang w:val="de-DE"/>
        </w:rPr>
        <w:t xml:space="preserve"> die wichtigste</w:t>
      </w:r>
      <w:r w:rsidR="003B699C">
        <w:rPr>
          <w:rFonts w:ascii="Segoe UI" w:hAnsi="Segoe UI" w:cs="Segoe UI"/>
          <w:color w:val="014171"/>
          <w:lang w:val="de-DE"/>
        </w:rPr>
        <w:t>n operationellen Risiken für die</w:t>
      </w:r>
      <w:r w:rsidRPr="0040745F">
        <w:rPr>
          <w:rFonts w:ascii="Segoe UI" w:hAnsi="Segoe UI" w:cs="Segoe UI"/>
          <w:color w:val="014171"/>
          <w:lang w:val="de-DE"/>
        </w:rPr>
        <w:t xml:space="preserve"> </w:t>
      </w:r>
      <w:r w:rsidR="003B699C">
        <w:rPr>
          <w:rFonts w:ascii="Segoe UI" w:hAnsi="Segoe UI" w:cs="Segoe UI"/>
          <w:color w:val="014171"/>
          <w:lang w:val="de-DE"/>
        </w:rPr>
        <w:t>Gesellschaft</w:t>
      </w:r>
      <w:r w:rsidRPr="0040745F">
        <w:rPr>
          <w:rFonts w:ascii="Segoe UI" w:hAnsi="Segoe UI" w:cs="Segoe UI"/>
          <w:color w:val="014171"/>
          <w:lang w:val="de-DE"/>
        </w:rPr>
        <w:t xml:space="preserve"> zu identifizieren, darunter Szenarioanalysen, Risikobewertungen für Betriebsunterbrechungen, Bedrohungsanalysen für die Informationssicherheit,</w:t>
      </w:r>
      <w:r w:rsidR="006C1309">
        <w:rPr>
          <w:rFonts w:ascii="Segoe UI" w:hAnsi="Segoe UI" w:cs="Segoe UI"/>
          <w:color w:val="014171"/>
          <w:lang w:val="de-DE"/>
        </w:rPr>
        <w:t xml:space="preserve"> </w:t>
      </w:r>
      <w:r w:rsidR="006C1309" w:rsidRPr="0040745F">
        <w:rPr>
          <w:rFonts w:ascii="Segoe UI" w:hAnsi="Segoe UI" w:cs="Segoe UI"/>
          <w:color w:val="014171"/>
          <w:lang w:val="de-DE"/>
        </w:rPr>
        <w:t>Selbstbeurteilung der Risiken und Kontrollen</w:t>
      </w:r>
      <w:r w:rsidRPr="0040745F">
        <w:rPr>
          <w:rFonts w:ascii="Segoe UI" w:hAnsi="Segoe UI" w:cs="Segoe UI"/>
          <w:color w:val="014171"/>
          <w:lang w:val="de-DE"/>
        </w:rPr>
        <w:t xml:space="preserve"> </w:t>
      </w:r>
      <w:r w:rsidR="006C1309">
        <w:rPr>
          <w:rFonts w:ascii="Segoe UI" w:hAnsi="Segoe UI" w:cs="Segoe UI"/>
          <w:color w:val="014171"/>
          <w:lang w:val="de-DE"/>
        </w:rPr>
        <w:t>(</w:t>
      </w:r>
      <w:r w:rsidRPr="006C1309">
        <w:rPr>
          <w:rFonts w:ascii="Segoe UI" w:hAnsi="Segoe UI" w:cs="Segoe UI"/>
          <w:i/>
          <w:color w:val="014171"/>
          <w:lang w:val="de-DE"/>
        </w:rPr>
        <w:t>Risk &amp; Control Self-Assessment</w:t>
      </w:r>
      <w:r w:rsidR="006C1309">
        <w:rPr>
          <w:rFonts w:ascii="Segoe UI" w:hAnsi="Segoe UI" w:cs="Segoe UI"/>
          <w:i/>
          <w:color w:val="014171"/>
          <w:lang w:val="de-DE"/>
        </w:rPr>
        <w:t>,</w:t>
      </w:r>
      <w:r w:rsidR="006C1309">
        <w:rPr>
          <w:rFonts w:ascii="Segoe UI" w:hAnsi="Segoe UI" w:cs="Segoe UI"/>
          <w:color w:val="014171"/>
          <w:lang w:val="de-DE"/>
        </w:rPr>
        <w:t xml:space="preserve"> </w:t>
      </w:r>
      <w:r w:rsidRPr="0040745F">
        <w:rPr>
          <w:rFonts w:ascii="Segoe UI" w:hAnsi="Segoe UI" w:cs="Segoe UI"/>
          <w:color w:val="014171"/>
          <w:lang w:val="de-DE"/>
        </w:rPr>
        <w:t>„RCSA“), Erfassung und Analyse interner und externer Risikoereignisse (sofern erforderlich) und gezielte Risikoüberprüfungen.</w:t>
      </w:r>
    </w:p>
    <w:p w14:paraId="725AE8B1" w14:textId="40B06229" w:rsidR="00A64E0E" w:rsidRPr="0040745F" w:rsidRDefault="00EC1F61" w:rsidP="00E27BB3">
      <w:pPr>
        <w:spacing w:after="0"/>
        <w:jc w:val="both"/>
        <w:rPr>
          <w:rFonts w:ascii="Segoe UI" w:hAnsi="Segoe UI" w:cs="Segoe UI"/>
          <w:color w:val="014171"/>
          <w:lang w:val="de-DE"/>
        </w:rPr>
      </w:pPr>
      <w:r w:rsidRPr="0040745F">
        <w:rPr>
          <w:rFonts w:ascii="Segoe UI" w:hAnsi="Segoe UI" w:cs="Segoe UI"/>
          <w:color w:val="014171"/>
          <w:lang w:val="de-DE"/>
        </w:rPr>
        <w:t xml:space="preserve">Unter Verwendung dieser </w:t>
      </w:r>
      <w:r w:rsidR="00742529">
        <w:rPr>
          <w:rFonts w:ascii="Segoe UI" w:hAnsi="Segoe UI" w:cs="Segoe UI"/>
          <w:color w:val="014171"/>
          <w:lang w:val="de-DE"/>
        </w:rPr>
        <w:t>Instrumente</w:t>
      </w:r>
      <w:r w:rsidRPr="0040745F">
        <w:rPr>
          <w:rFonts w:ascii="Segoe UI" w:hAnsi="Segoe UI" w:cs="Segoe UI"/>
          <w:color w:val="014171"/>
          <w:lang w:val="de-DE"/>
        </w:rPr>
        <w:t xml:space="preserve"> und Methoden werden Risiken regelmäßig auf der Grundlage einer standardmäßigen Wahrscheinlichkeits</w:t>
      </w:r>
      <w:r w:rsidR="00A65291">
        <w:rPr>
          <w:rFonts w:ascii="Segoe UI" w:hAnsi="Segoe UI" w:cs="Segoe UI"/>
          <w:color w:val="014171"/>
          <w:lang w:val="de-DE"/>
        </w:rPr>
        <w:t>- und Auswirkungse</w:t>
      </w:r>
      <w:r w:rsidR="00F442FE" w:rsidRPr="0040745F">
        <w:rPr>
          <w:rFonts w:ascii="Segoe UI" w:hAnsi="Segoe UI" w:cs="Segoe UI"/>
          <w:color w:val="014171"/>
          <w:lang w:val="de-DE"/>
        </w:rPr>
        <w:t>inschätzung</w:t>
      </w:r>
      <w:r w:rsidRPr="0040745F">
        <w:rPr>
          <w:rFonts w:ascii="Segoe UI" w:hAnsi="Segoe UI" w:cs="Segoe UI"/>
          <w:color w:val="014171"/>
          <w:lang w:val="de-DE"/>
        </w:rPr>
        <w:t xml:space="preserve"> bewertet.</w:t>
      </w:r>
    </w:p>
    <w:p w14:paraId="249DBE05" w14:textId="3549096C" w:rsidR="00A64E0E" w:rsidRPr="0040745F" w:rsidRDefault="006E3B47" w:rsidP="00E27BB3">
      <w:pPr>
        <w:pStyle w:val="Heading4"/>
        <w:rPr>
          <w:lang w:val="de-DE"/>
        </w:rPr>
      </w:pPr>
      <w:r w:rsidRPr="0040745F">
        <w:rPr>
          <w:lang w:val="de-DE"/>
        </w:rPr>
        <w:t>Überwachung der Limite und deren Auslastung</w:t>
      </w:r>
    </w:p>
    <w:p w14:paraId="6DA14645" w14:textId="02B7DF4C" w:rsidR="002F026E" w:rsidRPr="0040745F" w:rsidRDefault="005A0EB4" w:rsidP="00E27BB3">
      <w:pPr>
        <w:spacing w:after="0"/>
        <w:jc w:val="both"/>
        <w:rPr>
          <w:rFonts w:ascii="Segoe UI" w:hAnsi="Segoe UI" w:cs="Segoe UI"/>
          <w:color w:val="014171"/>
          <w:lang w:val="de-DE"/>
        </w:rPr>
      </w:pPr>
      <w:r w:rsidRPr="0040745F">
        <w:rPr>
          <w:rFonts w:ascii="Segoe UI" w:hAnsi="Segoe UI" w:cs="Segoe UI"/>
          <w:color w:val="014171"/>
          <w:lang w:val="de-DE"/>
        </w:rPr>
        <w:t>Im Vergleich zum Markt- u</w:t>
      </w:r>
      <w:r w:rsidR="000E7CDB" w:rsidRPr="0040745F">
        <w:rPr>
          <w:rFonts w:ascii="Segoe UI" w:hAnsi="Segoe UI" w:cs="Segoe UI"/>
          <w:color w:val="014171"/>
          <w:lang w:val="de-DE"/>
        </w:rPr>
        <w:t>nd Kreditrisiko sind die Ursprünge</w:t>
      </w:r>
      <w:r w:rsidRPr="0040745F">
        <w:rPr>
          <w:rFonts w:ascii="Segoe UI" w:hAnsi="Segoe UI" w:cs="Segoe UI"/>
          <w:color w:val="014171"/>
          <w:lang w:val="de-DE"/>
        </w:rPr>
        <w:t xml:space="preserve"> des operationellen Risikos </w:t>
      </w:r>
      <w:r w:rsidR="000E7CDB" w:rsidRPr="0040745F">
        <w:rPr>
          <w:rFonts w:ascii="Segoe UI" w:hAnsi="Segoe UI" w:cs="Segoe UI"/>
          <w:color w:val="014171"/>
          <w:lang w:val="de-DE"/>
        </w:rPr>
        <w:t xml:space="preserve">eher </w:t>
      </w:r>
      <w:r w:rsidRPr="0040745F">
        <w:rPr>
          <w:rFonts w:ascii="Segoe UI" w:hAnsi="Segoe UI" w:cs="Segoe UI"/>
          <w:color w:val="014171"/>
          <w:lang w:val="de-DE"/>
        </w:rPr>
        <w:t>schwer umf</w:t>
      </w:r>
      <w:r w:rsidR="000E7CDB" w:rsidRPr="0040745F">
        <w:rPr>
          <w:rFonts w:ascii="Segoe UI" w:hAnsi="Segoe UI" w:cs="Segoe UI"/>
          <w:color w:val="014171"/>
          <w:lang w:val="de-DE"/>
        </w:rPr>
        <w:t>assend zu identifi</w:t>
      </w:r>
      <w:r w:rsidR="00F442FE" w:rsidRPr="0040745F">
        <w:rPr>
          <w:rFonts w:ascii="Segoe UI" w:hAnsi="Segoe UI" w:cs="Segoe UI"/>
          <w:color w:val="014171"/>
          <w:lang w:val="de-DE"/>
        </w:rPr>
        <w:t>zieren und die Höhe des Risikos</w:t>
      </w:r>
      <w:r w:rsidRPr="0040745F">
        <w:rPr>
          <w:rFonts w:ascii="Segoe UI" w:hAnsi="Segoe UI" w:cs="Segoe UI"/>
          <w:color w:val="014171"/>
          <w:lang w:val="de-DE"/>
        </w:rPr>
        <w:t xml:space="preserve"> von Natur aus schwer zu messen. Insofern variieren die Risikominderungs- oder Begrenzungsmethoden für operationelle Risiken entsprechend. </w:t>
      </w:r>
      <w:r w:rsidR="00EE32D3" w:rsidRPr="0040745F">
        <w:rPr>
          <w:rFonts w:ascii="Segoe UI" w:hAnsi="Segoe UI" w:cs="Segoe UI"/>
          <w:color w:val="014171"/>
          <w:lang w:val="de-DE"/>
        </w:rPr>
        <w:t xml:space="preserve">Die </w:t>
      </w:r>
      <w:r w:rsidR="0065419D">
        <w:rPr>
          <w:rFonts w:ascii="Segoe UI" w:hAnsi="Segoe UI" w:cs="Segoe UI"/>
          <w:color w:val="014171"/>
          <w:lang w:val="de-DE"/>
        </w:rPr>
        <w:t xml:space="preserve">internen </w:t>
      </w:r>
      <w:r w:rsidR="00EE32D3" w:rsidRPr="0040745F">
        <w:rPr>
          <w:rFonts w:ascii="Segoe UI" w:hAnsi="Segoe UI" w:cs="Segoe UI"/>
          <w:color w:val="014171"/>
          <w:lang w:val="de-DE"/>
        </w:rPr>
        <w:t>RAS-Messgrößen</w:t>
      </w:r>
      <w:r w:rsidRPr="0040745F">
        <w:rPr>
          <w:rFonts w:ascii="Segoe UI" w:hAnsi="Segoe UI" w:cs="Segoe UI"/>
          <w:color w:val="014171"/>
          <w:lang w:val="de-DE"/>
        </w:rPr>
        <w:t xml:space="preserve"> bieten einen Rahmen zur </w:t>
      </w:r>
      <w:r w:rsidR="004E6D8F" w:rsidRPr="0040745F">
        <w:rPr>
          <w:rFonts w:ascii="Segoe UI" w:hAnsi="Segoe UI" w:cs="Segoe UI"/>
          <w:color w:val="014171"/>
          <w:lang w:val="de-DE"/>
        </w:rPr>
        <w:t>Begrenzung des Nettorisikos, welches DCMD</w:t>
      </w:r>
      <w:r w:rsidRPr="0040745F">
        <w:rPr>
          <w:rFonts w:ascii="Segoe UI" w:hAnsi="Segoe UI" w:cs="Segoe UI"/>
          <w:color w:val="014171"/>
          <w:lang w:val="de-DE"/>
        </w:rPr>
        <w:t xml:space="preserve"> in Bezug auf oper</w:t>
      </w:r>
      <w:r w:rsidR="001842CF" w:rsidRPr="0040745F">
        <w:rPr>
          <w:rFonts w:ascii="Segoe UI" w:hAnsi="Segoe UI" w:cs="Segoe UI"/>
          <w:color w:val="014171"/>
          <w:lang w:val="de-DE"/>
        </w:rPr>
        <w:t>ationelle Risiken toleriert</w:t>
      </w:r>
      <w:r w:rsidR="00EE32D3" w:rsidRPr="0040745F">
        <w:rPr>
          <w:rFonts w:ascii="Segoe UI" w:hAnsi="Segoe UI" w:cs="Segoe UI"/>
          <w:color w:val="014171"/>
          <w:lang w:val="de-DE"/>
        </w:rPr>
        <w:t>. Diese werden mittels verschiedener Komponenten des Rahmenwerks, wie z.B. des RCSA und der Berichte über die wesentlichen Leistungsindikatoren (</w:t>
      </w:r>
      <w:r w:rsidR="00EE32D3" w:rsidRPr="00A65291">
        <w:rPr>
          <w:rFonts w:ascii="Segoe UI" w:hAnsi="Segoe UI" w:cs="Segoe UI"/>
          <w:i/>
          <w:color w:val="014171"/>
          <w:lang w:val="de-DE"/>
        </w:rPr>
        <w:t>Key Performance Indicators</w:t>
      </w:r>
      <w:r w:rsidR="00EE32D3" w:rsidRPr="0040745F">
        <w:rPr>
          <w:rFonts w:ascii="Segoe UI" w:hAnsi="Segoe UI" w:cs="Segoe UI"/>
          <w:color w:val="014171"/>
          <w:lang w:val="de-DE"/>
        </w:rPr>
        <w:t xml:space="preserve">, „KPI“) der Auslagerungen bewertet. </w:t>
      </w:r>
      <w:r w:rsidR="001842CF" w:rsidRPr="0040745F">
        <w:rPr>
          <w:rFonts w:ascii="Segoe UI" w:hAnsi="Segoe UI" w:cs="Segoe UI"/>
          <w:color w:val="014171"/>
          <w:lang w:val="de-DE"/>
        </w:rPr>
        <w:t>Outsourcing-Risiken werden monatlich über einen erstellten KPI-Reporting-Prozess überwacht und bei Überschreitung der vereinbarten Schwellenwerte und Service Level Agreements gegebenenfalls eskaliert. Darüber hinaus bietet der RCSA-Prozess eine jährliche Überprüfungs- und Überwachungsmöglichkeit für die identifi</w:t>
      </w:r>
      <w:r w:rsidR="008A7319" w:rsidRPr="0040745F">
        <w:rPr>
          <w:rFonts w:ascii="Segoe UI" w:hAnsi="Segoe UI" w:cs="Segoe UI"/>
          <w:color w:val="014171"/>
          <w:lang w:val="de-DE"/>
        </w:rPr>
        <w:t>zierten Hauptrisiken.</w:t>
      </w:r>
    </w:p>
    <w:p w14:paraId="2F9B8967" w14:textId="4D7D6A5D" w:rsidR="00A64E0E" w:rsidRPr="0040745F" w:rsidRDefault="006E3B47" w:rsidP="00E27BB3">
      <w:pPr>
        <w:pStyle w:val="Heading4"/>
        <w:rPr>
          <w:lang w:val="de-DE"/>
        </w:rPr>
      </w:pPr>
      <w:r w:rsidRPr="0040745F">
        <w:rPr>
          <w:lang w:val="de-DE"/>
        </w:rPr>
        <w:t>Berichtswesen</w:t>
      </w:r>
    </w:p>
    <w:p w14:paraId="7CF30809" w14:textId="0AB71955" w:rsidR="00A64E0E" w:rsidRPr="0040745F" w:rsidRDefault="009F2543" w:rsidP="00E27BB3">
      <w:pPr>
        <w:spacing w:after="0"/>
        <w:jc w:val="both"/>
        <w:rPr>
          <w:rFonts w:ascii="Segoe UI" w:hAnsi="Segoe UI" w:cs="Segoe UI"/>
          <w:color w:val="014171"/>
          <w:lang w:val="de-DE"/>
        </w:rPr>
      </w:pPr>
      <w:r w:rsidRPr="0040745F">
        <w:rPr>
          <w:rFonts w:ascii="Segoe UI" w:hAnsi="Segoe UI" w:cs="Segoe UI"/>
          <w:color w:val="014171"/>
          <w:lang w:val="de-DE"/>
        </w:rPr>
        <w:t xml:space="preserve">Für </w:t>
      </w:r>
      <w:r w:rsidRPr="0065419D">
        <w:rPr>
          <w:rFonts w:ascii="Segoe UI" w:hAnsi="Segoe UI" w:cs="Segoe UI"/>
          <w:color w:val="014171"/>
          <w:lang w:val="de-DE"/>
        </w:rPr>
        <w:t>das Ris</w:t>
      </w:r>
      <w:r w:rsidR="0065419D" w:rsidRPr="0065419D">
        <w:rPr>
          <w:rFonts w:ascii="Segoe UI" w:hAnsi="Segoe UI" w:cs="Segoe UI"/>
          <w:color w:val="014171"/>
          <w:lang w:val="de-DE"/>
        </w:rPr>
        <w:t>i</w:t>
      </w:r>
      <w:r w:rsidRPr="0065419D">
        <w:rPr>
          <w:rFonts w:ascii="Segoe UI" w:hAnsi="Segoe UI" w:cs="Segoe UI"/>
          <w:color w:val="014171"/>
          <w:lang w:val="de-DE"/>
        </w:rPr>
        <w:t>k</w:t>
      </w:r>
      <w:r w:rsidR="0065419D" w:rsidRPr="0065419D">
        <w:rPr>
          <w:rFonts w:ascii="Segoe UI" w:hAnsi="Segoe UI" w:cs="Segoe UI"/>
          <w:color w:val="014171"/>
          <w:lang w:val="de-DE"/>
        </w:rPr>
        <w:t>o</w:t>
      </w:r>
      <w:r w:rsidRPr="0065419D">
        <w:rPr>
          <w:rFonts w:ascii="Segoe UI" w:hAnsi="Segoe UI" w:cs="Segoe UI"/>
          <w:color w:val="014171"/>
          <w:lang w:val="de-DE"/>
        </w:rPr>
        <w:t xml:space="preserve"> Komitee wird</w:t>
      </w:r>
      <w:r w:rsidRPr="0040745F">
        <w:rPr>
          <w:rFonts w:ascii="Segoe UI" w:hAnsi="Segoe UI" w:cs="Segoe UI"/>
          <w:color w:val="014171"/>
          <w:lang w:val="de-DE"/>
        </w:rPr>
        <w:t xml:space="preserve"> eine monatliche Berichterstattung erstellt, die qualitative und quantitative Informationen zum operationellen Risiko enthält. Dies inkludiert Details zu bemerkenswerten Risikoereignissen/-verlusten, RAS-Maßnahmen für operationelle Risiken sowie zur </w:t>
      </w:r>
      <w:r w:rsidR="00621E62">
        <w:rPr>
          <w:rFonts w:ascii="Segoe UI" w:hAnsi="Segoe UI" w:cs="Segoe UI"/>
          <w:color w:val="014171"/>
          <w:lang w:val="de-DE"/>
        </w:rPr>
        <w:t>Auslagerungsl</w:t>
      </w:r>
      <w:r w:rsidRPr="0040745F">
        <w:rPr>
          <w:rFonts w:ascii="Segoe UI" w:hAnsi="Segoe UI" w:cs="Segoe UI"/>
          <w:color w:val="014171"/>
          <w:lang w:val="de-DE"/>
        </w:rPr>
        <w:t>eistung gemessen an vereinbarten KPIs (einsch</w:t>
      </w:r>
      <w:r w:rsidR="008A7319" w:rsidRPr="0040745F">
        <w:rPr>
          <w:rFonts w:ascii="Segoe UI" w:hAnsi="Segoe UI" w:cs="Segoe UI"/>
          <w:color w:val="014171"/>
          <w:lang w:val="de-DE"/>
        </w:rPr>
        <w:t>ließlich Details zu Verstößen).</w:t>
      </w:r>
    </w:p>
    <w:p w14:paraId="2D8FB7B7" w14:textId="77777777" w:rsidR="001F173B" w:rsidRPr="0040745F" w:rsidRDefault="001F173B" w:rsidP="00E27BB3">
      <w:pPr>
        <w:spacing w:after="0"/>
        <w:jc w:val="both"/>
        <w:rPr>
          <w:rFonts w:ascii="Segoe UI" w:hAnsi="Segoe UI" w:cs="Segoe UI"/>
          <w:color w:val="014171"/>
          <w:lang w:val="de-DE"/>
        </w:rPr>
      </w:pPr>
    </w:p>
    <w:p w14:paraId="12883663" w14:textId="4D799FA1" w:rsidR="00A64E0E" w:rsidRPr="0040745F" w:rsidRDefault="009F2543" w:rsidP="00E27BB3">
      <w:pPr>
        <w:spacing w:after="0"/>
        <w:jc w:val="both"/>
        <w:rPr>
          <w:rFonts w:ascii="Segoe UI" w:hAnsi="Segoe UI" w:cs="Segoe UI"/>
          <w:color w:val="014171"/>
          <w:lang w:val="de-DE"/>
        </w:rPr>
      </w:pPr>
      <w:r w:rsidRPr="0040745F">
        <w:rPr>
          <w:rFonts w:ascii="Segoe UI" w:hAnsi="Segoe UI" w:cs="Segoe UI"/>
          <w:color w:val="014171"/>
          <w:lang w:val="de-DE"/>
        </w:rPr>
        <w:lastRenderedPageBreak/>
        <w:t xml:space="preserve">Darüber hinaus werden, in Übereinstimmung mit dem Meldeprozess, der in den Richtlinien und Organisationsanweisungen von DCMD formalisiert und dokumentiert ist, alle operationellen Risikovorfälle </w:t>
      </w:r>
      <w:r w:rsidR="00E86CC0">
        <w:rPr>
          <w:rFonts w:ascii="Segoe UI" w:hAnsi="Segoe UI" w:cs="Segoe UI"/>
          <w:color w:val="014171"/>
          <w:lang w:val="de-DE"/>
        </w:rPr>
        <w:t xml:space="preserve">erfasst und </w:t>
      </w:r>
      <w:r w:rsidRPr="0040745F">
        <w:rPr>
          <w:rFonts w:ascii="Segoe UI" w:hAnsi="Segoe UI" w:cs="Segoe UI"/>
          <w:color w:val="014171"/>
          <w:lang w:val="de-DE"/>
        </w:rPr>
        <w:t>gemeldet, sobald sie auf</w:t>
      </w:r>
      <w:r w:rsidR="00E86CC0">
        <w:rPr>
          <w:rFonts w:ascii="Segoe UI" w:hAnsi="Segoe UI" w:cs="Segoe UI"/>
          <w:color w:val="014171"/>
          <w:lang w:val="de-DE"/>
        </w:rPr>
        <w:t>ge</w:t>
      </w:r>
      <w:r w:rsidRPr="0040745F">
        <w:rPr>
          <w:rFonts w:ascii="Segoe UI" w:hAnsi="Segoe UI" w:cs="Segoe UI"/>
          <w:color w:val="014171"/>
          <w:lang w:val="de-DE"/>
        </w:rPr>
        <w:t>treten</w:t>
      </w:r>
      <w:r w:rsidR="00E86CC0">
        <w:rPr>
          <w:rFonts w:ascii="Segoe UI" w:hAnsi="Segoe UI" w:cs="Segoe UI"/>
          <w:color w:val="014171"/>
          <w:lang w:val="de-DE"/>
        </w:rPr>
        <w:t xml:space="preserve"> sind</w:t>
      </w:r>
      <w:r w:rsidRPr="0040745F">
        <w:rPr>
          <w:rFonts w:ascii="Segoe UI" w:hAnsi="Segoe UI" w:cs="Segoe UI"/>
          <w:color w:val="014171"/>
          <w:lang w:val="de-DE"/>
        </w:rPr>
        <w:t>.</w:t>
      </w:r>
    </w:p>
    <w:p w14:paraId="6777FFE4" w14:textId="77777777" w:rsidR="006F02AD" w:rsidRPr="0040745F" w:rsidRDefault="006F02AD" w:rsidP="00E27BB3">
      <w:pPr>
        <w:spacing w:after="0"/>
        <w:jc w:val="both"/>
        <w:rPr>
          <w:rFonts w:ascii="Segoe UI" w:hAnsi="Segoe UI" w:cs="Segoe UI"/>
          <w:color w:val="014171"/>
          <w:lang w:val="de-DE"/>
        </w:rPr>
      </w:pPr>
    </w:p>
    <w:p w14:paraId="0E9B23D9" w14:textId="68A494F4" w:rsidR="00A64E0E" w:rsidRPr="0040745F" w:rsidRDefault="002358AE" w:rsidP="00E27BB3">
      <w:pPr>
        <w:pStyle w:val="Heading3"/>
        <w:rPr>
          <w:b w:val="0"/>
          <w:lang w:val="de-DE"/>
        </w:rPr>
      </w:pPr>
      <w:r w:rsidRPr="0040745F">
        <w:rPr>
          <w:lang w:val="de-DE"/>
        </w:rPr>
        <w:t>Verhaltensrisiko</w:t>
      </w:r>
    </w:p>
    <w:p w14:paraId="70BAF1ED" w14:textId="77777777" w:rsidR="00A64E0E" w:rsidRPr="0040745F" w:rsidRDefault="00A64E0E" w:rsidP="00E27BB3">
      <w:pPr>
        <w:pStyle w:val="Heading4"/>
        <w:rPr>
          <w:lang w:val="de-DE"/>
        </w:rPr>
      </w:pPr>
      <w:r w:rsidRPr="0040745F">
        <w:rPr>
          <w:lang w:val="de-DE"/>
        </w:rPr>
        <w:t>Definition</w:t>
      </w:r>
    </w:p>
    <w:p w14:paraId="6171E653" w14:textId="381A8280" w:rsidR="000F119A" w:rsidRPr="0040745F" w:rsidRDefault="00706BF9" w:rsidP="00E27BB3">
      <w:pPr>
        <w:spacing w:after="0"/>
        <w:jc w:val="both"/>
        <w:rPr>
          <w:rFonts w:ascii="Segoe UI" w:hAnsi="Segoe UI" w:cs="Segoe UI"/>
          <w:color w:val="014171"/>
          <w:lang w:val="de-DE"/>
        </w:rPr>
      </w:pPr>
      <w:r w:rsidRPr="0040745F">
        <w:rPr>
          <w:rFonts w:ascii="Segoe UI" w:hAnsi="Segoe UI" w:cs="Segoe UI"/>
          <w:color w:val="014171"/>
          <w:lang w:val="de-DE"/>
        </w:rPr>
        <w:t xml:space="preserve">Das Verhaltensrisiko ist definiert als das Risiko, dass das Verhalten von Mitarbeitern oder der </w:t>
      </w:r>
      <w:r w:rsidR="00EC1917">
        <w:rPr>
          <w:rFonts w:ascii="Segoe UI" w:hAnsi="Segoe UI" w:cs="Segoe UI"/>
          <w:color w:val="014171"/>
          <w:lang w:val="de-DE"/>
        </w:rPr>
        <w:t>Gesellschaft</w:t>
      </w:r>
      <w:r w:rsidRPr="0040745F">
        <w:rPr>
          <w:rFonts w:ascii="Segoe UI" w:hAnsi="Segoe UI" w:cs="Segoe UI"/>
          <w:color w:val="014171"/>
          <w:lang w:val="de-DE"/>
        </w:rPr>
        <w:t xml:space="preserve"> selbst Kunden, Kontrahenten oder der Integrität der Märkte schadet, auf denen DCMD tätig ist.</w:t>
      </w:r>
    </w:p>
    <w:p w14:paraId="05D93F27" w14:textId="4027E864" w:rsidR="00A64E0E" w:rsidRPr="0040745F" w:rsidRDefault="00A64E0E" w:rsidP="00E27BB3">
      <w:pPr>
        <w:pStyle w:val="Heading4"/>
        <w:rPr>
          <w:lang w:val="de-DE"/>
        </w:rPr>
      </w:pPr>
      <w:r w:rsidRPr="0040745F">
        <w:rPr>
          <w:lang w:val="de-DE"/>
        </w:rPr>
        <w:t>Strateg</w:t>
      </w:r>
      <w:r w:rsidR="00765068" w:rsidRPr="0040745F">
        <w:rPr>
          <w:lang w:val="de-DE"/>
        </w:rPr>
        <w:t>ie</w:t>
      </w:r>
    </w:p>
    <w:p w14:paraId="3A9D9DF1" w14:textId="080D2B86" w:rsidR="000F119A" w:rsidRPr="0040745F" w:rsidRDefault="001E0E83" w:rsidP="00E27BB3">
      <w:pPr>
        <w:spacing w:after="0"/>
        <w:jc w:val="both"/>
        <w:rPr>
          <w:rFonts w:ascii="Segoe UI" w:hAnsi="Segoe UI" w:cs="Segoe UI"/>
          <w:color w:val="014171"/>
          <w:lang w:val="de-DE"/>
        </w:rPr>
      </w:pPr>
      <w:r w:rsidRPr="0040745F">
        <w:rPr>
          <w:rFonts w:ascii="Segoe UI" w:hAnsi="Segoe UI" w:cs="Segoe UI"/>
          <w:color w:val="014171"/>
          <w:lang w:val="de-DE"/>
        </w:rPr>
        <w:t>Verhaltensrisiken sind mit den meisten Aktivitäten von DCMD unvermeidlich verbunden. DCMD ist jedoch bestrebt, Verhaltensrisiken zu vermeiden und präventive Maßnahmen zu ergreifen, um eventuell gegebene Verhaltensrisiken zu mindern.</w:t>
      </w:r>
      <w:r w:rsidR="00C928C2">
        <w:rPr>
          <w:rFonts w:ascii="Segoe UI" w:hAnsi="Segoe UI" w:cs="Segoe UI"/>
          <w:color w:val="014171"/>
          <w:lang w:val="de-DE"/>
        </w:rPr>
        <w:t xml:space="preserve"> Dazu gehört auch das Verhalten und Vorleben seitens der Geschäftsführung und der Vorgesetzten.</w:t>
      </w:r>
    </w:p>
    <w:p w14:paraId="2EDE5300" w14:textId="47376D52" w:rsidR="00A64E0E" w:rsidRPr="0040745F" w:rsidRDefault="00277A36" w:rsidP="00E27BB3">
      <w:pPr>
        <w:pStyle w:val="Heading4"/>
        <w:rPr>
          <w:lang w:val="de-DE"/>
        </w:rPr>
      </w:pPr>
      <w:r w:rsidRPr="0040745F">
        <w:rPr>
          <w:lang w:val="de-DE"/>
        </w:rPr>
        <w:t>Risiko Identifikation &amp; Beurteilung</w:t>
      </w:r>
    </w:p>
    <w:p w14:paraId="5E5D6B48" w14:textId="2CFDDF56" w:rsidR="00306B1E" w:rsidRPr="0040745F" w:rsidRDefault="00306B1E" w:rsidP="00306B1E">
      <w:pPr>
        <w:spacing w:after="0"/>
        <w:jc w:val="both"/>
        <w:rPr>
          <w:rFonts w:ascii="Segoe UI" w:hAnsi="Segoe UI" w:cs="Segoe UI"/>
          <w:color w:val="014171"/>
          <w:lang w:val="de-DE"/>
        </w:rPr>
      </w:pPr>
      <w:r w:rsidRPr="0040745F">
        <w:rPr>
          <w:rFonts w:ascii="Segoe UI" w:hAnsi="Segoe UI" w:cs="Segoe UI"/>
          <w:color w:val="014171"/>
          <w:lang w:val="de-DE"/>
        </w:rPr>
        <w:t xml:space="preserve">DCMD verwendet eine Reihe von </w:t>
      </w:r>
      <w:r w:rsidR="00C928C2">
        <w:rPr>
          <w:rFonts w:ascii="Segoe UI" w:hAnsi="Segoe UI" w:cs="Segoe UI"/>
          <w:color w:val="014171"/>
          <w:lang w:val="de-DE"/>
        </w:rPr>
        <w:t>Instrumenten</w:t>
      </w:r>
      <w:r w:rsidRPr="0040745F">
        <w:rPr>
          <w:rFonts w:ascii="Segoe UI" w:hAnsi="Segoe UI" w:cs="Segoe UI"/>
          <w:color w:val="014171"/>
          <w:lang w:val="de-DE"/>
        </w:rPr>
        <w:t xml:space="preserve"> und Methoden, um (potenzielle)</w:t>
      </w:r>
      <w:r w:rsidR="003B699C">
        <w:rPr>
          <w:rFonts w:ascii="Segoe UI" w:hAnsi="Segoe UI" w:cs="Segoe UI"/>
          <w:color w:val="014171"/>
          <w:lang w:val="de-DE"/>
        </w:rPr>
        <w:t xml:space="preserve"> Verhaltensrisiken innerhalb der</w:t>
      </w:r>
      <w:r w:rsidR="000E1482" w:rsidRPr="0040745F">
        <w:rPr>
          <w:rFonts w:ascii="Segoe UI" w:hAnsi="Segoe UI" w:cs="Segoe UI"/>
          <w:color w:val="014171"/>
          <w:lang w:val="de-DE"/>
        </w:rPr>
        <w:t xml:space="preserve"> </w:t>
      </w:r>
      <w:r w:rsidR="003B699C">
        <w:rPr>
          <w:rFonts w:ascii="Segoe UI" w:hAnsi="Segoe UI" w:cs="Segoe UI"/>
          <w:color w:val="014171"/>
          <w:lang w:val="de-DE"/>
        </w:rPr>
        <w:t>Gesellschaft</w:t>
      </w:r>
      <w:r w:rsidR="000E1482" w:rsidRPr="0040745F">
        <w:rPr>
          <w:rFonts w:ascii="Segoe UI" w:hAnsi="Segoe UI" w:cs="Segoe UI"/>
          <w:color w:val="014171"/>
          <w:lang w:val="de-DE"/>
        </w:rPr>
        <w:t xml:space="preserve"> zu identifizieren. Dies inkludiert</w:t>
      </w:r>
      <w:r w:rsidRPr="0040745F">
        <w:rPr>
          <w:rFonts w:ascii="Segoe UI" w:hAnsi="Segoe UI" w:cs="Segoe UI"/>
          <w:color w:val="014171"/>
          <w:lang w:val="de-DE"/>
        </w:rPr>
        <w:t xml:space="preserve"> </w:t>
      </w:r>
      <w:r w:rsidR="00C928C2">
        <w:rPr>
          <w:rFonts w:ascii="Segoe UI" w:hAnsi="Segoe UI" w:cs="Segoe UI"/>
          <w:color w:val="014171"/>
          <w:lang w:val="de-DE"/>
        </w:rPr>
        <w:t xml:space="preserve">entsprechende </w:t>
      </w:r>
      <w:r w:rsidRPr="0040745F">
        <w:rPr>
          <w:rFonts w:ascii="Segoe UI" w:hAnsi="Segoe UI" w:cs="Segoe UI"/>
          <w:color w:val="014171"/>
          <w:lang w:val="de-DE"/>
        </w:rPr>
        <w:t>Mitarbeiter</w:t>
      </w:r>
      <w:r w:rsidR="00C928C2">
        <w:rPr>
          <w:rFonts w:ascii="Segoe UI" w:hAnsi="Segoe UI" w:cs="Segoe UI"/>
          <w:color w:val="014171"/>
          <w:lang w:val="de-DE"/>
        </w:rPr>
        <w:t>gespräche</w:t>
      </w:r>
      <w:r w:rsidRPr="0040745F">
        <w:rPr>
          <w:rFonts w:ascii="Segoe UI" w:hAnsi="Segoe UI" w:cs="Segoe UI"/>
          <w:color w:val="014171"/>
          <w:lang w:val="de-DE"/>
        </w:rPr>
        <w:t xml:space="preserve"> vor der Einstellung, </w:t>
      </w:r>
      <w:r w:rsidR="00C928C2">
        <w:rPr>
          <w:rFonts w:ascii="Segoe UI" w:hAnsi="Segoe UI" w:cs="Segoe UI"/>
          <w:color w:val="014171"/>
          <w:lang w:val="de-DE"/>
        </w:rPr>
        <w:t xml:space="preserve">eine </w:t>
      </w:r>
      <w:r w:rsidRPr="0040745F">
        <w:rPr>
          <w:rFonts w:ascii="Segoe UI" w:hAnsi="Segoe UI" w:cs="Segoe UI"/>
          <w:color w:val="014171"/>
          <w:lang w:val="de-DE"/>
        </w:rPr>
        <w:t xml:space="preserve">Handelsüberwachung und Überwachung der elektronischen </w:t>
      </w:r>
      <w:r w:rsidR="00C928C2">
        <w:rPr>
          <w:rFonts w:ascii="Segoe UI" w:hAnsi="Segoe UI" w:cs="Segoe UI"/>
          <w:color w:val="014171"/>
          <w:lang w:val="de-DE"/>
        </w:rPr>
        <w:t>Kunden-</w:t>
      </w:r>
      <w:r w:rsidRPr="0040745F">
        <w:rPr>
          <w:rFonts w:ascii="Segoe UI" w:hAnsi="Segoe UI" w:cs="Segoe UI"/>
          <w:color w:val="014171"/>
          <w:lang w:val="de-DE"/>
        </w:rPr>
        <w:t>Kommunikation.</w:t>
      </w:r>
    </w:p>
    <w:p w14:paraId="3309939B" w14:textId="4F5BFC78" w:rsidR="00A64E0E" w:rsidRPr="0040745F" w:rsidRDefault="00306B1E" w:rsidP="00E27BB3">
      <w:pPr>
        <w:spacing w:after="0"/>
        <w:jc w:val="both"/>
        <w:rPr>
          <w:rFonts w:ascii="Segoe UI" w:hAnsi="Segoe UI" w:cs="Segoe UI"/>
          <w:color w:val="014171"/>
          <w:lang w:val="de-DE"/>
        </w:rPr>
      </w:pPr>
      <w:r w:rsidRPr="0040745F">
        <w:rPr>
          <w:rFonts w:ascii="Segoe UI" w:hAnsi="Segoe UI" w:cs="Segoe UI"/>
          <w:color w:val="014171"/>
          <w:lang w:val="de-DE"/>
        </w:rPr>
        <w:t>Die Erhebung, Berichterstattung und Analyse zu internen Verhaltensrisikoere</w:t>
      </w:r>
      <w:r w:rsidR="000E1482" w:rsidRPr="0040745F">
        <w:rPr>
          <w:rFonts w:ascii="Segoe UI" w:hAnsi="Segoe UI" w:cs="Segoe UI"/>
          <w:color w:val="014171"/>
          <w:lang w:val="de-DE"/>
        </w:rPr>
        <w:t>ignissen ermöglicht es DCMD</w:t>
      </w:r>
      <w:r w:rsidRPr="0040745F">
        <w:rPr>
          <w:rFonts w:ascii="Segoe UI" w:hAnsi="Segoe UI" w:cs="Segoe UI"/>
          <w:color w:val="014171"/>
          <w:lang w:val="de-DE"/>
        </w:rPr>
        <w:t xml:space="preserve">, </w:t>
      </w:r>
      <w:r w:rsidR="00C928C2">
        <w:rPr>
          <w:rFonts w:ascii="Segoe UI" w:hAnsi="Segoe UI" w:cs="Segoe UI"/>
          <w:color w:val="014171"/>
          <w:lang w:val="de-DE"/>
        </w:rPr>
        <w:t>unzureichende</w:t>
      </w:r>
      <w:r w:rsidRPr="0040745F">
        <w:rPr>
          <w:rFonts w:ascii="Segoe UI" w:hAnsi="Segoe UI" w:cs="Segoe UI"/>
          <w:color w:val="014171"/>
          <w:lang w:val="de-DE"/>
        </w:rPr>
        <w:t xml:space="preserve"> Kontrollen, ineffektive Prozesse oder Aktiv</w:t>
      </w:r>
      <w:r w:rsidR="000E1482" w:rsidRPr="0040745F">
        <w:rPr>
          <w:rFonts w:ascii="Segoe UI" w:hAnsi="Segoe UI" w:cs="Segoe UI"/>
          <w:color w:val="014171"/>
          <w:lang w:val="de-DE"/>
        </w:rPr>
        <w:t>itäten zu identifizieren</w:t>
      </w:r>
      <w:r w:rsidRPr="0040745F">
        <w:rPr>
          <w:rFonts w:ascii="Segoe UI" w:hAnsi="Segoe UI" w:cs="Segoe UI"/>
          <w:color w:val="014171"/>
          <w:lang w:val="de-DE"/>
        </w:rPr>
        <w:t xml:space="preserve"> u</w:t>
      </w:r>
      <w:r w:rsidR="000E1482" w:rsidRPr="0040745F">
        <w:rPr>
          <w:rFonts w:ascii="Segoe UI" w:hAnsi="Segoe UI" w:cs="Segoe UI"/>
          <w:color w:val="014171"/>
          <w:lang w:val="de-DE"/>
        </w:rPr>
        <w:t>nd stellt sicher, dass</w:t>
      </w:r>
      <w:r w:rsidRPr="0040745F">
        <w:rPr>
          <w:rFonts w:ascii="Segoe UI" w:hAnsi="Segoe UI" w:cs="Segoe UI"/>
          <w:color w:val="014171"/>
          <w:lang w:val="de-DE"/>
        </w:rPr>
        <w:t xml:space="preserve"> angemessene </w:t>
      </w:r>
      <w:r w:rsidR="000E1482" w:rsidRPr="0040745F">
        <w:rPr>
          <w:rFonts w:ascii="Segoe UI" w:hAnsi="Segoe UI" w:cs="Segoe UI"/>
          <w:color w:val="014171"/>
          <w:lang w:val="de-DE"/>
        </w:rPr>
        <w:t>und korrigierende Maßnahmen ergriffen werden können</w:t>
      </w:r>
      <w:r w:rsidRPr="0040745F">
        <w:rPr>
          <w:rFonts w:ascii="Segoe UI" w:hAnsi="Segoe UI" w:cs="Segoe UI"/>
          <w:color w:val="014171"/>
          <w:lang w:val="de-DE"/>
        </w:rPr>
        <w:t>.</w:t>
      </w:r>
    </w:p>
    <w:p w14:paraId="117080FF" w14:textId="4F880058" w:rsidR="00A64E0E" w:rsidRPr="0040745F" w:rsidRDefault="006E3B47" w:rsidP="00E27BB3">
      <w:pPr>
        <w:pStyle w:val="Heading4"/>
        <w:rPr>
          <w:lang w:val="de-DE"/>
        </w:rPr>
      </w:pPr>
      <w:r w:rsidRPr="0040745F">
        <w:rPr>
          <w:lang w:val="de-DE"/>
        </w:rPr>
        <w:t>Überwachung der Limite und deren Auslastung</w:t>
      </w:r>
    </w:p>
    <w:p w14:paraId="4ADE8F2E" w14:textId="34BBC611" w:rsidR="00A64E0E" w:rsidRPr="0040745F" w:rsidRDefault="00B70AB1">
      <w:pPr>
        <w:spacing w:after="0"/>
        <w:jc w:val="both"/>
        <w:rPr>
          <w:rFonts w:ascii="Segoe UI" w:hAnsi="Segoe UI" w:cs="Segoe UI"/>
          <w:color w:val="014171"/>
          <w:lang w:val="de-DE"/>
        </w:rPr>
      </w:pPr>
      <w:r w:rsidRPr="0040745F">
        <w:rPr>
          <w:rFonts w:ascii="Segoe UI" w:hAnsi="Segoe UI" w:cs="Segoe UI"/>
          <w:color w:val="014171"/>
          <w:lang w:val="de-DE"/>
        </w:rPr>
        <w:t>Ähnlich wie bei den operationellen Risiken sind auch die Quellen des Verhaltensrisikos im Vergleich zum Markt- und Kreditrisiko schwer umfassend zu identifizieren. Zudem ist die Höhe des Risikos von Natur aus schwer zu messen</w:t>
      </w:r>
      <w:r w:rsidR="00BF4EDB" w:rsidRPr="0040745F">
        <w:rPr>
          <w:rFonts w:ascii="Segoe UI" w:hAnsi="Segoe UI" w:cs="Segoe UI"/>
          <w:color w:val="014171"/>
          <w:lang w:val="de-DE"/>
        </w:rPr>
        <w:t>.</w:t>
      </w:r>
      <w:r w:rsidR="005E0380" w:rsidRPr="0040745F">
        <w:rPr>
          <w:rFonts w:ascii="Segoe UI" w:hAnsi="Segoe UI" w:cs="Segoe UI"/>
          <w:color w:val="014171"/>
          <w:lang w:val="de-DE"/>
        </w:rPr>
        <w:t xml:space="preserve"> In dieser Hinsicht variieren</w:t>
      </w:r>
      <w:r w:rsidR="00BF4EDB" w:rsidRPr="0040745F">
        <w:rPr>
          <w:rFonts w:ascii="Segoe UI" w:hAnsi="Segoe UI" w:cs="Segoe UI"/>
          <w:color w:val="014171"/>
          <w:lang w:val="de-DE"/>
        </w:rPr>
        <w:t xml:space="preserve"> die Risikominderungs- oder Begrenzungsmethoden für das Verhaltensrisiko</w:t>
      </w:r>
      <w:r w:rsidR="005E0380" w:rsidRPr="0040745F">
        <w:rPr>
          <w:rFonts w:ascii="Segoe UI" w:hAnsi="Segoe UI" w:cs="Segoe UI"/>
          <w:color w:val="014171"/>
          <w:lang w:val="de-DE"/>
        </w:rPr>
        <w:t xml:space="preserve"> im Vergleich </w:t>
      </w:r>
      <w:r w:rsidR="00BF4EDB" w:rsidRPr="0040745F">
        <w:rPr>
          <w:rFonts w:ascii="Segoe UI" w:hAnsi="Segoe UI" w:cs="Segoe UI"/>
          <w:color w:val="014171"/>
          <w:lang w:val="de-DE"/>
        </w:rPr>
        <w:t>entsprechend. Die RAS-Maßnahmen bieten einen Rahmen zur Begrenzung</w:t>
      </w:r>
      <w:r w:rsidR="005E0380" w:rsidRPr="0040745F">
        <w:rPr>
          <w:rFonts w:ascii="Segoe UI" w:hAnsi="Segoe UI" w:cs="Segoe UI"/>
          <w:color w:val="014171"/>
          <w:lang w:val="de-DE"/>
        </w:rPr>
        <w:t xml:space="preserve"> des </w:t>
      </w:r>
      <w:r w:rsidR="00F33646">
        <w:rPr>
          <w:rFonts w:ascii="Segoe UI" w:hAnsi="Segoe UI" w:cs="Segoe UI"/>
          <w:color w:val="014171"/>
          <w:lang w:val="de-DE"/>
        </w:rPr>
        <w:t>R</w:t>
      </w:r>
      <w:r w:rsidR="005E0380" w:rsidRPr="0040745F">
        <w:rPr>
          <w:rFonts w:ascii="Segoe UI" w:hAnsi="Segoe UI" w:cs="Segoe UI"/>
          <w:color w:val="014171"/>
          <w:lang w:val="de-DE"/>
        </w:rPr>
        <w:t>isikos, welches DCMD</w:t>
      </w:r>
      <w:r w:rsidR="00BF4EDB" w:rsidRPr="0040745F">
        <w:rPr>
          <w:rFonts w:ascii="Segoe UI" w:hAnsi="Segoe UI" w:cs="Segoe UI"/>
          <w:color w:val="014171"/>
          <w:lang w:val="de-DE"/>
        </w:rPr>
        <w:t xml:space="preserve"> in Bezug auf das V</w:t>
      </w:r>
      <w:r w:rsidR="005E0380" w:rsidRPr="0040745F">
        <w:rPr>
          <w:rFonts w:ascii="Segoe UI" w:hAnsi="Segoe UI" w:cs="Segoe UI"/>
          <w:color w:val="014171"/>
          <w:lang w:val="de-DE"/>
        </w:rPr>
        <w:t>erhaltensrisiko toleriert.</w:t>
      </w:r>
      <w:r w:rsidR="004229C1" w:rsidRPr="0040745F">
        <w:rPr>
          <w:rFonts w:ascii="Segoe UI" w:hAnsi="Segoe UI" w:cs="Segoe UI"/>
          <w:color w:val="014171"/>
          <w:lang w:val="de-DE"/>
        </w:rPr>
        <w:t xml:space="preserve"> </w:t>
      </w:r>
      <w:r w:rsidR="00F33646" w:rsidRPr="0040745F">
        <w:rPr>
          <w:rFonts w:ascii="Segoe UI" w:hAnsi="Segoe UI" w:cs="Segoe UI"/>
          <w:color w:val="014171"/>
          <w:lang w:val="de-DE"/>
        </w:rPr>
        <w:t xml:space="preserve">Feststellungen </w:t>
      </w:r>
      <w:r w:rsidR="00F33646">
        <w:rPr>
          <w:rFonts w:ascii="Segoe UI" w:hAnsi="Segoe UI" w:cs="Segoe UI"/>
          <w:color w:val="014171"/>
          <w:lang w:val="de-DE"/>
        </w:rPr>
        <w:t xml:space="preserve">im </w:t>
      </w:r>
      <w:r w:rsidR="00BF4EDB" w:rsidRPr="0040745F">
        <w:rPr>
          <w:rFonts w:ascii="Segoe UI" w:hAnsi="Segoe UI" w:cs="Segoe UI"/>
          <w:color w:val="014171"/>
          <w:lang w:val="de-DE"/>
        </w:rPr>
        <w:t>Verhaltensrisiko</w:t>
      </w:r>
      <w:r w:rsidR="004229C1" w:rsidRPr="0040745F">
        <w:rPr>
          <w:rFonts w:ascii="Segoe UI" w:hAnsi="Segoe UI" w:cs="Segoe UI"/>
          <w:color w:val="014171"/>
          <w:lang w:val="de-DE"/>
        </w:rPr>
        <w:t xml:space="preserve"> </w:t>
      </w:r>
      <w:r w:rsidR="00BF4EDB" w:rsidRPr="0040745F">
        <w:rPr>
          <w:rFonts w:ascii="Segoe UI" w:hAnsi="Segoe UI" w:cs="Segoe UI"/>
          <w:color w:val="014171"/>
          <w:lang w:val="de-DE"/>
        </w:rPr>
        <w:t xml:space="preserve">werden erfasst, gemeldet und </w:t>
      </w:r>
      <w:r w:rsidR="00F33646">
        <w:rPr>
          <w:rFonts w:ascii="Segoe UI" w:hAnsi="Segoe UI" w:cs="Segoe UI"/>
          <w:color w:val="014171"/>
          <w:lang w:val="de-DE"/>
        </w:rPr>
        <w:t xml:space="preserve">soweit möglich </w:t>
      </w:r>
      <w:r w:rsidR="00BF4EDB" w:rsidRPr="0040745F">
        <w:rPr>
          <w:rFonts w:ascii="Segoe UI" w:hAnsi="Segoe UI" w:cs="Segoe UI"/>
          <w:color w:val="014171"/>
          <w:lang w:val="de-DE"/>
        </w:rPr>
        <w:t>gemindert, sobald sie auftreten. Bei der Minderung wird die Verbesserung sowohl der (operativen) Prozesse der ersten Verteidigungslinie als auch der Risikomanagementprozesse der zweiten Verteidigungslinie</w:t>
      </w:r>
      <w:r w:rsidR="004229C1" w:rsidRPr="0040745F">
        <w:rPr>
          <w:rFonts w:ascii="Segoe UI" w:hAnsi="Segoe UI" w:cs="Segoe UI"/>
          <w:color w:val="014171"/>
          <w:lang w:val="de-DE"/>
        </w:rPr>
        <w:t xml:space="preserve"> (Management Prozesse)</w:t>
      </w:r>
      <w:r w:rsidR="00BF4EDB" w:rsidRPr="0040745F">
        <w:rPr>
          <w:rFonts w:ascii="Segoe UI" w:hAnsi="Segoe UI" w:cs="Segoe UI"/>
          <w:color w:val="014171"/>
          <w:lang w:val="de-DE"/>
        </w:rPr>
        <w:t xml:space="preserve"> berücksichtigt.</w:t>
      </w:r>
    </w:p>
    <w:p w14:paraId="5727C328" w14:textId="6B39E633" w:rsidR="00A64E0E" w:rsidRPr="0040745F" w:rsidRDefault="006E3B47" w:rsidP="00E27BB3">
      <w:pPr>
        <w:pStyle w:val="Heading4"/>
        <w:rPr>
          <w:lang w:val="de-DE"/>
        </w:rPr>
      </w:pPr>
      <w:r w:rsidRPr="0040745F">
        <w:rPr>
          <w:lang w:val="de-DE"/>
        </w:rPr>
        <w:lastRenderedPageBreak/>
        <w:t>Berichtswesen</w:t>
      </w:r>
    </w:p>
    <w:p w14:paraId="05EA41E4" w14:textId="569BF389" w:rsidR="00A64E0E" w:rsidRPr="0040745F" w:rsidRDefault="00A214CC" w:rsidP="00E27BB3">
      <w:pPr>
        <w:spacing w:after="0"/>
        <w:jc w:val="both"/>
        <w:rPr>
          <w:rFonts w:ascii="Segoe UI" w:hAnsi="Segoe UI" w:cs="Segoe UI"/>
          <w:color w:val="014171"/>
          <w:lang w:val="de-DE"/>
        </w:rPr>
      </w:pPr>
      <w:r w:rsidRPr="0040745F">
        <w:rPr>
          <w:rFonts w:ascii="Segoe UI" w:hAnsi="Segoe UI" w:cs="Segoe UI"/>
          <w:color w:val="014171"/>
          <w:lang w:val="de-DE"/>
        </w:rPr>
        <w:t xml:space="preserve">Der </w:t>
      </w:r>
      <w:r w:rsidRPr="00F92823">
        <w:rPr>
          <w:rFonts w:ascii="Segoe UI" w:hAnsi="Segoe UI" w:cs="Segoe UI"/>
          <w:color w:val="014171"/>
          <w:lang w:val="de-DE"/>
        </w:rPr>
        <w:t>Verhaltens-Risikobericht ist Bestandteil der monatlichen Berichterstattung an das R</w:t>
      </w:r>
      <w:r w:rsidR="00F92823" w:rsidRPr="00F92823">
        <w:rPr>
          <w:rFonts w:ascii="Segoe UI" w:hAnsi="Segoe UI" w:cs="Segoe UI"/>
          <w:color w:val="014171"/>
          <w:lang w:val="de-DE"/>
        </w:rPr>
        <w:t xml:space="preserve">isiko sowie </w:t>
      </w:r>
      <w:r w:rsidR="00F92823">
        <w:rPr>
          <w:rFonts w:ascii="Segoe UI" w:hAnsi="Segoe UI" w:cs="Segoe UI"/>
          <w:color w:val="014171"/>
          <w:lang w:val="de-DE"/>
        </w:rPr>
        <w:t xml:space="preserve">das </w:t>
      </w:r>
      <w:r w:rsidR="00F92823" w:rsidRPr="00F92823">
        <w:rPr>
          <w:rFonts w:ascii="Segoe UI" w:hAnsi="Segoe UI" w:cs="Segoe UI"/>
          <w:color w:val="014171"/>
          <w:lang w:val="de-DE"/>
        </w:rPr>
        <w:t>Exek</w:t>
      </w:r>
      <w:r w:rsidRPr="00F92823">
        <w:rPr>
          <w:rFonts w:ascii="Segoe UI" w:hAnsi="Segoe UI" w:cs="Segoe UI"/>
          <w:color w:val="014171"/>
          <w:lang w:val="de-DE"/>
        </w:rPr>
        <w:t>utive Komitee. Der Be</w:t>
      </w:r>
      <w:r w:rsidRPr="0040745F">
        <w:rPr>
          <w:rFonts w:ascii="Segoe UI" w:hAnsi="Segoe UI" w:cs="Segoe UI"/>
          <w:color w:val="014171"/>
          <w:lang w:val="de-DE"/>
        </w:rPr>
        <w:t xml:space="preserve">richt enthält qualitative und quantitative Informationen zu </w:t>
      </w:r>
      <w:r w:rsidR="00673611" w:rsidRPr="0040745F">
        <w:rPr>
          <w:rFonts w:ascii="Segoe UI" w:hAnsi="Segoe UI" w:cs="Segoe UI"/>
          <w:color w:val="014171"/>
          <w:lang w:val="de-DE"/>
        </w:rPr>
        <w:t>Verhaltensrisiken und beinhaltet</w:t>
      </w:r>
      <w:r w:rsidRPr="0040745F">
        <w:rPr>
          <w:rFonts w:ascii="Segoe UI" w:hAnsi="Segoe UI" w:cs="Segoe UI"/>
          <w:color w:val="014171"/>
          <w:lang w:val="de-DE"/>
        </w:rPr>
        <w:t xml:space="preserve"> Einzelheiten zu bemerkenswerten Verhaltens</w:t>
      </w:r>
      <w:r w:rsidR="00673611" w:rsidRPr="0040745F">
        <w:rPr>
          <w:rFonts w:ascii="Segoe UI" w:hAnsi="Segoe UI" w:cs="Segoe UI"/>
          <w:color w:val="014171"/>
          <w:lang w:val="de-DE"/>
        </w:rPr>
        <w:t>- Risikoereignissen sowie</w:t>
      </w:r>
      <w:r w:rsidRPr="0040745F">
        <w:rPr>
          <w:rFonts w:ascii="Segoe UI" w:hAnsi="Segoe UI" w:cs="Segoe UI"/>
          <w:color w:val="014171"/>
          <w:lang w:val="de-DE"/>
        </w:rPr>
        <w:t xml:space="preserve"> der historischen Entwicklung der Anzahl von Verhaltensrisikovorfällen.</w:t>
      </w:r>
    </w:p>
    <w:p w14:paraId="78662E0C" w14:textId="77777777" w:rsidR="002F026E" w:rsidRPr="0040745F" w:rsidRDefault="002F026E" w:rsidP="00E27BB3">
      <w:pPr>
        <w:spacing w:after="0"/>
        <w:jc w:val="both"/>
        <w:rPr>
          <w:rFonts w:ascii="Segoe UI" w:hAnsi="Segoe UI" w:cs="Segoe UI"/>
          <w:color w:val="014171"/>
          <w:lang w:val="de-DE"/>
        </w:rPr>
      </w:pPr>
    </w:p>
    <w:p w14:paraId="06EE7B02" w14:textId="5009E057" w:rsidR="00A64E0E" w:rsidRPr="0040745F" w:rsidRDefault="00277A36" w:rsidP="00E27BB3">
      <w:pPr>
        <w:pStyle w:val="Heading3"/>
        <w:rPr>
          <w:lang w:val="de-DE"/>
        </w:rPr>
      </w:pPr>
      <w:r w:rsidRPr="0040745F">
        <w:rPr>
          <w:lang w:val="de-DE"/>
        </w:rPr>
        <w:t>Sonstige Wesentliche Risiken</w:t>
      </w:r>
    </w:p>
    <w:p w14:paraId="05F1B187" w14:textId="77777777" w:rsidR="00A64E0E" w:rsidRPr="0040745F" w:rsidRDefault="00A64E0E" w:rsidP="00E27BB3">
      <w:pPr>
        <w:pStyle w:val="Heading4"/>
        <w:rPr>
          <w:lang w:val="de-DE"/>
        </w:rPr>
      </w:pPr>
      <w:r w:rsidRPr="0040745F">
        <w:rPr>
          <w:lang w:val="de-DE"/>
        </w:rPr>
        <w:t>Definition</w:t>
      </w:r>
    </w:p>
    <w:p w14:paraId="24344B8E" w14:textId="4A67415F" w:rsidR="00A64E0E" w:rsidRPr="0040745F" w:rsidRDefault="00621E62" w:rsidP="00E27BB3">
      <w:pPr>
        <w:spacing w:after="0"/>
        <w:jc w:val="both"/>
        <w:rPr>
          <w:rFonts w:ascii="Segoe UI" w:hAnsi="Segoe UI" w:cs="Segoe UI"/>
          <w:color w:val="014171"/>
          <w:lang w:val="de-DE"/>
        </w:rPr>
      </w:pPr>
      <w:r>
        <w:rPr>
          <w:rFonts w:ascii="Segoe UI" w:hAnsi="Segoe UI" w:cs="Segoe UI"/>
          <w:color w:val="014171"/>
          <w:lang w:val="de-DE"/>
        </w:rPr>
        <w:t>Der Abschnitt „Sonstige</w:t>
      </w:r>
      <w:r w:rsidR="008B0EE5" w:rsidRPr="0040745F">
        <w:rPr>
          <w:rFonts w:ascii="Segoe UI" w:hAnsi="Segoe UI" w:cs="Segoe UI"/>
          <w:color w:val="014171"/>
          <w:lang w:val="de-DE"/>
        </w:rPr>
        <w:t xml:space="preserve"> wesentliche Risiken“ umfasst Risikoarten, die für DCMD als wesentlich identifiziert wurden, aber noch nicht in einer der oben genannten Kategorien enthalten sind. Diese sind:</w:t>
      </w:r>
    </w:p>
    <w:p w14:paraId="769CB609" w14:textId="77777777" w:rsidR="001201B9" w:rsidRPr="0040745F" w:rsidRDefault="001201B9" w:rsidP="00E27BB3">
      <w:pPr>
        <w:spacing w:after="0"/>
        <w:jc w:val="both"/>
        <w:rPr>
          <w:rFonts w:ascii="Segoe UI" w:hAnsi="Segoe UI" w:cs="Segoe UI"/>
          <w:color w:val="014171"/>
          <w:lang w:val="de-DE"/>
        </w:rPr>
      </w:pPr>
    </w:p>
    <w:p w14:paraId="05435351" w14:textId="3474829F" w:rsidR="00A64E0E" w:rsidRPr="0040745F" w:rsidRDefault="00A64E0E" w:rsidP="00E27BB3">
      <w:pPr>
        <w:pStyle w:val="ListParagraph"/>
        <w:numPr>
          <w:ilvl w:val="0"/>
          <w:numId w:val="60"/>
        </w:numPr>
        <w:spacing w:after="0"/>
        <w:jc w:val="both"/>
        <w:rPr>
          <w:rFonts w:ascii="Segoe UI" w:hAnsi="Segoe UI" w:cs="Segoe UI"/>
          <w:color w:val="014171"/>
          <w:lang w:val="de-DE"/>
        </w:rPr>
      </w:pPr>
      <w:r w:rsidRPr="0040745F">
        <w:rPr>
          <w:rFonts w:ascii="Segoe UI" w:hAnsi="Segoe UI" w:cs="Segoe UI"/>
          <w:color w:val="014171"/>
          <w:lang w:val="de-DE"/>
        </w:rPr>
        <w:t>Gr</w:t>
      </w:r>
      <w:r w:rsidR="00765068" w:rsidRPr="0040745F">
        <w:rPr>
          <w:rFonts w:ascii="Segoe UI" w:hAnsi="Segoe UI" w:cs="Segoe UI"/>
          <w:color w:val="014171"/>
          <w:lang w:val="de-DE"/>
        </w:rPr>
        <w:t>u</w:t>
      </w:r>
      <w:r w:rsidRPr="0040745F">
        <w:rPr>
          <w:rFonts w:ascii="Segoe UI" w:hAnsi="Segoe UI" w:cs="Segoe UI"/>
          <w:color w:val="014171"/>
          <w:lang w:val="de-DE"/>
        </w:rPr>
        <w:t>p</w:t>
      </w:r>
      <w:r w:rsidR="00765068" w:rsidRPr="0040745F">
        <w:rPr>
          <w:rFonts w:ascii="Segoe UI" w:hAnsi="Segoe UI" w:cs="Segoe UI"/>
          <w:color w:val="014171"/>
          <w:lang w:val="de-DE"/>
        </w:rPr>
        <w:t>penrisiko</w:t>
      </w:r>
    </w:p>
    <w:p w14:paraId="02DFFDE8" w14:textId="1AAFCF96" w:rsidR="00A64E0E" w:rsidRPr="0040745F" w:rsidRDefault="00765068" w:rsidP="00E27BB3">
      <w:pPr>
        <w:pStyle w:val="ListParagraph"/>
        <w:numPr>
          <w:ilvl w:val="0"/>
          <w:numId w:val="60"/>
        </w:numPr>
        <w:spacing w:after="0"/>
        <w:jc w:val="both"/>
        <w:rPr>
          <w:rFonts w:ascii="Segoe UI" w:hAnsi="Segoe UI" w:cs="Segoe UI"/>
          <w:color w:val="014171"/>
          <w:lang w:val="de-DE"/>
        </w:rPr>
      </w:pPr>
      <w:r w:rsidRPr="0040745F">
        <w:rPr>
          <w:rFonts w:ascii="Segoe UI" w:hAnsi="Segoe UI" w:cs="Segoe UI"/>
          <w:color w:val="014171"/>
          <w:lang w:val="de-DE"/>
        </w:rPr>
        <w:t>K</w:t>
      </w:r>
      <w:r w:rsidR="00A64E0E" w:rsidRPr="0040745F">
        <w:rPr>
          <w:rFonts w:ascii="Segoe UI" w:hAnsi="Segoe UI" w:cs="Segoe UI"/>
          <w:color w:val="014171"/>
          <w:lang w:val="de-DE"/>
        </w:rPr>
        <w:t>apital</w:t>
      </w:r>
      <w:r w:rsidRPr="0040745F">
        <w:rPr>
          <w:rFonts w:ascii="Segoe UI" w:hAnsi="Segoe UI" w:cs="Segoe UI"/>
          <w:color w:val="014171"/>
          <w:lang w:val="de-DE"/>
        </w:rPr>
        <w:t>r</w:t>
      </w:r>
      <w:r w:rsidR="00A64E0E" w:rsidRPr="0040745F">
        <w:rPr>
          <w:rFonts w:ascii="Segoe UI" w:hAnsi="Segoe UI" w:cs="Segoe UI"/>
          <w:color w:val="014171"/>
          <w:lang w:val="de-DE"/>
        </w:rPr>
        <w:t>is</w:t>
      </w:r>
      <w:r w:rsidRPr="0040745F">
        <w:rPr>
          <w:rFonts w:ascii="Segoe UI" w:hAnsi="Segoe UI" w:cs="Segoe UI"/>
          <w:color w:val="014171"/>
          <w:lang w:val="de-DE"/>
        </w:rPr>
        <w:t>i</w:t>
      </w:r>
      <w:r w:rsidR="00A64E0E" w:rsidRPr="0040745F">
        <w:rPr>
          <w:rFonts w:ascii="Segoe UI" w:hAnsi="Segoe UI" w:cs="Segoe UI"/>
          <w:color w:val="014171"/>
          <w:lang w:val="de-DE"/>
        </w:rPr>
        <w:t>k</w:t>
      </w:r>
      <w:r w:rsidRPr="0040745F">
        <w:rPr>
          <w:rFonts w:ascii="Segoe UI" w:hAnsi="Segoe UI" w:cs="Segoe UI"/>
          <w:color w:val="014171"/>
          <w:lang w:val="de-DE"/>
        </w:rPr>
        <w:t>o</w:t>
      </w:r>
    </w:p>
    <w:p w14:paraId="661C5896" w14:textId="65BB6610" w:rsidR="00A64E0E" w:rsidRPr="0040745F" w:rsidRDefault="00765068" w:rsidP="00E27BB3">
      <w:pPr>
        <w:pStyle w:val="ListParagraph"/>
        <w:numPr>
          <w:ilvl w:val="0"/>
          <w:numId w:val="60"/>
        </w:numPr>
        <w:spacing w:after="0"/>
        <w:jc w:val="both"/>
        <w:rPr>
          <w:rFonts w:ascii="Segoe UI" w:hAnsi="Segoe UI" w:cs="Segoe UI"/>
          <w:color w:val="014171"/>
          <w:lang w:val="de-DE"/>
        </w:rPr>
      </w:pPr>
      <w:r w:rsidRPr="0040745F">
        <w:rPr>
          <w:rFonts w:ascii="Segoe UI" w:hAnsi="Segoe UI" w:cs="Segoe UI"/>
          <w:color w:val="014171"/>
          <w:lang w:val="de-DE"/>
        </w:rPr>
        <w:t>Geschäftsr</w:t>
      </w:r>
      <w:r w:rsidR="00A64E0E" w:rsidRPr="0040745F">
        <w:rPr>
          <w:rFonts w:ascii="Segoe UI" w:hAnsi="Segoe UI" w:cs="Segoe UI"/>
          <w:color w:val="014171"/>
          <w:lang w:val="de-DE"/>
        </w:rPr>
        <w:t>is</w:t>
      </w:r>
      <w:r w:rsidRPr="0040745F">
        <w:rPr>
          <w:rFonts w:ascii="Segoe UI" w:hAnsi="Segoe UI" w:cs="Segoe UI"/>
          <w:color w:val="014171"/>
          <w:lang w:val="de-DE"/>
        </w:rPr>
        <w:t>i</w:t>
      </w:r>
      <w:r w:rsidR="00A64E0E" w:rsidRPr="0040745F">
        <w:rPr>
          <w:rFonts w:ascii="Segoe UI" w:hAnsi="Segoe UI" w:cs="Segoe UI"/>
          <w:color w:val="014171"/>
          <w:lang w:val="de-DE"/>
        </w:rPr>
        <w:t>k</w:t>
      </w:r>
      <w:r w:rsidRPr="0040745F">
        <w:rPr>
          <w:rFonts w:ascii="Segoe UI" w:hAnsi="Segoe UI" w:cs="Segoe UI"/>
          <w:color w:val="014171"/>
          <w:lang w:val="de-DE"/>
        </w:rPr>
        <w:t>o</w:t>
      </w:r>
    </w:p>
    <w:p w14:paraId="687F723F" w14:textId="31B19AA9" w:rsidR="00A64E0E" w:rsidRPr="0040745F" w:rsidRDefault="008A7319" w:rsidP="00D43744">
      <w:pPr>
        <w:pStyle w:val="ListParagraph"/>
        <w:numPr>
          <w:ilvl w:val="0"/>
          <w:numId w:val="60"/>
        </w:numPr>
        <w:spacing w:after="0"/>
        <w:jc w:val="both"/>
        <w:rPr>
          <w:rFonts w:ascii="Segoe UI" w:hAnsi="Segoe UI" w:cs="Segoe UI"/>
          <w:color w:val="014171"/>
          <w:lang w:val="de-DE"/>
        </w:rPr>
      </w:pPr>
      <w:r w:rsidRPr="0040745F">
        <w:rPr>
          <w:rFonts w:ascii="Segoe UI" w:hAnsi="Segoe UI" w:cs="Segoe UI"/>
          <w:color w:val="014171"/>
          <w:lang w:val="de-DE"/>
        </w:rPr>
        <w:t xml:space="preserve">Risiko der Einhaltung </w:t>
      </w:r>
      <w:r w:rsidR="00D43744" w:rsidRPr="0040745F">
        <w:rPr>
          <w:rFonts w:ascii="Segoe UI" w:hAnsi="Segoe UI" w:cs="Segoe UI"/>
          <w:color w:val="014171"/>
          <w:lang w:val="de-DE"/>
        </w:rPr>
        <w:t>gesetzlicher Vorschriften</w:t>
      </w:r>
    </w:p>
    <w:p w14:paraId="7C4EC01D" w14:textId="42C4A03D" w:rsidR="00A64E0E" w:rsidRPr="0040745F" w:rsidRDefault="002358AE" w:rsidP="00E27BB3">
      <w:pPr>
        <w:pStyle w:val="ListParagraph"/>
        <w:numPr>
          <w:ilvl w:val="0"/>
          <w:numId w:val="60"/>
        </w:numPr>
        <w:spacing w:after="0"/>
        <w:jc w:val="both"/>
        <w:rPr>
          <w:rFonts w:ascii="Segoe UI" w:hAnsi="Segoe UI" w:cs="Segoe UI"/>
          <w:color w:val="014171"/>
          <w:lang w:val="de-DE"/>
        </w:rPr>
      </w:pPr>
      <w:r w:rsidRPr="0040745F">
        <w:rPr>
          <w:rFonts w:ascii="Segoe UI" w:hAnsi="Segoe UI" w:cs="Segoe UI"/>
          <w:color w:val="014171"/>
          <w:lang w:val="de-DE"/>
        </w:rPr>
        <w:t>Unternehmungsführungsrisiko</w:t>
      </w:r>
    </w:p>
    <w:p w14:paraId="7E37F14C" w14:textId="04658E4D" w:rsidR="001201B9" w:rsidRPr="0040745F" w:rsidRDefault="00A64E0E" w:rsidP="00E27BB3">
      <w:pPr>
        <w:pStyle w:val="ListParagraph"/>
        <w:numPr>
          <w:ilvl w:val="0"/>
          <w:numId w:val="60"/>
        </w:numPr>
        <w:spacing w:after="0"/>
        <w:jc w:val="both"/>
        <w:rPr>
          <w:rFonts w:ascii="Segoe UI" w:hAnsi="Segoe UI" w:cs="Segoe UI"/>
          <w:color w:val="014171"/>
          <w:lang w:val="de-DE"/>
        </w:rPr>
      </w:pPr>
      <w:r w:rsidRPr="0040745F">
        <w:rPr>
          <w:rFonts w:ascii="Segoe UI" w:hAnsi="Segoe UI" w:cs="Segoe UI"/>
          <w:color w:val="014171"/>
          <w:lang w:val="de-DE"/>
        </w:rPr>
        <w:t>Reputati</w:t>
      </w:r>
      <w:r w:rsidR="00765068" w:rsidRPr="0040745F">
        <w:rPr>
          <w:rFonts w:ascii="Segoe UI" w:hAnsi="Segoe UI" w:cs="Segoe UI"/>
          <w:color w:val="014171"/>
          <w:lang w:val="de-DE"/>
        </w:rPr>
        <w:t>onsr</w:t>
      </w:r>
      <w:r w:rsidRPr="0040745F">
        <w:rPr>
          <w:rFonts w:ascii="Segoe UI" w:hAnsi="Segoe UI" w:cs="Segoe UI"/>
          <w:color w:val="014171"/>
          <w:lang w:val="de-DE"/>
        </w:rPr>
        <w:t>is</w:t>
      </w:r>
      <w:r w:rsidR="00765068" w:rsidRPr="0040745F">
        <w:rPr>
          <w:rFonts w:ascii="Segoe UI" w:hAnsi="Segoe UI" w:cs="Segoe UI"/>
          <w:color w:val="014171"/>
          <w:lang w:val="de-DE"/>
        </w:rPr>
        <w:t>i</w:t>
      </w:r>
      <w:r w:rsidRPr="0040745F">
        <w:rPr>
          <w:rFonts w:ascii="Segoe UI" w:hAnsi="Segoe UI" w:cs="Segoe UI"/>
          <w:color w:val="014171"/>
          <w:lang w:val="de-DE"/>
        </w:rPr>
        <w:t>k</w:t>
      </w:r>
      <w:r w:rsidR="00765068" w:rsidRPr="0040745F">
        <w:rPr>
          <w:rFonts w:ascii="Segoe UI" w:hAnsi="Segoe UI" w:cs="Segoe UI"/>
          <w:color w:val="014171"/>
          <w:lang w:val="de-DE"/>
        </w:rPr>
        <w:t>o</w:t>
      </w:r>
    </w:p>
    <w:p w14:paraId="4710C2F7" w14:textId="77777777" w:rsidR="008A7319" w:rsidRPr="0040745F" w:rsidRDefault="008A7319" w:rsidP="008A7319">
      <w:pPr>
        <w:spacing w:after="0"/>
        <w:jc w:val="both"/>
        <w:rPr>
          <w:rFonts w:ascii="Segoe UI" w:hAnsi="Segoe UI" w:cs="Segoe UI"/>
          <w:color w:val="014171"/>
          <w:lang w:val="de-DE"/>
        </w:rPr>
      </w:pPr>
    </w:p>
    <w:p w14:paraId="7DA2A471" w14:textId="29659886" w:rsidR="00A64E0E" w:rsidRPr="0040745F" w:rsidRDefault="00A64E0E" w:rsidP="00E27BB3">
      <w:pPr>
        <w:pStyle w:val="Heading4"/>
        <w:rPr>
          <w:lang w:val="de-DE"/>
        </w:rPr>
      </w:pPr>
      <w:r w:rsidRPr="0040745F">
        <w:rPr>
          <w:lang w:val="de-DE"/>
        </w:rPr>
        <w:t>Gr</w:t>
      </w:r>
      <w:r w:rsidR="00765068" w:rsidRPr="0040745F">
        <w:rPr>
          <w:lang w:val="de-DE"/>
        </w:rPr>
        <w:t>uppenr</w:t>
      </w:r>
      <w:r w:rsidRPr="0040745F">
        <w:rPr>
          <w:lang w:val="de-DE"/>
        </w:rPr>
        <w:t>is</w:t>
      </w:r>
      <w:r w:rsidR="00765068" w:rsidRPr="0040745F">
        <w:rPr>
          <w:lang w:val="de-DE"/>
        </w:rPr>
        <w:t>i</w:t>
      </w:r>
      <w:r w:rsidRPr="0040745F">
        <w:rPr>
          <w:lang w:val="de-DE"/>
        </w:rPr>
        <w:t>k</w:t>
      </w:r>
      <w:r w:rsidR="00765068" w:rsidRPr="0040745F">
        <w:rPr>
          <w:lang w:val="de-DE"/>
        </w:rPr>
        <w:t>o</w:t>
      </w:r>
    </w:p>
    <w:p w14:paraId="2B99A45E" w14:textId="77777777" w:rsidR="002675F2" w:rsidRPr="0040745F" w:rsidRDefault="002675F2" w:rsidP="002675F2">
      <w:pPr>
        <w:spacing w:after="0"/>
        <w:jc w:val="both"/>
        <w:rPr>
          <w:rFonts w:ascii="Segoe UI" w:hAnsi="Segoe UI" w:cs="Segoe UI"/>
          <w:color w:val="014171"/>
          <w:lang w:val="de-DE"/>
        </w:rPr>
      </w:pPr>
      <w:r w:rsidRPr="0040745F">
        <w:rPr>
          <w:rFonts w:ascii="Segoe UI" w:hAnsi="Segoe UI" w:cs="Segoe UI"/>
          <w:color w:val="014171"/>
          <w:lang w:val="de-DE"/>
        </w:rPr>
        <w:t>Das Gruppenrisiko ist das Risiko, das sich aus der Zugehörigkeit zur Daiwa-Gruppe mit allen Vor- und möglichen Nachteilen ergibt.</w:t>
      </w:r>
    </w:p>
    <w:p w14:paraId="4043753A" w14:textId="77777777" w:rsidR="002675F2" w:rsidRPr="0040745F" w:rsidRDefault="002675F2" w:rsidP="002675F2">
      <w:pPr>
        <w:spacing w:after="0"/>
        <w:jc w:val="both"/>
        <w:rPr>
          <w:rFonts w:ascii="Segoe UI" w:hAnsi="Segoe UI" w:cs="Segoe UI"/>
          <w:color w:val="014171"/>
          <w:lang w:val="de-DE"/>
        </w:rPr>
      </w:pPr>
    </w:p>
    <w:p w14:paraId="173BC55A" w14:textId="77777777" w:rsidR="002675F2" w:rsidRPr="0040745F" w:rsidRDefault="002675F2" w:rsidP="002675F2">
      <w:pPr>
        <w:spacing w:after="0"/>
        <w:jc w:val="both"/>
        <w:rPr>
          <w:rFonts w:ascii="Segoe UI" w:hAnsi="Segoe UI" w:cs="Segoe UI"/>
          <w:color w:val="014171"/>
          <w:lang w:val="de-DE"/>
        </w:rPr>
      </w:pPr>
      <w:r w:rsidRPr="0040745F">
        <w:rPr>
          <w:rFonts w:ascii="Segoe UI" w:hAnsi="Segoe UI" w:cs="Segoe UI"/>
          <w:color w:val="014171"/>
          <w:lang w:val="de-DE"/>
        </w:rPr>
        <w:t>Das Gruppenrisiko wird durch eine Kombination von Kontrollen begrenzt und gesteuert.</w:t>
      </w:r>
    </w:p>
    <w:p w14:paraId="4A1808D5" w14:textId="0DCE1574" w:rsidR="002675F2" w:rsidRPr="0040745F" w:rsidRDefault="002675F2" w:rsidP="002675F2">
      <w:pPr>
        <w:spacing w:after="0"/>
        <w:jc w:val="both"/>
        <w:rPr>
          <w:rFonts w:ascii="Segoe UI" w:hAnsi="Segoe UI" w:cs="Segoe UI"/>
          <w:color w:val="014171"/>
          <w:lang w:val="de-DE"/>
        </w:rPr>
      </w:pPr>
      <w:r w:rsidRPr="0040745F">
        <w:rPr>
          <w:rFonts w:ascii="Segoe UI" w:hAnsi="Segoe UI" w:cs="Segoe UI"/>
          <w:color w:val="014171"/>
          <w:lang w:val="de-DE"/>
        </w:rPr>
        <w:t>Die Kernelemente sind wie folgt:</w:t>
      </w:r>
    </w:p>
    <w:p w14:paraId="3619C78D" w14:textId="77777777" w:rsidR="008A7319" w:rsidRPr="0040745F" w:rsidRDefault="008A7319" w:rsidP="002675F2">
      <w:pPr>
        <w:spacing w:after="0"/>
        <w:jc w:val="both"/>
        <w:rPr>
          <w:rFonts w:ascii="Segoe UI" w:hAnsi="Segoe UI" w:cs="Segoe UI"/>
          <w:color w:val="014171"/>
          <w:lang w:val="de-DE"/>
        </w:rPr>
      </w:pPr>
    </w:p>
    <w:p w14:paraId="31DC7B0F" w14:textId="67A6D4F2" w:rsidR="002675F2" w:rsidRPr="0040745F" w:rsidRDefault="002675F2" w:rsidP="008A7319">
      <w:pPr>
        <w:pStyle w:val="ListParagraph"/>
        <w:numPr>
          <w:ilvl w:val="0"/>
          <w:numId w:val="60"/>
        </w:numPr>
        <w:spacing w:after="0"/>
        <w:jc w:val="both"/>
        <w:rPr>
          <w:rFonts w:ascii="Segoe UI" w:hAnsi="Segoe UI" w:cs="Segoe UI"/>
          <w:color w:val="014171"/>
          <w:lang w:val="de-DE"/>
        </w:rPr>
      </w:pPr>
      <w:r w:rsidRPr="0040745F">
        <w:rPr>
          <w:rFonts w:ascii="Segoe UI" w:hAnsi="Segoe UI" w:cs="Segoe UI"/>
          <w:color w:val="014171"/>
          <w:lang w:val="de-DE"/>
        </w:rPr>
        <w:t xml:space="preserve">DCMD verfügt über eine unabhängige </w:t>
      </w:r>
      <w:r w:rsidR="00F92823">
        <w:rPr>
          <w:rFonts w:ascii="Segoe UI" w:hAnsi="Segoe UI" w:cs="Segoe UI"/>
          <w:color w:val="014171"/>
          <w:lang w:val="de-DE"/>
        </w:rPr>
        <w:t>Unternehmensführung mit eigener</w:t>
      </w:r>
      <w:r w:rsidRPr="0040745F">
        <w:rPr>
          <w:rFonts w:ascii="Segoe UI" w:hAnsi="Segoe UI" w:cs="Segoe UI"/>
          <w:color w:val="014171"/>
          <w:lang w:val="de-DE"/>
        </w:rPr>
        <w:t xml:space="preserve"> Entscheidungsfindung.</w:t>
      </w:r>
    </w:p>
    <w:p w14:paraId="7269BF98" w14:textId="4C2BCB27" w:rsidR="002675F2" w:rsidRPr="0040745F" w:rsidRDefault="002675F2" w:rsidP="008A7319">
      <w:pPr>
        <w:pStyle w:val="ListParagraph"/>
        <w:numPr>
          <w:ilvl w:val="0"/>
          <w:numId w:val="60"/>
        </w:numPr>
        <w:spacing w:after="0"/>
        <w:jc w:val="both"/>
        <w:rPr>
          <w:rFonts w:ascii="Segoe UI" w:hAnsi="Segoe UI" w:cs="Segoe UI"/>
          <w:color w:val="014171"/>
          <w:lang w:val="de-DE"/>
        </w:rPr>
      </w:pPr>
      <w:r w:rsidRPr="0040745F">
        <w:rPr>
          <w:rFonts w:ascii="Segoe UI" w:hAnsi="Segoe UI" w:cs="Segoe UI"/>
          <w:color w:val="014171"/>
          <w:lang w:val="de-DE"/>
        </w:rPr>
        <w:t xml:space="preserve">Die Kapitalausstattung, Kapital- und Liquiditätsadäquanz von DCMD ist auf eigenständiger Basis sichergestellt und ausreichend, </w:t>
      </w:r>
      <w:r w:rsidR="007F5CB9">
        <w:rPr>
          <w:rFonts w:ascii="Segoe UI" w:hAnsi="Segoe UI" w:cs="Segoe UI"/>
          <w:color w:val="014171"/>
          <w:lang w:val="de-DE"/>
        </w:rPr>
        <w:t xml:space="preserve">auch </w:t>
      </w:r>
      <w:r w:rsidR="003B699C">
        <w:rPr>
          <w:rFonts w:ascii="Segoe UI" w:hAnsi="Segoe UI" w:cs="Segoe UI"/>
          <w:color w:val="014171"/>
          <w:lang w:val="de-DE"/>
        </w:rPr>
        <w:t>um eine geordnete Abwicklung der</w:t>
      </w:r>
      <w:r w:rsidRPr="0040745F">
        <w:rPr>
          <w:rFonts w:ascii="Segoe UI" w:hAnsi="Segoe UI" w:cs="Segoe UI"/>
          <w:color w:val="014171"/>
          <w:lang w:val="de-DE"/>
        </w:rPr>
        <w:t xml:space="preserve"> </w:t>
      </w:r>
      <w:r w:rsidR="003B699C">
        <w:rPr>
          <w:rFonts w:ascii="Segoe UI" w:hAnsi="Segoe UI" w:cs="Segoe UI"/>
          <w:color w:val="014171"/>
          <w:lang w:val="de-DE"/>
        </w:rPr>
        <w:t xml:space="preserve">Gesellschaft </w:t>
      </w:r>
      <w:r w:rsidRPr="0040745F">
        <w:rPr>
          <w:rFonts w:ascii="Segoe UI" w:hAnsi="Segoe UI" w:cs="Segoe UI"/>
          <w:color w:val="014171"/>
          <w:lang w:val="de-DE"/>
        </w:rPr>
        <w:t>ohne die Notwendigkeit einer Unterstützung durch die Gruppe zu gewährleisten.</w:t>
      </w:r>
    </w:p>
    <w:p w14:paraId="5DE81F8E" w14:textId="35759229" w:rsidR="002675F2" w:rsidRPr="0040745F" w:rsidRDefault="002675F2" w:rsidP="008A7319">
      <w:pPr>
        <w:pStyle w:val="ListParagraph"/>
        <w:numPr>
          <w:ilvl w:val="0"/>
          <w:numId w:val="60"/>
        </w:numPr>
        <w:spacing w:after="0"/>
        <w:jc w:val="both"/>
        <w:rPr>
          <w:rFonts w:ascii="Segoe UI" w:hAnsi="Segoe UI" w:cs="Segoe UI"/>
          <w:color w:val="014171"/>
          <w:lang w:val="de-DE"/>
        </w:rPr>
      </w:pPr>
      <w:r w:rsidRPr="0040745F">
        <w:rPr>
          <w:rFonts w:ascii="Segoe UI" w:hAnsi="Segoe UI" w:cs="Segoe UI"/>
          <w:color w:val="014171"/>
          <w:lang w:val="de-DE"/>
        </w:rPr>
        <w:t>Die Gruppenabhängigkeit wird bei der Bewert</w:t>
      </w:r>
      <w:r w:rsidR="000262B8" w:rsidRPr="0040745F">
        <w:rPr>
          <w:rFonts w:ascii="Segoe UI" w:hAnsi="Segoe UI" w:cs="Segoe UI"/>
          <w:color w:val="014171"/>
          <w:lang w:val="de-DE"/>
        </w:rPr>
        <w:t>ung der Geschäftsrisiken</w:t>
      </w:r>
      <w:r w:rsidRPr="0040745F">
        <w:rPr>
          <w:rFonts w:ascii="Segoe UI" w:hAnsi="Segoe UI" w:cs="Segoe UI"/>
          <w:color w:val="014171"/>
          <w:lang w:val="de-DE"/>
        </w:rPr>
        <w:t xml:space="preserve"> von DCMD für Stresstestzwecke berücksichtigt.</w:t>
      </w:r>
    </w:p>
    <w:p w14:paraId="638B71DE" w14:textId="786CA2BA" w:rsidR="00A64E0E" w:rsidRPr="0040745F" w:rsidRDefault="002675F2" w:rsidP="008A7319">
      <w:pPr>
        <w:pStyle w:val="ListParagraph"/>
        <w:numPr>
          <w:ilvl w:val="0"/>
          <w:numId w:val="60"/>
        </w:numPr>
        <w:spacing w:after="0"/>
        <w:jc w:val="both"/>
        <w:rPr>
          <w:rFonts w:ascii="Segoe UI" w:hAnsi="Segoe UI" w:cs="Segoe UI"/>
          <w:color w:val="014171"/>
          <w:lang w:val="de-DE"/>
        </w:rPr>
      </w:pPr>
      <w:r w:rsidRPr="0040745F">
        <w:rPr>
          <w:rFonts w:ascii="Segoe UI" w:hAnsi="Segoe UI" w:cs="Segoe UI"/>
          <w:color w:val="014171"/>
          <w:lang w:val="de-DE"/>
        </w:rPr>
        <w:t xml:space="preserve">Formale Outsourcing-Kontrollprozesse wurden eingerichtet, um Risiken zu </w:t>
      </w:r>
      <w:r w:rsidR="007F5CB9">
        <w:rPr>
          <w:rFonts w:ascii="Segoe UI" w:hAnsi="Segoe UI" w:cs="Segoe UI"/>
          <w:color w:val="014171"/>
          <w:lang w:val="de-DE"/>
        </w:rPr>
        <w:t>beaufsichtigen</w:t>
      </w:r>
      <w:r w:rsidRPr="0040745F">
        <w:rPr>
          <w:rFonts w:ascii="Segoe UI" w:hAnsi="Segoe UI" w:cs="Segoe UI"/>
          <w:color w:val="014171"/>
          <w:lang w:val="de-DE"/>
        </w:rPr>
        <w:t>, die sic</w:t>
      </w:r>
      <w:r w:rsidR="000262B8" w:rsidRPr="0040745F">
        <w:rPr>
          <w:rFonts w:ascii="Segoe UI" w:hAnsi="Segoe UI" w:cs="Segoe UI"/>
          <w:color w:val="014171"/>
          <w:lang w:val="de-DE"/>
        </w:rPr>
        <w:t>h im Zusammenhang mit von der Muttergesellschaft erbrachten Dienstleistungen ergeben.</w:t>
      </w:r>
    </w:p>
    <w:p w14:paraId="61B889A2" w14:textId="77777777" w:rsidR="001F173B" w:rsidRPr="0040745F" w:rsidRDefault="001F173B" w:rsidP="00E27BB3">
      <w:pPr>
        <w:spacing w:after="0"/>
        <w:jc w:val="both"/>
        <w:rPr>
          <w:rFonts w:ascii="Segoe UI" w:hAnsi="Segoe UI" w:cs="Segoe UI"/>
          <w:color w:val="014171"/>
          <w:lang w:val="de-DE"/>
        </w:rPr>
      </w:pPr>
    </w:p>
    <w:p w14:paraId="7A118D66" w14:textId="2E434F04" w:rsidR="00A64E0E" w:rsidRPr="0040745F" w:rsidRDefault="00091D98" w:rsidP="00E27BB3">
      <w:pPr>
        <w:pStyle w:val="Heading4"/>
        <w:rPr>
          <w:lang w:val="de-DE"/>
        </w:rPr>
      </w:pPr>
      <w:r w:rsidRPr="0040745F">
        <w:rPr>
          <w:lang w:val="de-DE"/>
        </w:rPr>
        <w:lastRenderedPageBreak/>
        <w:t>Kapitalrisiko</w:t>
      </w:r>
    </w:p>
    <w:p w14:paraId="3A406464" w14:textId="79A55E31" w:rsidR="0075345C" w:rsidRPr="0040745F" w:rsidRDefault="0075345C" w:rsidP="0075345C">
      <w:pPr>
        <w:spacing w:after="0"/>
        <w:jc w:val="both"/>
        <w:rPr>
          <w:rFonts w:ascii="Segoe UI" w:hAnsi="Segoe UI" w:cs="Segoe UI"/>
          <w:color w:val="014171"/>
          <w:lang w:val="de-DE"/>
        </w:rPr>
      </w:pPr>
      <w:r w:rsidRPr="0040745F">
        <w:rPr>
          <w:rFonts w:ascii="Segoe UI" w:hAnsi="Segoe UI" w:cs="Segoe UI"/>
          <w:color w:val="014171"/>
          <w:lang w:val="de-DE"/>
        </w:rPr>
        <w:t>Das Kapitalrisiko ist definiert als das Risiko eines Kapitalmangels aufgrund von Verlusten oder Rückführungserfordernissen in die Gruppe, was dazu führen könnte, dass die Kapitalressourcen nicht ausreichen, um die normale Geschäftstätigkeit fortzusetzen.</w:t>
      </w:r>
    </w:p>
    <w:p w14:paraId="581B8379" w14:textId="77777777" w:rsidR="008A7319" w:rsidRPr="0040745F" w:rsidRDefault="008A7319" w:rsidP="0075345C">
      <w:pPr>
        <w:spacing w:after="0"/>
        <w:jc w:val="both"/>
        <w:rPr>
          <w:rFonts w:ascii="Segoe UI" w:hAnsi="Segoe UI" w:cs="Segoe UI"/>
          <w:color w:val="014171"/>
          <w:lang w:val="de-DE"/>
        </w:rPr>
      </w:pPr>
    </w:p>
    <w:p w14:paraId="7D443B84" w14:textId="5DE7770C" w:rsidR="0075345C" w:rsidRPr="0040745F" w:rsidRDefault="0075345C" w:rsidP="0075345C">
      <w:pPr>
        <w:spacing w:after="0"/>
        <w:jc w:val="both"/>
        <w:rPr>
          <w:rFonts w:ascii="Segoe UI" w:hAnsi="Segoe UI" w:cs="Segoe UI"/>
          <w:color w:val="014171"/>
          <w:lang w:val="de-DE"/>
        </w:rPr>
      </w:pPr>
      <w:r w:rsidRPr="0040745F">
        <w:rPr>
          <w:rFonts w:ascii="Segoe UI" w:hAnsi="Segoe UI" w:cs="Segoe UI"/>
          <w:color w:val="014171"/>
          <w:lang w:val="de-DE"/>
        </w:rPr>
        <w:t xml:space="preserve">Das Kapitalrisiko wird durch eine Kombination von Kontrollen begrenzt und </w:t>
      </w:r>
      <w:r w:rsidR="000F2AC5">
        <w:rPr>
          <w:rFonts w:ascii="Segoe UI" w:hAnsi="Segoe UI" w:cs="Segoe UI"/>
          <w:color w:val="014171"/>
          <w:lang w:val="de-DE"/>
        </w:rPr>
        <w:t>beaufsichtigt</w:t>
      </w:r>
      <w:r w:rsidRPr="0040745F">
        <w:rPr>
          <w:rFonts w:ascii="Segoe UI" w:hAnsi="Segoe UI" w:cs="Segoe UI"/>
          <w:color w:val="014171"/>
          <w:lang w:val="de-DE"/>
        </w:rPr>
        <w:t>.</w:t>
      </w:r>
    </w:p>
    <w:p w14:paraId="53581B55" w14:textId="45C61585" w:rsidR="0075345C" w:rsidRPr="0040745F" w:rsidRDefault="0075345C" w:rsidP="0075345C">
      <w:pPr>
        <w:spacing w:after="0"/>
        <w:jc w:val="both"/>
        <w:rPr>
          <w:rFonts w:ascii="Segoe UI" w:hAnsi="Segoe UI" w:cs="Segoe UI"/>
          <w:color w:val="014171"/>
          <w:lang w:val="de-DE"/>
        </w:rPr>
      </w:pPr>
      <w:r w:rsidRPr="0040745F">
        <w:rPr>
          <w:rFonts w:ascii="Segoe UI" w:hAnsi="Segoe UI" w:cs="Segoe UI"/>
          <w:color w:val="014171"/>
          <w:lang w:val="de-DE"/>
        </w:rPr>
        <w:t>DCMD stellt angemessene Kapitalressourcen sicher durch:</w:t>
      </w:r>
    </w:p>
    <w:p w14:paraId="761D5EE5" w14:textId="0C7CFD13" w:rsidR="0075345C" w:rsidRPr="0040745F" w:rsidRDefault="00D27BF3" w:rsidP="00A65291">
      <w:pPr>
        <w:pStyle w:val="ListParagraph"/>
        <w:numPr>
          <w:ilvl w:val="0"/>
          <w:numId w:val="60"/>
        </w:numPr>
        <w:spacing w:after="0"/>
        <w:jc w:val="both"/>
        <w:rPr>
          <w:rFonts w:ascii="Segoe UI" w:hAnsi="Segoe UI" w:cs="Segoe UI"/>
          <w:color w:val="014171"/>
          <w:lang w:val="de-DE"/>
        </w:rPr>
      </w:pPr>
      <w:r w:rsidRPr="0040745F">
        <w:rPr>
          <w:rFonts w:ascii="Segoe UI" w:hAnsi="Segoe UI" w:cs="Segoe UI"/>
          <w:color w:val="014171"/>
          <w:lang w:val="de-DE"/>
        </w:rPr>
        <w:t xml:space="preserve">Vorsichtige und </w:t>
      </w:r>
      <w:r w:rsidR="00A65291" w:rsidRPr="0040745F">
        <w:rPr>
          <w:rFonts w:ascii="Segoe UI" w:hAnsi="Segoe UI" w:cs="Segoe UI"/>
          <w:color w:val="014171"/>
          <w:lang w:val="de-DE"/>
        </w:rPr>
        <w:t>vorausschauende</w:t>
      </w:r>
      <w:r w:rsidR="0075345C" w:rsidRPr="0040745F">
        <w:rPr>
          <w:rFonts w:ascii="Segoe UI" w:hAnsi="Segoe UI" w:cs="Segoe UI"/>
          <w:color w:val="014171"/>
          <w:lang w:val="de-DE"/>
        </w:rPr>
        <w:t xml:space="preserve"> Bewertung der internen Kapitalanforderungen im Rahmen des </w:t>
      </w:r>
      <w:r w:rsidR="00A65291">
        <w:rPr>
          <w:rFonts w:ascii="Segoe UI" w:hAnsi="Segoe UI" w:cs="Segoe UI"/>
          <w:color w:val="014171"/>
          <w:lang w:val="de-DE"/>
        </w:rPr>
        <w:t>Internen</w:t>
      </w:r>
      <w:r w:rsidR="00A65291" w:rsidRPr="00A65291">
        <w:rPr>
          <w:rFonts w:ascii="Segoe UI" w:hAnsi="Segoe UI" w:cs="Segoe UI"/>
          <w:color w:val="014171"/>
          <w:lang w:val="de-DE"/>
        </w:rPr>
        <w:t xml:space="preserve"> Kapitaladäquanzverfahren</w:t>
      </w:r>
      <w:r w:rsidR="00A65291">
        <w:rPr>
          <w:rFonts w:ascii="Segoe UI" w:hAnsi="Segoe UI" w:cs="Segoe UI"/>
          <w:color w:val="014171"/>
          <w:lang w:val="de-DE"/>
        </w:rPr>
        <w:t>s</w:t>
      </w:r>
      <w:r w:rsidR="00A65291" w:rsidRPr="00A65291">
        <w:rPr>
          <w:rFonts w:ascii="Segoe UI" w:hAnsi="Segoe UI" w:cs="Segoe UI"/>
          <w:color w:val="014171"/>
          <w:lang w:val="de-DE"/>
        </w:rPr>
        <w:t xml:space="preserve"> </w:t>
      </w:r>
      <w:r w:rsidR="00A65291">
        <w:rPr>
          <w:rFonts w:ascii="Segoe UI" w:hAnsi="Segoe UI" w:cs="Segoe UI"/>
          <w:color w:val="014171"/>
          <w:lang w:val="de-DE"/>
        </w:rPr>
        <w:t>(</w:t>
      </w:r>
      <w:r w:rsidR="0075345C" w:rsidRPr="00A65291">
        <w:rPr>
          <w:rFonts w:ascii="Segoe UI" w:hAnsi="Segoe UI" w:cs="Segoe UI"/>
          <w:i/>
          <w:color w:val="014171"/>
          <w:lang w:val="de-DE"/>
        </w:rPr>
        <w:t>Internal Capit</w:t>
      </w:r>
      <w:r w:rsidR="00A65291" w:rsidRPr="00A65291">
        <w:rPr>
          <w:rFonts w:ascii="Segoe UI" w:hAnsi="Segoe UI" w:cs="Segoe UI"/>
          <w:i/>
          <w:color w:val="014171"/>
          <w:lang w:val="de-DE"/>
        </w:rPr>
        <w:t>al Adequacy Assessment Process</w:t>
      </w:r>
      <w:r w:rsidR="00A65291">
        <w:rPr>
          <w:rFonts w:ascii="Segoe UI" w:hAnsi="Segoe UI" w:cs="Segoe UI"/>
          <w:color w:val="014171"/>
          <w:lang w:val="de-DE"/>
        </w:rPr>
        <w:t xml:space="preserve">, </w:t>
      </w:r>
      <w:r w:rsidR="0075345C" w:rsidRPr="0040745F">
        <w:rPr>
          <w:rFonts w:ascii="Segoe UI" w:hAnsi="Segoe UI" w:cs="Segoe UI"/>
          <w:color w:val="014171"/>
          <w:lang w:val="de-DE"/>
        </w:rPr>
        <w:t>„ICAAP“).</w:t>
      </w:r>
    </w:p>
    <w:p w14:paraId="5FCE8148" w14:textId="41C7C39C" w:rsidR="0075345C" w:rsidRPr="0040745F" w:rsidRDefault="0075345C" w:rsidP="008A7319">
      <w:pPr>
        <w:pStyle w:val="ListParagraph"/>
        <w:numPr>
          <w:ilvl w:val="0"/>
          <w:numId w:val="60"/>
        </w:numPr>
        <w:spacing w:after="0"/>
        <w:jc w:val="both"/>
        <w:rPr>
          <w:rFonts w:ascii="Segoe UI" w:hAnsi="Segoe UI" w:cs="Segoe UI"/>
          <w:color w:val="014171"/>
          <w:lang w:val="de-DE"/>
        </w:rPr>
      </w:pPr>
      <w:r w:rsidRPr="0040745F">
        <w:rPr>
          <w:rFonts w:ascii="Segoe UI" w:hAnsi="Segoe UI" w:cs="Segoe UI"/>
          <w:color w:val="014171"/>
          <w:lang w:val="de-DE"/>
        </w:rPr>
        <w:t>Festlegung eines Puffers über der maximalen Kapi</w:t>
      </w:r>
      <w:r w:rsidR="00D27BF3" w:rsidRPr="0040745F">
        <w:rPr>
          <w:rFonts w:ascii="Segoe UI" w:hAnsi="Segoe UI" w:cs="Segoe UI"/>
          <w:color w:val="014171"/>
          <w:lang w:val="de-DE"/>
        </w:rPr>
        <w:t>talanforderung (höherer Wert aus</w:t>
      </w:r>
      <w:r w:rsidRPr="0040745F">
        <w:rPr>
          <w:rFonts w:ascii="Segoe UI" w:hAnsi="Segoe UI" w:cs="Segoe UI"/>
          <w:color w:val="014171"/>
          <w:lang w:val="de-DE"/>
        </w:rPr>
        <w:t xml:space="preserve"> regulatorischer Anforderung und ICAAP) als Maß für die Risikobereitschaft.</w:t>
      </w:r>
    </w:p>
    <w:p w14:paraId="654F26AB" w14:textId="651BAA09" w:rsidR="00A64E0E" w:rsidRPr="0040745F" w:rsidRDefault="0075345C" w:rsidP="008A7319">
      <w:pPr>
        <w:pStyle w:val="ListParagraph"/>
        <w:numPr>
          <w:ilvl w:val="0"/>
          <w:numId w:val="60"/>
        </w:numPr>
        <w:spacing w:after="0"/>
        <w:jc w:val="both"/>
        <w:rPr>
          <w:rFonts w:ascii="Segoe UI" w:hAnsi="Segoe UI" w:cs="Segoe UI"/>
          <w:color w:val="014171"/>
          <w:lang w:val="de-DE"/>
        </w:rPr>
      </w:pPr>
      <w:r w:rsidRPr="0040745F">
        <w:rPr>
          <w:rFonts w:ascii="Segoe UI" w:hAnsi="Segoe UI" w:cs="Segoe UI"/>
          <w:color w:val="014171"/>
          <w:lang w:val="de-DE"/>
        </w:rPr>
        <w:t>Regelmäßige Stresstests, um Änderungen im Risikoprofil zu identifizieren, die</w:t>
      </w:r>
      <w:r w:rsidR="00B5327E" w:rsidRPr="0040745F">
        <w:rPr>
          <w:rFonts w:ascii="Segoe UI" w:hAnsi="Segoe UI" w:cs="Segoe UI"/>
          <w:color w:val="014171"/>
          <w:lang w:val="de-DE"/>
        </w:rPr>
        <w:t xml:space="preserve"> Maßnahmen des Managements zur Risikom</w:t>
      </w:r>
      <w:r w:rsidRPr="0040745F">
        <w:rPr>
          <w:rFonts w:ascii="Segoe UI" w:hAnsi="Segoe UI" w:cs="Segoe UI"/>
          <w:color w:val="014171"/>
          <w:lang w:val="de-DE"/>
        </w:rPr>
        <w:t>inderung erfordern.</w:t>
      </w:r>
    </w:p>
    <w:p w14:paraId="37906E09" w14:textId="77777777" w:rsidR="001201B9" w:rsidRPr="0040745F" w:rsidRDefault="001201B9" w:rsidP="00E27BB3">
      <w:pPr>
        <w:spacing w:after="0"/>
        <w:jc w:val="both"/>
        <w:rPr>
          <w:rFonts w:ascii="Segoe UI" w:hAnsi="Segoe UI" w:cs="Segoe UI"/>
          <w:color w:val="014171"/>
          <w:lang w:val="de-DE"/>
        </w:rPr>
      </w:pPr>
    </w:p>
    <w:p w14:paraId="288B5333" w14:textId="6F740CBF" w:rsidR="00A64E0E" w:rsidRPr="0040745F" w:rsidRDefault="00091D98" w:rsidP="00E27BB3">
      <w:pPr>
        <w:pStyle w:val="Heading4"/>
        <w:rPr>
          <w:lang w:val="de-DE"/>
        </w:rPr>
      </w:pPr>
      <w:r w:rsidRPr="0040745F">
        <w:rPr>
          <w:lang w:val="de-DE"/>
        </w:rPr>
        <w:t>Geschäftsrisiko</w:t>
      </w:r>
    </w:p>
    <w:p w14:paraId="0BC06301" w14:textId="62867414" w:rsidR="00D43744" w:rsidRPr="0040745F" w:rsidRDefault="00D43744" w:rsidP="00D43744">
      <w:pPr>
        <w:spacing w:after="0"/>
        <w:jc w:val="both"/>
        <w:rPr>
          <w:rFonts w:ascii="Segoe UI" w:hAnsi="Segoe UI" w:cs="Segoe UI"/>
          <w:color w:val="014171"/>
          <w:lang w:val="de-DE"/>
        </w:rPr>
      </w:pPr>
      <w:r w:rsidRPr="0040745F">
        <w:rPr>
          <w:rFonts w:ascii="Segoe UI" w:hAnsi="Segoe UI" w:cs="Segoe UI"/>
          <w:color w:val="014171"/>
          <w:lang w:val="de-DE"/>
        </w:rPr>
        <w:t>Unter Geschäftsrisiko versteht man das Risiko von Gewinnausfällen aufgrund von Veränderungen im externen Geschäftsumfeld.</w:t>
      </w:r>
    </w:p>
    <w:p w14:paraId="5B2016BB" w14:textId="77777777" w:rsidR="00D43744" w:rsidRPr="0040745F" w:rsidRDefault="00D43744" w:rsidP="00D43744">
      <w:pPr>
        <w:spacing w:after="0"/>
        <w:jc w:val="both"/>
        <w:rPr>
          <w:rFonts w:ascii="Segoe UI" w:hAnsi="Segoe UI" w:cs="Segoe UI"/>
          <w:color w:val="014171"/>
          <w:lang w:val="de-DE"/>
        </w:rPr>
      </w:pPr>
    </w:p>
    <w:p w14:paraId="54D9465F" w14:textId="28EFF0B3" w:rsidR="001F173B" w:rsidRPr="0040745F" w:rsidRDefault="00D43744" w:rsidP="00D43744">
      <w:pPr>
        <w:spacing w:after="0"/>
        <w:jc w:val="both"/>
        <w:rPr>
          <w:rFonts w:ascii="Segoe UI" w:hAnsi="Segoe UI" w:cs="Segoe UI"/>
          <w:color w:val="014171"/>
          <w:lang w:val="de-DE"/>
        </w:rPr>
      </w:pPr>
      <w:r w:rsidRPr="0040745F">
        <w:rPr>
          <w:rFonts w:ascii="Segoe UI" w:hAnsi="Segoe UI" w:cs="Segoe UI"/>
          <w:color w:val="014171"/>
          <w:lang w:val="de-DE"/>
        </w:rPr>
        <w:t>Das Geschäftsrisiko wird durch eine Kombination von Kontrollen begrenzt und gesteuert, darunter:</w:t>
      </w:r>
    </w:p>
    <w:p w14:paraId="17F1D587" w14:textId="77777777" w:rsidR="00D43744" w:rsidRPr="0040745F" w:rsidRDefault="00D43744" w:rsidP="00D43744">
      <w:pPr>
        <w:spacing w:after="0"/>
        <w:jc w:val="both"/>
        <w:rPr>
          <w:rFonts w:ascii="Segoe UI" w:hAnsi="Segoe UI" w:cs="Segoe UI"/>
          <w:color w:val="014171"/>
          <w:lang w:val="de-DE"/>
        </w:rPr>
      </w:pPr>
    </w:p>
    <w:p w14:paraId="3796D1D2" w14:textId="34C6CCFB" w:rsidR="00A64E0E" w:rsidRPr="0040745F" w:rsidRDefault="00D43744" w:rsidP="00E27BB3">
      <w:pPr>
        <w:pStyle w:val="ListParagraph"/>
        <w:numPr>
          <w:ilvl w:val="0"/>
          <w:numId w:val="67"/>
        </w:numPr>
        <w:spacing w:after="0"/>
        <w:jc w:val="both"/>
        <w:rPr>
          <w:rFonts w:ascii="Segoe UI" w:hAnsi="Segoe UI" w:cs="Segoe UI"/>
          <w:color w:val="014171"/>
          <w:lang w:val="de-DE"/>
        </w:rPr>
      </w:pPr>
      <w:r w:rsidRPr="0040745F">
        <w:rPr>
          <w:rFonts w:ascii="Segoe UI" w:hAnsi="Segoe UI" w:cs="Segoe UI"/>
          <w:color w:val="014171"/>
          <w:lang w:val="de-DE"/>
        </w:rPr>
        <w:t xml:space="preserve">Anfälligkeit des Geschäftsmodells der </w:t>
      </w:r>
      <w:r w:rsidR="00EC1917">
        <w:rPr>
          <w:rFonts w:ascii="Segoe UI" w:hAnsi="Segoe UI" w:cs="Segoe UI"/>
          <w:color w:val="014171"/>
          <w:lang w:val="de-DE"/>
        </w:rPr>
        <w:t>Gesellschaft</w:t>
      </w:r>
      <w:r w:rsidRPr="0040745F">
        <w:rPr>
          <w:rFonts w:ascii="Segoe UI" w:hAnsi="Segoe UI" w:cs="Segoe UI"/>
          <w:color w:val="014171"/>
          <w:lang w:val="de-DE"/>
        </w:rPr>
        <w:t xml:space="preserve"> gegenüber Änderungen im externen Geschäftsumfeld wird bewertet durch:</w:t>
      </w:r>
    </w:p>
    <w:p w14:paraId="2FFC39E2" w14:textId="28B9B50E" w:rsidR="00A64E0E" w:rsidRPr="0040745F" w:rsidRDefault="00A64E0E" w:rsidP="00E27BB3">
      <w:pPr>
        <w:pStyle w:val="ListParagraph"/>
        <w:numPr>
          <w:ilvl w:val="1"/>
          <w:numId w:val="67"/>
        </w:numPr>
        <w:spacing w:after="0"/>
        <w:jc w:val="both"/>
        <w:rPr>
          <w:rFonts w:ascii="Segoe UI" w:hAnsi="Segoe UI" w:cs="Segoe UI"/>
          <w:color w:val="014171"/>
          <w:lang w:val="de-DE"/>
        </w:rPr>
      </w:pPr>
      <w:r w:rsidRPr="0040745F">
        <w:rPr>
          <w:rFonts w:ascii="Segoe UI" w:hAnsi="Segoe UI" w:cs="Segoe UI"/>
          <w:color w:val="014171"/>
          <w:lang w:val="de-DE"/>
        </w:rPr>
        <w:t xml:space="preserve">Stress </w:t>
      </w:r>
      <w:r w:rsidR="00D43744" w:rsidRPr="0040745F">
        <w:rPr>
          <w:rFonts w:ascii="Segoe UI" w:hAnsi="Segoe UI" w:cs="Segoe UI"/>
          <w:color w:val="014171"/>
          <w:lang w:val="de-DE"/>
        </w:rPr>
        <w:t>Test</w:t>
      </w:r>
    </w:p>
    <w:p w14:paraId="7A456FB6" w14:textId="42966F56" w:rsidR="00A64E0E" w:rsidRPr="0040745F" w:rsidRDefault="00D43744" w:rsidP="00D43744">
      <w:pPr>
        <w:pStyle w:val="ListParagraph"/>
        <w:numPr>
          <w:ilvl w:val="1"/>
          <w:numId w:val="67"/>
        </w:numPr>
        <w:spacing w:after="0"/>
        <w:jc w:val="both"/>
        <w:rPr>
          <w:rFonts w:ascii="Segoe UI" w:hAnsi="Segoe UI" w:cs="Segoe UI"/>
          <w:color w:val="014171"/>
          <w:lang w:val="de-DE"/>
        </w:rPr>
      </w:pPr>
      <w:r w:rsidRPr="0040745F">
        <w:rPr>
          <w:rFonts w:ascii="Segoe UI" w:hAnsi="Segoe UI" w:cs="Segoe UI"/>
          <w:color w:val="014171"/>
          <w:lang w:val="de-DE"/>
        </w:rPr>
        <w:t>laufen Kontrolle der Unternehmensplanung (Soll / Ist Vergleich)</w:t>
      </w:r>
    </w:p>
    <w:p w14:paraId="54DB8670" w14:textId="203A0FC9" w:rsidR="00A64E0E" w:rsidRPr="0040745F" w:rsidRDefault="00D43744" w:rsidP="00F442FE">
      <w:pPr>
        <w:pStyle w:val="ListParagraph"/>
        <w:numPr>
          <w:ilvl w:val="0"/>
          <w:numId w:val="67"/>
        </w:numPr>
        <w:spacing w:after="0"/>
        <w:jc w:val="both"/>
        <w:rPr>
          <w:rFonts w:ascii="Segoe UI" w:hAnsi="Segoe UI" w:cs="Segoe UI"/>
          <w:color w:val="014171"/>
          <w:lang w:val="de-DE"/>
        </w:rPr>
      </w:pPr>
      <w:r w:rsidRPr="0040745F">
        <w:rPr>
          <w:rFonts w:ascii="Segoe UI" w:hAnsi="Segoe UI" w:cs="Segoe UI"/>
          <w:color w:val="014171"/>
          <w:lang w:val="de-DE"/>
        </w:rPr>
        <w:t>Identifizierte Risiken werden angegangen durch:</w:t>
      </w:r>
    </w:p>
    <w:p w14:paraId="04C15121" w14:textId="6E7C47D1" w:rsidR="00A64E0E" w:rsidRPr="0040745F" w:rsidRDefault="00D43744" w:rsidP="00F442FE">
      <w:pPr>
        <w:pStyle w:val="ListParagraph"/>
        <w:numPr>
          <w:ilvl w:val="1"/>
          <w:numId w:val="67"/>
        </w:numPr>
        <w:spacing w:after="0"/>
        <w:jc w:val="both"/>
        <w:rPr>
          <w:rFonts w:ascii="Segoe UI" w:hAnsi="Segoe UI" w:cs="Segoe UI"/>
          <w:color w:val="014171"/>
          <w:lang w:val="de-DE"/>
        </w:rPr>
      </w:pPr>
      <w:r w:rsidRPr="0040745F">
        <w:rPr>
          <w:rFonts w:ascii="Segoe UI" w:hAnsi="Segoe UI" w:cs="Segoe UI"/>
          <w:color w:val="014171"/>
          <w:lang w:val="de-DE"/>
        </w:rPr>
        <w:t>Anpassung der Geschäftsstrategie soweit notwendig</w:t>
      </w:r>
      <w:r w:rsidRPr="0040745F" w:rsidDel="00D43744">
        <w:rPr>
          <w:rFonts w:ascii="Segoe UI" w:hAnsi="Segoe UI" w:cs="Segoe UI"/>
          <w:color w:val="014171"/>
          <w:lang w:val="de-DE"/>
        </w:rPr>
        <w:t xml:space="preserve"> </w:t>
      </w:r>
    </w:p>
    <w:p w14:paraId="07521BAF" w14:textId="30DC06CD" w:rsidR="00A64E0E" w:rsidRPr="0040745F" w:rsidRDefault="00D43744" w:rsidP="00D43744">
      <w:pPr>
        <w:pStyle w:val="ListParagraph"/>
        <w:numPr>
          <w:ilvl w:val="1"/>
          <w:numId w:val="67"/>
        </w:numPr>
        <w:spacing w:after="0"/>
        <w:jc w:val="both"/>
        <w:rPr>
          <w:rFonts w:ascii="Segoe UI" w:hAnsi="Segoe UI" w:cs="Segoe UI"/>
          <w:color w:val="014171"/>
          <w:lang w:val="de-DE"/>
        </w:rPr>
      </w:pPr>
      <w:r w:rsidRPr="0040745F">
        <w:rPr>
          <w:rFonts w:ascii="Segoe UI" w:hAnsi="Segoe UI" w:cs="Segoe UI"/>
          <w:color w:val="014171"/>
          <w:lang w:val="de-DE"/>
        </w:rPr>
        <w:t>Kapitalrückstellung für negative Entwicklungen im Rahmen der ICAAP-Bewertung.</w:t>
      </w:r>
    </w:p>
    <w:p w14:paraId="6D2161E6" w14:textId="5A93EEEB" w:rsidR="002D061C" w:rsidRDefault="002D061C" w:rsidP="00E27BB3">
      <w:pPr>
        <w:spacing w:after="0"/>
        <w:jc w:val="both"/>
        <w:rPr>
          <w:rFonts w:ascii="Segoe UI" w:hAnsi="Segoe UI" w:cs="Segoe UI"/>
          <w:color w:val="014171"/>
          <w:lang w:val="de-DE"/>
        </w:rPr>
      </w:pPr>
      <w:r>
        <w:rPr>
          <w:rFonts w:ascii="Segoe UI" w:hAnsi="Segoe UI" w:cs="Segoe UI"/>
          <w:color w:val="014171"/>
          <w:lang w:val="de-DE"/>
        </w:rPr>
        <w:br w:type="page"/>
      </w:r>
    </w:p>
    <w:p w14:paraId="73FCC0FE" w14:textId="03FDB347" w:rsidR="00A64E0E" w:rsidRPr="0040745F" w:rsidRDefault="00D43744" w:rsidP="00E27BB3">
      <w:pPr>
        <w:pStyle w:val="Heading4"/>
        <w:rPr>
          <w:lang w:val="de-DE"/>
        </w:rPr>
      </w:pPr>
      <w:r w:rsidRPr="0040745F">
        <w:rPr>
          <w:lang w:val="de-DE"/>
        </w:rPr>
        <w:lastRenderedPageBreak/>
        <w:t>Risiko der Einhaltung gesetzlicher Vorschriften</w:t>
      </w:r>
    </w:p>
    <w:p w14:paraId="363BF269" w14:textId="3D51352F" w:rsidR="00BB66DD" w:rsidRPr="0040745F" w:rsidRDefault="00954EE6" w:rsidP="00F442FE">
      <w:pPr>
        <w:spacing w:after="0"/>
        <w:jc w:val="both"/>
        <w:rPr>
          <w:rFonts w:ascii="Segoe UI" w:hAnsi="Segoe UI" w:cs="Segoe UI"/>
          <w:color w:val="014171"/>
          <w:lang w:val="de-DE"/>
        </w:rPr>
      </w:pPr>
      <w:r w:rsidRPr="0040745F">
        <w:rPr>
          <w:rFonts w:ascii="Segoe UI" w:hAnsi="Segoe UI" w:cs="Segoe UI"/>
          <w:color w:val="014171"/>
          <w:lang w:val="de-DE"/>
        </w:rPr>
        <w:t xml:space="preserve">Das Risiko der Einhaltung </w:t>
      </w:r>
      <w:r w:rsidR="00D43744" w:rsidRPr="0040745F">
        <w:rPr>
          <w:rFonts w:ascii="Segoe UI" w:hAnsi="Segoe UI" w:cs="Segoe UI"/>
          <w:color w:val="014171"/>
          <w:lang w:val="de-DE"/>
        </w:rPr>
        <w:t>gesetzlicher Vorschriften ist definiert als das Risiko der Nichteinhaltung regulatorischer Anforderungen bzw. Verpflichtungen. Das regulatorische Risiko wird durch eine Kombination von Kontrollen begrenzt und gesteuert, darunter:</w:t>
      </w:r>
    </w:p>
    <w:p w14:paraId="66519852" w14:textId="77777777" w:rsidR="00D32520" w:rsidRPr="0040745F" w:rsidRDefault="00D32520" w:rsidP="00E27BB3">
      <w:pPr>
        <w:spacing w:after="0"/>
        <w:jc w:val="both"/>
        <w:rPr>
          <w:rFonts w:ascii="Segoe UI" w:hAnsi="Segoe UI" w:cs="Segoe UI"/>
          <w:color w:val="014171"/>
          <w:lang w:val="de-DE"/>
        </w:rPr>
      </w:pPr>
    </w:p>
    <w:p w14:paraId="76EA96D0" w14:textId="3256F712" w:rsidR="00A64E0E" w:rsidRPr="0040745F" w:rsidRDefault="00954EE6" w:rsidP="00954EE6">
      <w:pPr>
        <w:pStyle w:val="ListParagraph"/>
        <w:numPr>
          <w:ilvl w:val="0"/>
          <w:numId w:val="69"/>
        </w:numPr>
        <w:spacing w:after="0"/>
        <w:jc w:val="both"/>
        <w:rPr>
          <w:rFonts w:ascii="Segoe UI" w:hAnsi="Segoe UI" w:cs="Segoe UI"/>
          <w:color w:val="014171"/>
          <w:lang w:val="de-DE"/>
        </w:rPr>
      </w:pPr>
      <w:r w:rsidRPr="0040745F">
        <w:rPr>
          <w:rFonts w:ascii="Segoe UI" w:hAnsi="Segoe UI" w:cs="Segoe UI"/>
          <w:color w:val="014171"/>
          <w:lang w:val="de-DE"/>
        </w:rPr>
        <w:t>Selbstbeurteilung der Risiken und Kontrollen</w:t>
      </w:r>
      <w:r w:rsidR="00A64E0E" w:rsidRPr="0040745F">
        <w:rPr>
          <w:rFonts w:ascii="Segoe UI" w:hAnsi="Segoe UI" w:cs="Segoe UI"/>
          <w:color w:val="014171"/>
          <w:lang w:val="de-DE"/>
        </w:rPr>
        <w:t>.</w:t>
      </w:r>
    </w:p>
    <w:p w14:paraId="20A8989C" w14:textId="430C6D92" w:rsidR="00A64E0E" w:rsidRPr="0040745F" w:rsidRDefault="001B09D1" w:rsidP="00954EE6">
      <w:pPr>
        <w:pStyle w:val="ListParagraph"/>
        <w:numPr>
          <w:ilvl w:val="0"/>
          <w:numId w:val="69"/>
        </w:numPr>
        <w:spacing w:after="0"/>
        <w:jc w:val="both"/>
        <w:rPr>
          <w:rFonts w:ascii="Segoe UI" w:hAnsi="Segoe UI" w:cs="Segoe UI"/>
          <w:color w:val="014171"/>
          <w:lang w:val="de-DE"/>
        </w:rPr>
      </w:pPr>
      <w:r>
        <w:rPr>
          <w:rFonts w:ascii="Segoe UI" w:hAnsi="Segoe UI" w:cs="Segoe UI"/>
          <w:color w:val="014171"/>
          <w:lang w:val="de-DE"/>
        </w:rPr>
        <w:t>Interne r</w:t>
      </w:r>
      <w:r w:rsidR="00954EE6" w:rsidRPr="0040745F">
        <w:rPr>
          <w:rFonts w:ascii="Segoe UI" w:hAnsi="Segoe UI" w:cs="Segoe UI"/>
          <w:color w:val="014171"/>
          <w:lang w:val="de-DE"/>
        </w:rPr>
        <w:t>egulatorische Kontrollmatrix.</w:t>
      </w:r>
    </w:p>
    <w:p w14:paraId="7EF35F07" w14:textId="73B63399" w:rsidR="00A64E0E" w:rsidRPr="0040745F" w:rsidRDefault="00954EE6" w:rsidP="00954EE6">
      <w:pPr>
        <w:pStyle w:val="ListParagraph"/>
        <w:numPr>
          <w:ilvl w:val="0"/>
          <w:numId w:val="69"/>
        </w:numPr>
        <w:spacing w:after="0"/>
        <w:jc w:val="both"/>
        <w:rPr>
          <w:rFonts w:ascii="Segoe UI" w:hAnsi="Segoe UI" w:cs="Segoe UI"/>
          <w:color w:val="014171"/>
          <w:lang w:val="de-DE"/>
        </w:rPr>
      </w:pPr>
      <w:r w:rsidRPr="0040745F">
        <w:rPr>
          <w:rFonts w:ascii="Segoe UI" w:hAnsi="Segoe UI" w:cs="Segoe UI"/>
          <w:color w:val="014171"/>
          <w:lang w:val="de-DE"/>
        </w:rPr>
        <w:t>Erfahrene Mitarbeiter und externe Beratung.</w:t>
      </w:r>
    </w:p>
    <w:p w14:paraId="21E70F3D" w14:textId="77777777" w:rsidR="001201B9" w:rsidRPr="0040745F" w:rsidRDefault="001201B9" w:rsidP="00E27BB3">
      <w:pPr>
        <w:spacing w:after="0"/>
        <w:jc w:val="both"/>
        <w:rPr>
          <w:rFonts w:ascii="Segoe UI" w:hAnsi="Segoe UI" w:cs="Segoe UI"/>
          <w:color w:val="014171"/>
          <w:lang w:val="de-DE"/>
        </w:rPr>
      </w:pPr>
    </w:p>
    <w:p w14:paraId="59917EE3" w14:textId="2FE65D09" w:rsidR="00A64E0E" w:rsidRPr="0040745F" w:rsidRDefault="002358AE" w:rsidP="00E27BB3">
      <w:pPr>
        <w:pStyle w:val="Heading4"/>
        <w:rPr>
          <w:lang w:val="de-DE"/>
        </w:rPr>
      </w:pPr>
      <w:r w:rsidRPr="0040745F">
        <w:rPr>
          <w:lang w:val="de-DE"/>
        </w:rPr>
        <w:t>Unternehmensführungsrisiko</w:t>
      </w:r>
    </w:p>
    <w:p w14:paraId="3DBDA14F" w14:textId="17CA4418" w:rsidR="00A64E0E" w:rsidRPr="0040745F" w:rsidRDefault="00954EE6" w:rsidP="00F442FE">
      <w:pPr>
        <w:spacing w:after="0"/>
        <w:jc w:val="both"/>
        <w:rPr>
          <w:rFonts w:ascii="Segoe UI" w:hAnsi="Segoe UI" w:cs="Segoe UI"/>
          <w:color w:val="014171"/>
          <w:lang w:val="de-DE"/>
        </w:rPr>
      </w:pPr>
      <w:r w:rsidRPr="0040745F">
        <w:rPr>
          <w:rFonts w:ascii="Segoe UI" w:hAnsi="Segoe UI" w:cs="Segoe UI"/>
          <w:color w:val="014171"/>
          <w:lang w:val="de-DE"/>
        </w:rPr>
        <w:t>Das Risiko der Unternehmensführung ist definiert als das Risiko unzureichender Unternehmensstrukturen, die es einer Organisation nicht ermöglichen, Ziele zuverlässig zu erreichen, Unsicherheiten zu begegnen und integer zu handeln.</w:t>
      </w:r>
    </w:p>
    <w:p w14:paraId="6BEFC279" w14:textId="77777777" w:rsidR="001F173B" w:rsidRPr="0040745F" w:rsidRDefault="001F173B" w:rsidP="00E27BB3">
      <w:pPr>
        <w:spacing w:after="0"/>
        <w:jc w:val="both"/>
        <w:rPr>
          <w:rFonts w:ascii="Segoe UI" w:hAnsi="Segoe UI" w:cs="Segoe UI"/>
          <w:color w:val="014171"/>
          <w:lang w:val="de-DE"/>
        </w:rPr>
      </w:pPr>
    </w:p>
    <w:p w14:paraId="05EAA0F8" w14:textId="77777777" w:rsidR="00954EE6" w:rsidRPr="0040745F" w:rsidRDefault="00954EE6" w:rsidP="00E27BB3">
      <w:pPr>
        <w:spacing w:after="0"/>
        <w:jc w:val="both"/>
        <w:rPr>
          <w:rFonts w:ascii="Segoe UI" w:hAnsi="Segoe UI" w:cs="Segoe UI"/>
          <w:color w:val="014171"/>
          <w:lang w:val="de-DE"/>
        </w:rPr>
      </w:pPr>
      <w:r w:rsidRPr="0040745F">
        <w:rPr>
          <w:rFonts w:ascii="Segoe UI" w:hAnsi="Segoe UI" w:cs="Segoe UI"/>
          <w:color w:val="014171"/>
          <w:lang w:val="de-DE"/>
        </w:rPr>
        <w:t>Das Risiko der Unternehmensführung wird durch eine Kombination von Kontrollen begrenzt und gesteuert, darunter:</w:t>
      </w:r>
    </w:p>
    <w:p w14:paraId="2EE21B2F" w14:textId="45A30F08" w:rsidR="00A64E0E" w:rsidRPr="0040745F" w:rsidRDefault="00A64E0E" w:rsidP="00E27BB3">
      <w:pPr>
        <w:spacing w:after="0"/>
        <w:jc w:val="both"/>
        <w:rPr>
          <w:rFonts w:ascii="Segoe UI" w:hAnsi="Segoe UI" w:cs="Segoe UI"/>
          <w:color w:val="014171"/>
          <w:lang w:val="de-DE"/>
        </w:rPr>
      </w:pPr>
    </w:p>
    <w:p w14:paraId="3339987E" w14:textId="43B8847C" w:rsidR="00A64E0E" w:rsidRPr="0040745F" w:rsidRDefault="00954EE6" w:rsidP="00E27BB3">
      <w:pPr>
        <w:pStyle w:val="ListParagraph"/>
        <w:numPr>
          <w:ilvl w:val="0"/>
          <w:numId w:val="70"/>
        </w:numPr>
        <w:spacing w:after="0"/>
        <w:jc w:val="both"/>
        <w:rPr>
          <w:rFonts w:ascii="Segoe UI" w:hAnsi="Segoe UI" w:cs="Segoe UI"/>
          <w:color w:val="014171"/>
          <w:lang w:val="de-DE"/>
        </w:rPr>
      </w:pPr>
      <w:r w:rsidRPr="0040745F">
        <w:rPr>
          <w:rFonts w:ascii="Segoe UI" w:hAnsi="Segoe UI" w:cs="Segoe UI"/>
          <w:color w:val="014171"/>
          <w:lang w:val="de-DE"/>
        </w:rPr>
        <w:t>Implementierung des „Drei-Verteidigungslinien Modell“, das eine klare Abgrenzung der Verantwortlichkeiten zwischen dem täglichen Betrieb, der unabhängigen Überwachung und der Revision sowie die Gesamtaufsicht gewährleistet.</w:t>
      </w:r>
    </w:p>
    <w:p w14:paraId="439BD903" w14:textId="21AE2BEB" w:rsidR="00A64E0E" w:rsidRPr="0040745F" w:rsidRDefault="00954EE6" w:rsidP="00954EE6">
      <w:pPr>
        <w:pStyle w:val="ListParagraph"/>
        <w:numPr>
          <w:ilvl w:val="0"/>
          <w:numId w:val="70"/>
        </w:numPr>
        <w:spacing w:after="0"/>
        <w:jc w:val="both"/>
        <w:rPr>
          <w:rFonts w:ascii="Segoe UI" w:hAnsi="Segoe UI" w:cs="Segoe UI"/>
          <w:color w:val="014171"/>
          <w:lang w:val="de-DE"/>
        </w:rPr>
      </w:pPr>
      <w:r w:rsidRPr="0040745F">
        <w:rPr>
          <w:rFonts w:ascii="Segoe UI" w:hAnsi="Segoe UI" w:cs="Segoe UI"/>
          <w:color w:val="014171"/>
          <w:lang w:val="de-DE"/>
        </w:rPr>
        <w:t xml:space="preserve">DCMD hat mehrere Ausschüsse als Teil der allgemeinen Kontrolle </w:t>
      </w:r>
      <w:r w:rsidR="001B09D1">
        <w:rPr>
          <w:rFonts w:ascii="Segoe UI" w:hAnsi="Segoe UI" w:cs="Segoe UI"/>
          <w:color w:val="014171"/>
          <w:lang w:val="de-DE"/>
        </w:rPr>
        <w:t xml:space="preserve">und Steuerung </w:t>
      </w:r>
      <w:r w:rsidRPr="0040745F">
        <w:rPr>
          <w:rFonts w:ascii="Segoe UI" w:hAnsi="Segoe UI" w:cs="Segoe UI"/>
          <w:color w:val="014171"/>
          <w:lang w:val="de-DE"/>
        </w:rPr>
        <w:t>eingerichtet.</w:t>
      </w:r>
    </w:p>
    <w:p w14:paraId="0A46D2C7" w14:textId="77777777" w:rsidR="001201B9" w:rsidRPr="0040745F" w:rsidRDefault="001201B9" w:rsidP="00E27BB3">
      <w:pPr>
        <w:spacing w:after="0"/>
        <w:jc w:val="both"/>
        <w:rPr>
          <w:rFonts w:ascii="Segoe UI" w:hAnsi="Segoe UI" w:cs="Segoe UI"/>
          <w:color w:val="014171"/>
          <w:lang w:val="de-DE"/>
        </w:rPr>
      </w:pPr>
    </w:p>
    <w:p w14:paraId="4CE12D9E" w14:textId="5C7B9AC4" w:rsidR="00A64E0E" w:rsidRPr="0040745F" w:rsidRDefault="00A64E0E" w:rsidP="00E27BB3">
      <w:pPr>
        <w:pStyle w:val="Heading4"/>
        <w:rPr>
          <w:lang w:val="de-DE"/>
        </w:rPr>
      </w:pPr>
      <w:r w:rsidRPr="0040745F">
        <w:rPr>
          <w:lang w:val="de-DE"/>
        </w:rPr>
        <w:t>Reputation</w:t>
      </w:r>
      <w:r w:rsidR="00091D98" w:rsidRPr="0040745F">
        <w:rPr>
          <w:lang w:val="de-DE"/>
        </w:rPr>
        <w:t>sr</w:t>
      </w:r>
      <w:r w:rsidRPr="0040745F">
        <w:rPr>
          <w:lang w:val="de-DE"/>
        </w:rPr>
        <w:t>is</w:t>
      </w:r>
      <w:r w:rsidR="00091D98" w:rsidRPr="0040745F">
        <w:rPr>
          <w:lang w:val="de-DE"/>
        </w:rPr>
        <w:t>i</w:t>
      </w:r>
      <w:r w:rsidRPr="0040745F">
        <w:rPr>
          <w:lang w:val="de-DE"/>
        </w:rPr>
        <w:t>k</w:t>
      </w:r>
      <w:r w:rsidR="00091D98" w:rsidRPr="0040745F">
        <w:rPr>
          <w:lang w:val="de-DE"/>
        </w:rPr>
        <w:t>o</w:t>
      </w:r>
    </w:p>
    <w:p w14:paraId="421A5396" w14:textId="3CFF2FC6" w:rsidR="00954EE6" w:rsidRPr="0040745F" w:rsidRDefault="00954EE6" w:rsidP="00954EE6">
      <w:pPr>
        <w:spacing w:after="0"/>
        <w:jc w:val="both"/>
        <w:rPr>
          <w:rFonts w:ascii="Segoe UI" w:hAnsi="Segoe UI" w:cs="Segoe UI"/>
          <w:color w:val="014171"/>
          <w:lang w:val="de-DE"/>
        </w:rPr>
      </w:pPr>
      <w:r w:rsidRPr="0040745F">
        <w:rPr>
          <w:rFonts w:ascii="Segoe UI" w:hAnsi="Segoe UI" w:cs="Segoe UI"/>
          <w:color w:val="014171"/>
          <w:lang w:val="de-DE"/>
        </w:rPr>
        <w:t>Das Reputationsrisiko ist definiert als das Risiko, das sich aus</w:t>
      </w:r>
      <w:r w:rsidR="003B699C">
        <w:rPr>
          <w:rFonts w:ascii="Segoe UI" w:hAnsi="Segoe UI" w:cs="Segoe UI"/>
          <w:color w:val="014171"/>
          <w:lang w:val="de-DE"/>
        </w:rPr>
        <w:t xml:space="preserve"> einer negativen Wahrnehmung eines</w:t>
      </w:r>
      <w:r w:rsidRPr="0040745F">
        <w:rPr>
          <w:rFonts w:ascii="Segoe UI" w:hAnsi="Segoe UI" w:cs="Segoe UI"/>
          <w:color w:val="014171"/>
          <w:lang w:val="de-DE"/>
        </w:rPr>
        <w:t xml:space="preserve"> Unternehmens durch Kunden, Kontrahenten, Aktionäre, Investoren oder Aufsichtsbehörden, aus Reputationsproblemen und einer ungünstigen öffentlichen Meinung ergibt.</w:t>
      </w:r>
    </w:p>
    <w:p w14:paraId="2E0551AB" w14:textId="77777777" w:rsidR="00954EE6" w:rsidRPr="0040745F" w:rsidRDefault="00954EE6" w:rsidP="00954EE6">
      <w:pPr>
        <w:spacing w:after="0"/>
        <w:jc w:val="both"/>
        <w:rPr>
          <w:rFonts w:ascii="Segoe UI" w:hAnsi="Segoe UI" w:cs="Segoe UI"/>
          <w:color w:val="014171"/>
          <w:lang w:val="de-DE"/>
        </w:rPr>
      </w:pPr>
    </w:p>
    <w:p w14:paraId="79C13C85" w14:textId="39685E53" w:rsidR="001F173B" w:rsidRPr="0040745F" w:rsidRDefault="00954EE6" w:rsidP="00954EE6">
      <w:pPr>
        <w:spacing w:after="0"/>
        <w:jc w:val="both"/>
        <w:rPr>
          <w:rFonts w:ascii="Segoe UI" w:hAnsi="Segoe UI" w:cs="Segoe UI"/>
          <w:color w:val="014171"/>
          <w:lang w:val="de-DE"/>
        </w:rPr>
      </w:pPr>
      <w:r w:rsidRPr="0040745F">
        <w:rPr>
          <w:rFonts w:ascii="Segoe UI" w:hAnsi="Segoe UI" w:cs="Segoe UI"/>
          <w:color w:val="014171"/>
          <w:lang w:val="de-DE"/>
        </w:rPr>
        <w:t>Das Reputationsrisiko wird durch eine Kombination von Kontrollen begrenzt und gesteuert, darunter:</w:t>
      </w:r>
    </w:p>
    <w:p w14:paraId="73F777B5" w14:textId="77777777" w:rsidR="00954EE6" w:rsidRPr="0040745F" w:rsidRDefault="00954EE6" w:rsidP="00954EE6">
      <w:pPr>
        <w:spacing w:after="0"/>
        <w:jc w:val="both"/>
        <w:rPr>
          <w:rFonts w:ascii="Segoe UI" w:hAnsi="Segoe UI" w:cs="Segoe UI"/>
          <w:color w:val="014171"/>
          <w:lang w:val="de-DE"/>
        </w:rPr>
      </w:pPr>
    </w:p>
    <w:p w14:paraId="5ABFB4F4" w14:textId="7C794338" w:rsidR="00A64E0E" w:rsidRPr="0040745F" w:rsidRDefault="00954EE6" w:rsidP="00E27BB3">
      <w:pPr>
        <w:pStyle w:val="ListParagraph"/>
        <w:numPr>
          <w:ilvl w:val="0"/>
          <w:numId w:val="72"/>
        </w:numPr>
        <w:spacing w:after="0"/>
        <w:jc w:val="both"/>
        <w:rPr>
          <w:rFonts w:ascii="Segoe UI" w:hAnsi="Segoe UI" w:cs="Segoe UI"/>
          <w:color w:val="014171"/>
          <w:lang w:val="de-DE"/>
        </w:rPr>
      </w:pPr>
      <w:r w:rsidRPr="0040745F">
        <w:rPr>
          <w:rFonts w:ascii="Segoe UI" w:hAnsi="Segoe UI" w:cs="Segoe UI"/>
          <w:color w:val="014171"/>
          <w:lang w:val="de-DE"/>
        </w:rPr>
        <w:t>Interne Compliance- und Kreditrisikoprüfungen, um Geschäfte in Hochrisiko- oder sanktionierten Rechtsordnungen oder mit Hochrisiko-Kontrahenten zu vermeiden.</w:t>
      </w:r>
    </w:p>
    <w:p w14:paraId="078DE171" w14:textId="38F29A85" w:rsidR="00A64E0E" w:rsidRDefault="00954EE6" w:rsidP="00954EE6">
      <w:pPr>
        <w:pStyle w:val="ListParagraph"/>
        <w:numPr>
          <w:ilvl w:val="0"/>
          <w:numId w:val="72"/>
        </w:numPr>
        <w:spacing w:after="0"/>
        <w:jc w:val="both"/>
        <w:rPr>
          <w:rFonts w:ascii="Segoe UI" w:hAnsi="Segoe UI" w:cs="Segoe UI"/>
          <w:color w:val="014171"/>
          <w:lang w:val="de-DE"/>
        </w:rPr>
      </w:pPr>
      <w:r w:rsidRPr="0040745F">
        <w:rPr>
          <w:rFonts w:ascii="Segoe UI" w:hAnsi="Segoe UI" w:cs="Segoe UI"/>
          <w:color w:val="014171"/>
          <w:lang w:val="de-DE"/>
        </w:rPr>
        <w:t>Eine Reihe klar formulierter Richtlinien und Verfahren, die die Wahrscheinlichkeit von Reputationsrisikoereignissen reduzieren.</w:t>
      </w:r>
    </w:p>
    <w:p w14:paraId="4E1EC52B" w14:textId="77777777" w:rsidR="002D061C" w:rsidRPr="0040745F" w:rsidRDefault="002D061C" w:rsidP="002D061C">
      <w:pPr>
        <w:pStyle w:val="ListParagraph"/>
        <w:spacing w:after="0"/>
        <w:jc w:val="both"/>
        <w:rPr>
          <w:rFonts w:ascii="Segoe UI" w:hAnsi="Segoe UI" w:cs="Segoe UI"/>
          <w:color w:val="014171"/>
          <w:lang w:val="de-DE"/>
        </w:rPr>
      </w:pPr>
    </w:p>
    <w:p w14:paraId="690E55A2" w14:textId="4F1A0129" w:rsidR="00A64E0E" w:rsidRPr="0040745F" w:rsidRDefault="00954EE6" w:rsidP="00954EE6">
      <w:pPr>
        <w:pStyle w:val="ListParagraph"/>
        <w:numPr>
          <w:ilvl w:val="0"/>
          <w:numId w:val="72"/>
        </w:numPr>
        <w:spacing w:after="0"/>
        <w:jc w:val="both"/>
        <w:rPr>
          <w:rFonts w:ascii="Segoe UI" w:hAnsi="Segoe UI" w:cs="Segoe UI"/>
          <w:color w:val="014171"/>
          <w:lang w:val="de-DE"/>
        </w:rPr>
      </w:pPr>
      <w:r w:rsidRPr="0040745F">
        <w:rPr>
          <w:rFonts w:ascii="Segoe UI" w:hAnsi="Segoe UI" w:cs="Segoe UI"/>
          <w:color w:val="014171"/>
          <w:lang w:val="de-DE"/>
        </w:rPr>
        <w:lastRenderedPageBreak/>
        <w:t xml:space="preserve">Alle vorgeschlagenen Transaktionen oder Geschäftsaktivitäten, die ein </w:t>
      </w:r>
      <w:r w:rsidRPr="002B666A">
        <w:rPr>
          <w:rFonts w:ascii="Segoe UI" w:hAnsi="Segoe UI" w:cs="Segoe UI"/>
          <w:color w:val="014171"/>
          <w:lang w:val="de-DE"/>
        </w:rPr>
        <w:t>Reputationsrisiko darstellen, welches höher ist als das, was normalerweise mit den Geschäftsaktivitäten von DCMD verbunden ist, werden vom Risiko- oder Exekutiv</w:t>
      </w:r>
      <w:r w:rsidR="002B666A" w:rsidRPr="002B666A">
        <w:rPr>
          <w:rFonts w:ascii="Segoe UI" w:hAnsi="Segoe UI" w:cs="Segoe UI"/>
          <w:color w:val="014171"/>
          <w:lang w:val="de-DE"/>
        </w:rPr>
        <w:t xml:space="preserve"> Komitee </w:t>
      </w:r>
      <w:r w:rsidRPr="002B666A">
        <w:rPr>
          <w:rFonts w:ascii="Segoe UI" w:hAnsi="Segoe UI" w:cs="Segoe UI"/>
          <w:color w:val="014171"/>
          <w:lang w:val="de-DE"/>
        </w:rPr>
        <w:t>formell</w:t>
      </w:r>
      <w:r w:rsidRPr="0040745F">
        <w:rPr>
          <w:rFonts w:ascii="Segoe UI" w:hAnsi="Segoe UI" w:cs="Segoe UI"/>
          <w:color w:val="014171"/>
          <w:lang w:val="de-DE"/>
        </w:rPr>
        <w:t xml:space="preserve"> geprüft.</w:t>
      </w:r>
    </w:p>
    <w:p w14:paraId="128F9AB2" w14:textId="77777777" w:rsidR="00F32DDF" w:rsidRPr="0040745F" w:rsidRDefault="00F32DDF" w:rsidP="00E27BB3">
      <w:pPr>
        <w:spacing w:after="0"/>
        <w:jc w:val="both"/>
        <w:rPr>
          <w:rFonts w:ascii="Segoe UI" w:hAnsi="Segoe UI" w:cs="Segoe UI"/>
          <w:color w:val="014171"/>
          <w:lang w:val="de-DE"/>
        </w:rPr>
      </w:pPr>
    </w:p>
    <w:p w14:paraId="65F820C9" w14:textId="78DACE65" w:rsidR="00A64E0E" w:rsidRPr="0040745F" w:rsidRDefault="00091D98" w:rsidP="00E27BB3">
      <w:pPr>
        <w:pStyle w:val="Heading2"/>
        <w:rPr>
          <w:b w:val="0"/>
          <w:lang w:val="de-DE"/>
        </w:rPr>
      </w:pPr>
      <w:bookmarkStart w:id="37" w:name="_Toc123138013"/>
      <w:r w:rsidRPr="0040745F">
        <w:rPr>
          <w:lang w:val="de-DE"/>
        </w:rPr>
        <w:t>Risiko aus Klimawandel</w:t>
      </w:r>
      <w:bookmarkEnd w:id="37"/>
    </w:p>
    <w:p w14:paraId="5E35C639" w14:textId="01D5E063" w:rsidR="00954EE6" w:rsidRPr="0040745F" w:rsidRDefault="00954EE6" w:rsidP="00954EE6">
      <w:pPr>
        <w:spacing w:after="0"/>
        <w:jc w:val="both"/>
        <w:rPr>
          <w:rFonts w:ascii="Segoe UI" w:hAnsi="Segoe UI" w:cs="Segoe UI"/>
          <w:color w:val="014171"/>
          <w:lang w:val="de-DE"/>
        </w:rPr>
      </w:pPr>
      <w:r w:rsidRPr="0040745F">
        <w:rPr>
          <w:rFonts w:ascii="Segoe UI" w:hAnsi="Segoe UI" w:cs="Segoe UI"/>
          <w:color w:val="014171"/>
          <w:lang w:val="de-DE"/>
        </w:rPr>
        <w:t>DCMD erkennt an, dass der Klimawandel und die Reaktion der Gesellschaft darauf potenzielle Risiken darstellen, die für seine Geschäftsstrategie relevant sind. DCMD sieht im Klimawandel neue Herausforderungen, denen sich die Finanzinstitute in der Vergangenheit nicht gegenüberstanden.</w:t>
      </w:r>
    </w:p>
    <w:p w14:paraId="1C9A75C4" w14:textId="77777777" w:rsidR="00954EE6" w:rsidRPr="0040745F" w:rsidRDefault="00954EE6" w:rsidP="00954EE6">
      <w:pPr>
        <w:spacing w:after="0"/>
        <w:jc w:val="both"/>
        <w:rPr>
          <w:rFonts w:ascii="Segoe UI" w:hAnsi="Segoe UI" w:cs="Segoe UI"/>
          <w:color w:val="014171"/>
          <w:lang w:val="de-DE"/>
        </w:rPr>
      </w:pPr>
    </w:p>
    <w:p w14:paraId="7B023678" w14:textId="18E95FEC" w:rsidR="00A64E0E" w:rsidRPr="0040745F" w:rsidRDefault="00954EE6" w:rsidP="00954EE6">
      <w:pPr>
        <w:spacing w:after="0"/>
        <w:jc w:val="both"/>
        <w:rPr>
          <w:rFonts w:ascii="Segoe UI" w:hAnsi="Segoe UI" w:cs="Segoe UI"/>
          <w:color w:val="014171"/>
          <w:lang w:val="de-DE"/>
        </w:rPr>
      </w:pPr>
      <w:r w:rsidRPr="0040745F">
        <w:rPr>
          <w:rFonts w:ascii="Segoe UI" w:hAnsi="Segoe UI" w:cs="Segoe UI"/>
          <w:color w:val="014171"/>
          <w:lang w:val="de-DE"/>
        </w:rPr>
        <w:t>In Anerkennung der aktuellen</w:t>
      </w:r>
      <w:r w:rsidR="003B699C">
        <w:rPr>
          <w:rFonts w:ascii="Segoe UI" w:hAnsi="Segoe UI" w:cs="Segoe UI"/>
          <w:color w:val="014171"/>
          <w:lang w:val="de-DE"/>
        </w:rPr>
        <w:t xml:space="preserve"> neuen Leitlinien entwickelt die</w:t>
      </w:r>
      <w:r w:rsidRPr="0040745F">
        <w:rPr>
          <w:rFonts w:ascii="Segoe UI" w:hAnsi="Segoe UI" w:cs="Segoe UI"/>
          <w:color w:val="014171"/>
          <w:lang w:val="de-DE"/>
        </w:rPr>
        <w:t xml:space="preserve"> </w:t>
      </w:r>
      <w:r w:rsidR="003B699C">
        <w:rPr>
          <w:rFonts w:ascii="Segoe UI" w:hAnsi="Segoe UI" w:cs="Segoe UI"/>
          <w:color w:val="014171"/>
          <w:lang w:val="de-DE"/>
        </w:rPr>
        <w:t>Gesellschaft</w:t>
      </w:r>
      <w:r w:rsidRPr="0040745F">
        <w:rPr>
          <w:rFonts w:ascii="Segoe UI" w:hAnsi="Segoe UI" w:cs="Segoe UI"/>
          <w:color w:val="014171"/>
          <w:lang w:val="de-DE"/>
        </w:rPr>
        <w:t xml:space="preserve"> </w:t>
      </w:r>
      <w:r w:rsidR="00BA7469">
        <w:rPr>
          <w:rFonts w:ascii="Segoe UI" w:hAnsi="Segoe UI" w:cs="Segoe UI"/>
          <w:color w:val="014171"/>
          <w:lang w:val="de-DE"/>
        </w:rPr>
        <w:t>ihre</w:t>
      </w:r>
      <w:r w:rsidRPr="0040745F">
        <w:rPr>
          <w:rFonts w:ascii="Segoe UI" w:hAnsi="Segoe UI" w:cs="Segoe UI"/>
          <w:color w:val="014171"/>
          <w:lang w:val="de-DE"/>
        </w:rPr>
        <w:t xml:space="preserve"> Strategie in Bezug auf Unternehmensführung, Risikomanagement, Szenarioanalyse und Offenlegung</w:t>
      </w:r>
      <w:r w:rsidR="00BA7469">
        <w:rPr>
          <w:rFonts w:ascii="Segoe UI" w:hAnsi="Segoe UI" w:cs="Segoe UI"/>
          <w:color w:val="014171"/>
          <w:lang w:val="de-DE"/>
        </w:rPr>
        <w:t xml:space="preserve"> weiter</w:t>
      </w:r>
      <w:r w:rsidRPr="0040745F">
        <w:rPr>
          <w:rFonts w:ascii="Segoe UI" w:hAnsi="Segoe UI" w:cs="Segoe UI"/>
          <w:color w:val="014171"/>
          <w:lang w:val="de-DE"/>
        </w:rPr>
        <w:t>. DCMD hat derzeit den Klimawandel nicht als eigenständiges Risiko kategorisiert, sondern als Risikotreiber, der die bereits in der Bestandsaufnahme erfassten Risiken in unterschiedlichem Maße beeinflusst. Diese Risiken können dann durch diese etablierten Risikoprozesse verwaltet werden oder nach der Bewertung zu einer modifizierten Behandlung führen.</w:t>
      </w:r>
    </w:p>
    <w:p w14:paraId="49F74DA8" w14:textId="77777777" w:rsidR="00807020" w:rsidRPr="0040745F" w:rsidRDefault="00807020" w:rsidP="00E27BB3">
      <w:pPr>
        <w:spacing w:after="0"/>
        <w:jc w:val="both"/>
        <w:rPr>
          <w:rFonts w:ascii="Segoe UI" w:hAnsi="Segoe UI" w:cs="Segoe UI"/>
          <w:color w:val="014171"/>
          <w:lang w:val="de-DE"/>
        </w:rPr>
      </w:pPr>
    </w:p>
    <w:p w14:paraId="1EF09035" w14:textId="57DEF9C8" w:rsidR="00A64E0E" w:rsidRPr="0040745F" w:rsidRDefault="00A64E0E" w:rsidP="00E27BB3">
      <w:pPr>
        <w:pStyle w:val="Heading2"/>
        <w:rPr>
          <w:b w:val="0"/>
          <w:lang w:val="de-DE"/>
        </w:rPr>
      </w:pPr>
      <w:bookmarkStart w:id="38" w:name="_Toc123138014"/>
      <w:r w:rsidRPr="0040745F">
        <w:rPr>
          <w:lang w:val="de-DE"/>
        </w:rPr>
        <w:t>Stress Test</w:t>
      </w:r>
      <w:r w:rsidR="00091D98" w:rsidRPr="0040745F">
        <w:rPr>
          <w:lang w:val="de-DE"/>
        </w:rPr>
        <w:t>s</w:t>
      </w:r>
      <w:bookmarkEnd w:id="38"/>
    </w:p>
    <w:p w14:paraId="13F08570" w14:textId="4CA5E4B1" w:rsidR="00954EE6" w:rsidRPr="0040745F" w:rsidRDefault="00954EE6" w:rsidP="00954EE6">
      <w:pPr>
        <w:spacing w:after="0"/>
        <w:jc w:val="both"/>
        <w:rPr>
          <w:rFonts w:ascii="Segoe UI" w:hAnsi="Segoe UI" w:cs="Segoe UI"/>
          <w:color w:val="014171"/>
          <w:lang w:val="de-DE"/>
        </w:rPr>
      </w:pPr>
      <w:r w:rsidRPr="0040745F">
        <w:rPr>
          <w:rFonts w:ascii="Segoe UI" w:hAnsi="Segoe UI" w:cs="Segoe UI"/>
          <w:color w:val="014171"/>
          <w:lang w:val="de-DE"/>
        </w:rPr>
        <w:t xml:space="preserve">DCMD hat eine Stresstestrichtlinie </w:t>
      </w:r>
      <w:r w:rsidRPr="00BA7469">
        <w:rPr>
          <w:rFonts w:ascii="Segoe UI" w:hAnsi="Segoe UI" w:cs="Segoe UI"/>
          <w:color w:val="014171"/>
          <w:lang w:val="de-DE"/>
        </w:rPr>
        <w:t xml:space="preserve">formalisiert, die jährlich von den Geschäftsführern von DCMD überprüft und genehmigt wird. Die Richtlinie beschreibt den Ansatz von DCMD für Stress- und </w:t>
      </w:r>
      <w:r w:rsidR="00BA7469" w:rsidRPr="00BA7469">
        <w:rPr>
          <w:rFonts w:ascii="Segoe UI" w:hAnsi="Segoe UI" w:cs="Segoe UI"/>
          <w:color w:val="014171"/>
          <w:lang w:val="de-DE"/>
        </w:rPr>
        <w:t>sogenannte „</w:t>
      </w:r>
      <w:r w:rsidRPr="00BA7469">
        <w:rPr>
          <w:rFonts w:ascii="Segoe UI" w:hAnsi="Segoe UI" w:cs="Segoe UI"/>
          <w:color w:val="014171"/>
          <w:lang w:val="de-DE"/>
        </w:rPr>
        <w:t>Reverse-Stresstests</w:t>
      </w:r>
      <w:r w:rsidR="00BA7469" w:rsidRPr="00BA7469">
        <w:rPr>
          <w:rFonts w:ascii="Segoe UI" w:hAnsi="Segoe UI" w:cs="Segoe UI"/>
          <w:color w:val="014171"/>
          <w:lang w:val="de-DE"/>
        </w:rPr>
        <w:t>“</w:t>
      </w:r>
      <w:r w:rsidRPr="00BA7469">
        <w:rPr>
          <w:rFonts w:ascii="Segoe UI" w:hAnsi="Segoe UI" w:cs="Segoe UI"/>
          <w:color w:val="014171"/>
          <w:lang w:val="de-DE"/>
        </w:rPr>
        <w:t>.</w:t>
      </w:r>
    </w:p>
    <w:p w14:paraId="24FCE8F5" w14:textId="77777777" w:rsidR="00954EE6" w:rsidRPr="0040745F" w:rsidRDefault="00954EE6" w:rsidP="00954EE6">
      <w:pPr>
        <w:spacing w:after="0"/>
        <w:jc w:val="both"/>
        <w:rPr>
          <w:rFonts w:ascii="Segoe UI" w:hAnsi="Segoe UI" w:cs="Segoe UI"/>
          <w:color w:val="014171"/>
          <w:lang w:val="de-DE"/>
        </w:rPr>
      </w:pPr>
    </w:p>
    <w:p w14:paraId="0D3BE4C5" w14:textId="10E3FF13" w:rsidR="00954EE6" w:rsidRPr="0040745F" w:rsidRDefault="00954EE6" w:rsidP="00954EE6">
      <w:pPr>
        <w:spacing w:after="0"/>
        <w:jc w:val="both"/>
        <w:rPr>
          <w:rFonts w:ascii="Segoe UI" w:hAnsi="Segoe UI" w:cs="Segoe UI"/>
          <w:color w:val="014171"/>
          <w:lang w:val="de-DE"/>
        </w:rPr>
      </w:pPr>
      <w:r w:rsidRPr="0040745F">
        <w:rPr>
          <w:rFonts w:ascii="Segoe UI" w:hAnsi="Segoe UI" w:cs="Segoe UI"/>
          <w:color w:val="014171"/>
          <w:lang w:val="de-DE"/>
        </w:rPr>
        <w:t>Stresstests werden monatlich durchgeführt und die Ergebnisse an die zuständigen Gremien berichtet.</w:t>
      </w:r>
      <w:r w:rsidR="00697A13">
        <w:rPr>
          <w:rFonts w:ascii="Segoe UI" w:hAnsi="Segoe UI" w:cs="Segoe UI"/>
          <w:color w:val="014171"/>
          <w:lang w:val="de-DE"/>
        </w:rPr>
        <w:t xml:space="preserve"> Eine ad-hoc Berichtserstattung ist auch jederzeit möglich.</w:t>
      </w:r>
    </w:p>
    <w:p w14:paraId="36154B47" w14:textId="77777777" w:rsidR="00954EE6" w:rsidRPr="0040745F" w:rsidRDefault="00954EE6" w:rsidP="00954EE6">
      <w:pPr>
        <w:spacing w:after="0"/>
        <w:jc w:val="both"/>
        <w:rPr>
          <w:rFonts w:ascii="Segoe UI" w:hAnsi="Segoe UI" w:cs="Segoe UI"/>
          <w:color w:val="014171"/>
          <w:lang w:val="de-DE"/>
        </w:rPr>
      </w:pPr>
    </w:p>
    <w:p w14:paraId="4DC40D31" w14:textId="174B5F5C" w:rsidR="00954EE6" w:rsidRPr="0040745F" w:rsidRDefault="00954EE6" w:rsidP="00954EE6">
      <w:pPr>
        <w:spacing w:after="0"/>
        <w:jc w:val="both"/>
        <w:rPr>
          <w:rFonts w:ascii="Segoe UI" w:hAnsi="Segoe UI" w:cs="Segoe UI"/>
          <w:color w:val="014171"/>
          <w:lang w:val="de-DE"/>
        </w:rPr>
      </w:pPr>
      <w:r w:rsidRPr="0040745F">
        <w:rPr>
          <w:rFonts w:ascii="Segoe UI" w:hAnsi="Segoe UI" w:cs="Segoe UI"/>
          <w:color w:val="014171"/>
          <w:lang w:val="de-DE"/>
        </w:rPr>
        <w:t>Gegebenenfalls werden Berechnungen mit qualitativen Techniken/Bewertungen kombiniert, um die Verwendung von Modellen zu unterstützen und zu ergänzen und Stresstests auf Bereiche auszudehnen, in denen ein effektives Risikomanagement eine stärkere Nutzung von Expertenurteilen erfordert.</w:t>
      </w:r>
    </w:p>
    <w:p w14:paraId="4196127B" w14:textId="77777777" w:rsidR="00954EE6" w:rsidRPr="0040745F" w:rsidRDefault="00954EE6" w:rsidP="00954EE6">
      <w:pPr>
        <w:spacing w:after="0"/>
        <w:jc w:val="both"/>
        <w:rPr>
          <w:rFonts w:ascii="Segoe UI" w:hAnsi="Segoe UI" w:cs="Segoe UI"/>
          <w:color w:val="014171"/>
          <w:lang w:val="de-DE"/>
        </w:rPr>
      </w:pPr>
    </w:p>
    <w:p w14:paraId="753AF068" w14:textId="296DFA1A" w:rsidR="00954EE6" w:rsidRPr="0040745F" w:rsidRDefault="00954EE6" w:rsidP="00954EE6">
      <w:pPr>
        <w:spacing w:after="0"/>
        <w:jc w:val="both"/>
        <w:rPr>
          <w:rFonts w:ascii="Segoe UI" w:hAnsi="Segoe UI" w:cs="Segoe UI"/>
          <w:color w:val="014171"/>
          <w:lang w:val="de-DE"/>
        </w:rPr>
      </w:pPr>
      <w:r w:rsidRPr="0040745F">
        <w:rPr>
          <w:rFonts w:ascii="Segoe UI" w:hAnsi="Segoe UI" w:cs="Segoe UI"/>
          <w:color w:val="014171"/>
          <w:lang w:val="de-DE"/>
        </w:rPr>
        <w:t xml:space="preserve">Halbjährlich </w:t>
      </w:r>
      <w:r w:rsidRPr="00697A13">
        <w:rPr>
          <w:rFonts w:ascii="Segoe UI" w:hAnsi="Segoe UI" w:cs="Segoe UI"/>
          <w:color w:val="014171"/>
          <w:lang w:val="de-DE"/>
        </w:rPr>
        <w:t xml:space="preserve">wird ein </w:t>
      </w:r>
      <w:r w:rsidR="00697A13" w:rsidRPr="00697A13">
        <w:rPr>
          <w:rFonts w:ascii="Segoe UI" w:hAnsi="Segoe UI" w:cs="Segoe UI"/>
          <w:color w:val="014171"/>
          <w:lang w:val="de-DE"/>
        </w:rPr>
        <w:t>„</w:t>
      </w:r>
      <w:r w:rsidRPr="00697A13">
        <w:rPr>
          <w:rFonts w:ascii="Segoe UI" w:hAnsi="Segoe UI" w:cs="Segoe UI"/>
          <w:color w:val="014171"/>
          <w:lang w:val="de-DE"/>
        </w:rPr>
        <w:t>Reverse Stress</w:t>
      </w:r>
      <w:r w:rsidR="00697A13" w:rsidRPr="00697A13">
        <w:rPr>
          <w:rFonts w:ascii="Segoe UI" w:hAnsi="Segoe UI" w:cs="Segoe UI"/>
          <w:color w:val="014171"/>
          <w:lang w:val="de-DE"/>
        </w:rPr>
        <w:t>“</w:t>
      </w:r>
      <w:r w:rsidRPr="00697A13">
        <w:rPr>
          <w:rFonts w:ascii="Segoe UI" w:hAnsi="Segoe UI" w:cs="Segoe UI"/>
          <w:color w:val="014171"/>
          <w:lang w:val="de-DE"/>
        </w:rPr>
        <w:t xml:space="preserve"> Test durchgeführt</w:t>
      </w:r>
      <w:r w:rsidRPr="0040745F">
        <w:rPr>
          <w:rFonts w:ascii="Segoe UI" w:hAnsi="Segoe UI" w:cs="Segoe UI"/>
          <w:color w:val="014171"/>
          <w:lang w:val="de-DE"/>
        </w:rPr>
        <w:t xml:space="preserve"> und an die zuständigen Gremien berichtet.</w:t>
      </w:r>
    </w:p>
    <w:p w14:paraId="7AB66330" w14:textId="77777777" w:rsidR="00954EE6" w:rsidRPr="0040745F" w:rsidRDefault="00954EE6" w:rsidP="00954EE6">
      <w:pPr>
        <w:spacing w:after="0"/>
        <w:jc w:val="both"/>
        <w:rPr>
          <w:rFonts w:ascii="Segoe UI" w:hAnsi="Segoe UI" w:cs="Segoe UI"/>
          <w:color w:val="014171"/>
          <w:lang w:val="de-DE"/>
        </w:rPr>
      </w:pPr>
    </w:p>
    <w:p w14:paraId="127388E5" w14:textId="2A3262CB" w:rsidR="00AC51F9" w:rsidRPr="0040745F" w:rsidRDefault="00954EE6" w:rsidP="00E27BB3">
      <w:pPr>
        <w:spacing w:after="0"/>
        <w:jc w:val="both"/>
        <w:rPr>
          <w:rFonts w:ascii="Segoe UI" w:hAnsi="Segoe UI" w:cs="Segoe UI"/>
          <w:color w:val="014171"/>
          <w:lang w:val="de-DE"/>
        </w:rPr>
        <w:sectPr w:rsidR="00AC51F9" w:rsidRPr="0040745F" w:rsidSect="007C0415">
          <w:pgSz w:w="11906" w:h="16838"/>
          <w:pgMar w:top="1702" w:right="1440" w:bottom="1134" w:left="1440" w:header="708" w:footer="380" w:gutter="0"/>
          <w:cols w:space="720"/>
          <w:titlePg/>
          <w:docGrid w:linePitch="360"/>
        </w:sectPr>
      </w:pPr>
      <w:r w:rsidRPr="0040745F">
        <w:rPr>
          <w:rFonts w:ascii="Segoe UI" w:hAnsi="Segoe UI" w:cs="Segoe UI"/>
          <w:color w:val="014171"/>
          <w:lang w:val="de-DE"/>
        </w:rPr>
        <w:t>Das Gesamtrisikoprofil von DCMD wird von der Geschäftsführung auf der Grundlage des Back-to-Back-Buchungsmodellansatzes in Kombination mit den angebotenen Plain-Vanilla-Produkten als „niedrig“ angesehen.</w:t>
      </w:r>
      <w:bookmarkStart w:id="39" w:name="_Toc102121157"/>
      <w:r w:rsidR="006A0C44" w:rsidRPr="0040745F">
        <w:rPr>
          <w:rFonts w:ascii="Segoe UI" w:hAnsi="Segoe UI" w:cs="Segoe UI"/>
          <w:color w:val="014171"/>
          <w:lang w:val="de-DE"/>
        </w:rPr>
        <w:t xml:space="preserve">   </w:t>
      </w:r>
    </w:p>
    <w:p w14:paraId="5C632679" w14:textId="507A1F51" w:rsidR="00206AE6" w:rsidRPr="0040745F" w:rsidRDefault="00091D98" w:rsidP="00C43D6A">
      <w:pPr>
        <w:pStyle w:val="Heading1"/>
        <w:ind w:left="431" w:hanging="431"/>
        <w:rPr>
          <w:lang w:val="de-DE"/>
        </w:rPr>
      </w:pPr>
      <w:bookmarkStart w:id="40" w:name="_Toc123138015"/>
      <w:r w:rsidRPr="0040745F">
        <w:rPr>
          <w:lang w:val="de-DE"/>
        </w:rPr>
        <w:lastRenderedPageBreak/>
        <w:t>Unternehmensführung</w:t>
      </w:r>
      <w:r w:rsidR="007C03E6" w:rsidRPr="0040745F">
        <w:rPr>
          <w:lang w:val="de-DE"/>
        </w:rPr>
        <w:t xml:space="preserve"> (Arti</w:t>
      </w:r>
      <w:r w:rsidRPr="0040745F">
        <w:rPr>
          <w:lang w:val="de-DE"/>
        </w:rPr>
        <w:t>kel</w:t>
      </w:r>
      <w:r w:rsidR="007C03E6" w:rsidRPr="0040745F">
        <w:rPr>
          <w:lang w:val="de-DE"/>
        </w:rPr>
        <w:t xml:space="preserve"> 48 IFR</w:t>
      </w:r>
      <w:r w:rsidR="00206AE6" w:rsidRPr="0040745F">
        <w:rPr>
          <w:lang w:val="de-DE"/>
        </w:rPr>
        <w:t>)</w:t>
      </w:r>
      <w:bookmarkEnd w:id="39"/>
      <w:bookmarkEnd w:id="40"/>
    </w:p>
    <w:p w14:paraId="0442AFE6" w14:textId="0E02D0FE" w:rsidR="00206AE6" w:rsidRPr="0040745F" w:rsidRDefault="00E23E53" w:rsidP="00E27BB3">
      <w:pPr>
        <w:pStyle w:val="Heading2"/>
        <w:rPr>
          <w:lang w:val="de-DE"/>
        </w:rPr>
      </w:pPr>
      <w:bookmarkStart w:id="41" w:name="_Toc102121158"/>
      <w:bookmarkStart w:id="42" w:name="_Toc123138016"/>
      <w:bookmarkStart w:id="43" w:name="_Toc297039265"/>
      <w:bookmarkStart w:id="44" w:name="_Toc297189978"/>
      <w:bookmarkStart w:id="45" w:name="_Toc422754616"/>
      <w:r w:rsidRPr="0040745F">
        <w:rPr>
          <w:lang w:val="de-DE"/>
        </w:rPr>
        <w:t>Darstellung der Unternehmensleitung durch die Geschäftsführung</w:t>
      </w:r>
      <w:bookmarkEnd w:id="41"/>
      <w:bookmarkEnd w:id="42"/>
    </w:p>
    <w:p w14:paraId="03A01126" w14:textId="541D41D0" w:rsidR="00757056" w:rsidRPr="0040745F" w:rsidRDefault="00E23E53" w:rsidP="00E27BB3">
      <w:pPr>
        <w:pStyle w:val="Heading3"/>
        <w:rPr>
          <w:lang w:val="de-DE"/>
        </w:rPr>
      </w:pPr>
      <w:r w:rsidRPr="0040745F">
        <w:rPr>
          <w:lang w:val="de-DE"/>
        </w:rPr>
        <w:t>Organisation der Unternehmensführung</w:t>
      </w:r>
      <w:bookmarkEnd w:id="43"/>
      <w:bookmarkEnd w:id="44"/>
      <w:bookmarkEnd w:id="45"/>
    </w:p>
    <w:p w14:paraId="7A90BE46" w14:textId="0B9E3DF0" w:rsidR="00373788" w:rsidRPr="0040745F" w:rsidRDefault="00E23E53" w:rsidP="00E27BB3">
      <w:pPr>
        <w:spacing w:after="0"/>
        <w:jc w:val="both"/>
        <w:rPr>
          <w:rFonts w:ascii="Segoe UI" w:hAnsi="Segoe UI" w:cs="Segoe UI"/>
          <w:color w:val="014171"/>
          <w:lang w:val="de-DE"/>
        </w:rPr>
      </w:pPr>
      <w:r w:rsidRPr="0040745F">
        <w:rPr>
          <w:rFonts w:ascii="Segoe UI" w:hAnsi="Segoe UI" w:cs="Segoe UI"/>
          <w:color w:val="014171"/>
          <w:lang w:val="de-DE"/>
        </w:rPr>
        <w:t>Das Leitungsorgan von DCMD (d. h. die Geschä</w:t>
      </w:r>
      <w:r w:rsidR="00AE440E">
        <w:rPr>
          <w:rFonts w:ascii="Segoe UI" w:hAnsi="Segoe UI" w:cs="Segoe UI"/>
          <w:color w:val="014171"/>
          <w:lang w:val="de-DE"/>
        </w:rPr>
        <w:t>ftsführer</w:t>
      </w:r>
      <w:r w:rsidRPr="0040745F">
        <w:rPr>
          <w:rFonts w:ascii="Segoe UI" w:hAnsi="Segoe UI" w:cs="Segoe UI"/>
          <w:color w:val="014171"/>
          <w:lang w:val="de-DE"/>
        </w:rPr>
        <w:t xml:space="preserve">) trägt die letztendliche Verantwortung für die Gesamtleitung der </w:t>
      </w:r>
      <w:r w:rsidR="00EC1917">
        <w:rPr>
          <w:rFonts w:ascii="Segoe UI" w:hAnsi="Segoe UI" w:cs="Segoe UI"/>
          <w:color w:val="014171"/>
          <w:lang w:val="de-DE"/>
        </w:rPr>
        <w:t>Gesellschaft</w:t>
      </w:r>
      <w:r w:rsidRPr="0040745F">
        <w:rPr>
          <w:rFonts w:ascii="Segoe UI" w:hAnsi="Segoe UI" w:cs="Segoe UI"/>
          <w:color w:val="014171"/>
          <w:lang w:val="de-DE"/>
        </w:rPr>
        <w:t xml:space="preserve"> in Übereinstimmung mit den von der Daiwa-Gruppe festgelegten Richtlinien.</w:t>
      </w:r>
    </w:p>
    <w:p w14:paraId="381E2BFF" w14:textId="77777777" w:rsidR="00BA1A84" w:rsidRPr="0040745F" w:rsidRDefault="00BA1A84" w:rsidP="00E27BB3">
      <w:pPr>
        <w:spacing w:after="0"/>
        <w:jc w:val="both"/>
        <w:rPr>
          <w:rFonts w:ascii="Segoe UI" w:hAnsi="Segoe UI" w:cs="Segoe UI"/>
          <w:color w:val="014171"/>
          <w:lang w:val="de-DE"/>
        </w:rPr>
      </w:pPr>
    </w:p>
    <w:p w14:paraId="7A709C65" w14:textId="05B0C4C8" w:rsidR="00636D57" w:rsidRPr="0040745F" w:rsidRDefault="00A82C36" w:rsidP="00E27BB3">
      <w:pPr>
        <w:spacing w:after="0"/>
        <w:jc w:val="both"/>
        <w:rPr>
          <w:rFonts w:ascii="Segoe UI" w:hAnsi="Segoe UI" w:cs="Segoe UI"/>
          <w:color w:val="014171"/>
          <w:lang w:val="de-DE"/>
        </w:rPr>
      </w:pPr>
      <w:r w:rsidRPr="0040745F">
        <w:rPr>
          <w:rFonts w:ascii="Segoe UI" w:hAnsi="Segoe UI" w:cs="Segoe UI"/>
          <w:color w:val="014171"/>
          <w:lang w:val="de-DE"/>
        </w:rPr>
        <w:t>Die Geschäftsführung ist zudem verantwortlich für die Festlegung und Überwachung der Wirk</w:t>
      </w:r>
      <w:r w:rsidR="00621E62">
        <w:rPr>
          <w:rFonts w:ascii="Segoe UI" w:hAnsi="Segoe UI" w:cs="Segoe UI"/>
          <w:color w:val="014171"/>
          <w:lang w:val="de-DE"/>
        </w:rPr>
        <w:t>samkeit des Rahmens für die Grun</w:t>
      </w:r>
      <w:r w:rsidRPr="0040745F">
        <w:rPr>
          <w:rFonts w:ascii="Segoe UI" w:hAnsi="Segoe UI" w:cs="Segoe UI"/>
          <w:color w:val="014171"/>
          <w:lang w:val="de-DE"/>
        </w:rPr>
        <w:t>dsätze der Unternehmensführung sowie der strategischen Ausrichtung und der Risik</w:t>
      </w:r>
      <w:r w:rsidR="008A7319" w:rsidRPr="0040745F">
        <w:rPr>
          <w:rFonts w:ascii="Segoe UI" w:hAnsi="Segoe UI" w:cs="Segoe UI"/>
          <w:color w:val="014171"/>
          <w:lang w:val="de-DE"/>
        </w:rPr>
        <w:t xml:space="preserve">obereitschaft der </w:t>
      </w:r>
      <w:r w:rsidR="003B699C">
        <w:rPr>
          <w:rFonts w:ascii="Segoe UI" w:hAnsi="Segoe UI" w:cs="Segoe UI"/>
          <w:color w:val="014171"/>
          <w:lang w:val="de-DE"/>
        </w:rPr>
        <w:t>Gesellschaft</w:t>
      </w:r>
      <w:r w:rsidR="008A7319" w:rsidRPr="0040745F">
        <w:rPr>
          <w:rFonts w:ascii="Segoe UI" w:hAnsi="Segoe UI" w:cs="Segoe UI"/>
          <w:color w:val="014171"/>
          <w:lang w:val="de-DE"/>
        </w:rPr>
        <w:t>.</w:t>
      </w:r>
    </w:p>
    <w:p w14:paraId="088CF780" w14:textId="77777777" w:rsidR="00636D57" w:rsidRPr="0040745F" w:rsidRDefault="00636D57" w:rsidP="00E27BB3">
      <w:pPr>
        <w:spacing w:after="0"/>
        <w:jc w:val="both"/>
        <w:rPr>
          <w:rFonts w:ascii="Segoe UI" w:hAnsi="Segoe UI" w:cs="Segoe UI"/>
          <w:color w:val="014171"/>
          <w:lang w:val="de-DE"/>
        </w:rPr>
      </w:pPr>
    </w:p>
    <w:p w14:paraId="0629387A" w14:textId="29C29676" w:rsidR="00807020" w:rsidRPr="0040745F" w:rsidRDefault="00636D57" w:rsidP="00E27BB3">
      <w:pPr>
        <w:spacing w:after="0"/>
        <w:jc w:val="both"/>
        <w:rPr>
          <w:rFonts w:ascii="Segoe UI" w:hAnsi="Segoe UI" w:cs="Segoe UI"/>
          <w:color w:val="014171"/>
          <w:lang w:val="de-DE"/>
        </w:rPr>
      </w:pPr>
      <w:r w:rsidRPr="0040745F">
        <w:rPr>
          <w:rFonts w:ascii="Segoe UI" w:hAnsi="Segoe UI" w:cs="Segoe UI"/>
          <w:color w:val="014171"/>
          <w:lang w:val="de-DE"/>
        </w:rPr>
        <w:t xml:space="preserve">In der Verantwortung der </w:t>
      </w:r>
      <w:r w:rsidR="00FA2765">
        <w:rPr>
          <w:rFonts w:ascii="Segoe UI" w:hAnsi="Segoe UI" w:cs="Segoe UI"/>
          <w:color w:val="014171"/>
          <w:lang w:val="de-DE"/>
        </w:rPr>
        <w:t>Geschäftsführung</w:t>
      </w:r>
      <w:r w:rsidRPr="0040745F">
        <w:rPr>
          <w:rFonts w:ascii="Segoe UI" w:hAnsi="Segoe UI" w:cs="Segoe UI"/>
          <w:color w:val="014171"/>
          <w:lang w:val="de-DE"/>
        </w:rPr>
        <w:t xml:space="preserve"> liegt:</w:t>
      </w:r>
    </w:p>
    <w:p w14:paraId="37108245" w14:textId="1C1DE194" w:rsidR="00D32520" w:rsidRPr="0040745F" w:rsidRDefault="00D32520" w:rsidP="00E27BB3">
      <w:pPr>
        <w:spacing w:after="0"/>
        <w:jc w:val="both"/>
        <w:rPr>
          <w:rFonts w:ascii="Segoe UI" w:hAnsi="Segoe UI" w:cs="Segoe UI"/>
          <w:color w:val="014171"/>
          <w:lang w:val="de-DE"/>
        </w:rPr>
      </w:pPr>
    </w:p>
    <w:p w14:paraId="0504BC1F" w14:textId="20F46D16" w:rsidR="006B00B0" w:rsidRPr="0040745F" w:rsidRDefault="00E774D6" w:rsidP="00E27BB3">
      <w:pPr>
        <w:pStyle w:val="ListParagraph"/>
        <w:numPr>
          <w:ilvl w:val="0"/>
          <w:numId w:val="73"/>
        </w:numPr>
        <w:spacing w:after="0"/>
        <w:jc w:val="both"/>
        <w:rPr>
          <w:rFonts w:ascii="Segoe UI" w:hAnsi="Segoe UI" w:cs="Segoe UI"/>
          <w:color w:val="014171"/>
          <w:lang w:val="de-DE"/>
        </w:rPr>
      </w:pPr>
      <w:r>
        <w:rPr>
          <w:rFonts w:ascii="Segoe UI" w:hAnsi="Segoe UI" w:cs="Segoe UI"/>
          <w:color w:val="014171"/>
          <w:lang w:val="de-DE"/>
        </w:rPr>
        <w:t>das Handeln i</w:t>
      </w:r>
      <w:r w:rsidR="007221F2" w:rsidRPr="0040745F">
        <w:rPr>
          <w:rFonts w:ascii="Segoe UI" w:hAnsi="Segoe UI" w:cs="Segoe UI"/>
          <w:color w:val="014171"/>
          <w:lang w:val="de-DE"/>
        </w:rPr>
        <w:t>n Übereinstimmung</w:t>
      </w:r>
      <w:r w:rsidR="00E54292">
        <w:rPr>
          <w:rFonts w:ascii="Segoe UI" w:hAnsi="Segoe UI" w:cs="Segoe UI"/>
          <w:color w:val="014171"/>
          <w:lang w:val="de-DE"/>
        </w:rPr>
        <w:t xml:space="preserve"> mit der Satzung der Gesellschaft</w:t>
      </w:r>
    </w:p>
    <w:p w14:paraId="21B1B6F2" w14:textId="6495AE8C" w:rsidR="006B00B0" w:rsidRPr="0040745F" w:rsidRDefault="007221F2" w:rsidP="00E27BB3">
      <w:pPr>
        <w:pStyle w:val="ListParagraph"/>
        <w:numPr>
          <w:ilvl w:val="0"/>
          <w:numId w:val="73"/>
        </w:numPr>
        <w:spacing w:after="0"/>
        <w:jc w:val="both"/>
        <w:rPr>
          <w:rFonts w:ascii="Segoe UI" w:hAnsi="Segoe UI" w:cs="Segoe UI"/>
          <w:color w:val="014171"/>
          <w:lang w:val="de-DE"/>
        </w:rPr>
      </w:pPr>
      <w:r w:rsidRPr="0040745F">
        <w:rPr>
          <w:rFonts w:ascii="Segoe UI" w:hAnsi="Segoe UI" w:cs="Segoe UI"/>
          <w:color w:val="014171"/>
          <w:lang w:val="de-DE"/>
        </w:rPr>
        <w:t>die Ausübung von Befugnissen nur für die Zwecke, für die sie übertragen wurden</w:t>
      </w:r>
    </w:p>
    <w:p w14:paraId="7C810884" w14:textId="65821C1E" w:rsidR="00CF78E4" w:rsidRPr="0040745F" w:rsidRDefault="00CF78E4" w:rsidP="00E27BB3">
      <w:pPr>
        <w:spacing w:after="0"/>
        <w:jc w:val="both"/>
        <w:rPr>
          <w:rFonts w:ascii="Segoe UI" w:hAnsi="Segoe UI" w:cs="Segoe UI"/>
          <w:color w:val="014171"/>
          <w:lang w:val="de-DE"/>
        </w:rPr>
      </w:pPr>
    </w:p>
    <w:p w14:paraId="0E2C7E3E" w14:textId="2A7D1667" w:rsidR="00C26D26" w:rsidRPr="0040745F" w:rsidRDefault="007221F2" w:rsidP="00E27BB3">
      <w:pPr>
        <w:spacing w:after="0"/>
        <w:jc w:val="both"/>
        <w:rPr>
          <w:rFonts w:ascii="Segoe UI" w:hAnsi="Segoe UI" w:cs="Segoe UI"/>
          <w:color w:val="014171"/>
          <w:lang w:val="de-DE"/>
        </w:rPr>
      </w:pPr>
      <w:r w:rsidRPr="0040745F">
        <w:rPr>
          <w:rFonts w:ascii="Segoe UI" w:hAnsi="Segoe UI" w:cs="Segoe UI"/>
          <w:color w:val="014171"/>
          <w:lang w:val="de-DE"/>
        </w:rPr>
        <w:t xml:space="preserve">Die Aufgabenverteilung ist im Geschäftsverteilerplan </w:t>
      </w:r>
      <w:r w:rsidR="00E774D6">
        <w:rPr>
          <w:rFonts w:ascii="Segoe UI" w:hAnsi="Segoe UI" w:cs="Segoe UI"/>
          <w:color w:val="014171"/>
          <w:lang w:val="de-DE"/>
        </w:rPr>
        <w:t>von</w:t>
      </w:r>
      <w:r w:rsidRPr="0040745F">
        <w:rPr>
          <w:rFonts w:ascii="Segoe UI" w:hAnsi="Segoe UI" w:cs="Segoe UI"/>
          <w:color w:val="014171"/>
          <w:lang w:val="de-DE"/>
        </w:rPr>
        <w:t xml:space="preserve"> DCMD geregelt. Um ihrer Verantwortung gerecht zu werden, haben die Geschäftsführer das Tagesgeschäft an die Geschäftsbereichsleiter, Bereichsleiter oder Führungskräfte innerhalb der </w:t>
      </w:r>
      <w:r w:rsidR="0047418F">
        <w:rPr>
          <w:rFonts w:ascii="Segoe UI" w:hAnsi="Segoe UI" w:cs="Segoe UI"/>
          <w:color w:val="014171"/>
          <w:lang w:val="de-DE"/>
        </w:rPr>
        <w:t>Gesellschaft</w:t>
      </w:r>
      <w:r w:rsidRPr="0040745F">
        <w:rPr>
          <w:rFonts w:ascii="Segoe UI" w:hAnsi="Segoe UI" w:cs="Segoe UI"/>
          <w:color w:val="014171"/>
          <w:lang w:val="de-DE"/>
        </w:rPr>
        <w:t xml:space="preserve"> delegiert. </w:t>
      </w:r>
      <w:r w:rsidR="00911BB0" w:rsidRPr="0040745F">
        <w:rPr>
          <w:rFonts w:ascii="Segoe UI" w:hAnsi="Segoe UI" w:cs="Segoe UI"/>
          <w:color w:val="014171"/>
          <w:lang w:val="de-DE"/>
        </w:rPr>
        <w:t>Die Zuordnung</w:t>
      </w:r>
      <w:r w:rsidR="00AE09B3" w:rsidRPr="0040745F">
        <w:rPr>
          <w:rFonts w:ascii="Segoe UI" w:hAnsi="Segoe UI" w:cs="Segoe UI"/>
          <w:color w:val="014171"/>
          <w:lang w:val="de-DE"/>
        </w:rPr>
        <w:t xml:space="preserve"> der Verantwortungsbereiche</w:t>
      </w:r>
      <w:r w:rsidR="00911BB0" w:rsidRPr="0040745F">
        <w:rPr>
          <w:rFonts w:ascii="Segoe UI" w:hAnsi="Segoe UI" w:cs="Segoe UI"/>
          <w:color w:val="014171"/>
          <w:lang w:val="de-DE"/>
        </w:rPr>
        <w:t xml:space="preserve"> und</w:t>
      </w:r>
      <w:r w:rsidR="00AE09B3" w:rsidRPr="0040745F">
        <w:rPr>
          <w:rFonts w:ascii="Segoe UI" w:hAnsi="Segoe UI" w:cs="Segoe UI"/>
          <w:color w:val="014171"/>
          <w:lang w:val="de-DE"/>
        </w:rPr>
        <w:t xml:space="preserve"> die</w:t>
      </w:r>
      <w:r w:rsidR="00911BB0" w:rsidRPr="0040745F">
        <w:rPr>
          <w:rFonts w:ascii="Segoe UI" w:hAnsi="Segoe UI" w:cs="Segoe UI"/>
          <w:color w:val="014171"/>
          <w:lang w:val="de-DE"/>
        </w:rPr>
        <w:t xml:space="preserve"> Funktionstrennung</w:t>
      </w:r>
      <w:r w:rsidR="00AE09B3" w:rsidRPr="0040745F">
        <w:rPr>
          <w:rFonts w:ascii="Segoe UI" w:hAnsi="Segoe UI" w:cs="Segoe UI"/>
          <w:color w:val="014171"/>
          <w:lang w:val="de-DE"/>
        </w:rPr>
        <w:t xml:space="preserve"> zwischen den </w:t>
      </w:r>
      <w:r w:rsidR="00621E62" w:rsidRPr="0040745F">
        <w:rPr>
          <w:rFonts w:ascii="Segoe UI" w:hAnsi="Segoe UI" w:cs="Segoe UI"/>
          <w:color w:val="014171"/>
          <w:lang w:val="de-DE"/>
        </w:rPr>
        <w:t>einzelnen</w:t>
      </w:r>
      <w:r w:rsidR="00AE09B3" w:rsidRPr="0040745F">
        <w:rPr>
          <w:rFonts w:ascii="Segoe UI" w:hAnsi="Segoe UI" w:cs="Segoe UI"/>
          <w:color w:val="014171"/>
          <w:lang w:val="de-DE"/>
        </w:rPr>
        <w:t xml:space="preserve"> Funktionen wird im</w:t>
      </w:r>
      <w:r w:rsidR="00911BB0" w:rsidRPr="0040745F">
        <w:rPr>
          <w:rFonts w:ascii="Segoe UI" w:hAnsi="Segoe UI" w:cs="Segoe UI"/>
          <w:color w:val="014171"/>
          <w:lang w:val="de-DE"/>
        </w:rPr>
        <w:t xml:space="preserve"> Organisationshandb</w:t>
      </w:r>
      <w:r w:rsidR="00AE09B3" w:rsidRPr="0040745F">
        <w:rPr>
          <w:rFonts w:ascii="Segoe UI" w:hAnsi="Segoe UI" w:cs="Segoe UI"/>
          <w:color w:val="014171"/>
          <w:lang w:val="de-DE"/>
        </w:rPr>
        <w:t xml:space="preserve">uch der </w:t>
      </w:r>
      <w:r w:rsidR="0047418F">
        <w:rPr>
          <w:rFonts w:ascii="Segoe UI" w:hAnsi="Segoe UI" w:cs="Segoe UI"/>
          <w:color w:val="014171"/>
          <w:lang w:val="de-DE"/>
        </w:rPr>
        <w:t>Gesellschaft</w:t>
      </w:r>
      <w:r w:rsidR="00AE09B3" w:rsidRPr="0040745F">
        <w:rPr>
          <w:rFonts w:ascii="Segoe UI" w:hAnsi="Segoe UI" w:cs="Segoe UI"/>
          <w:color w:val="014171"/>
          <w:lang w:val="de-DE"/>
        </w:rPr>
        <w:t xml:space="preserve"> dokumentiert und geht bis auf die Ebene der Geschäftsführung</w:t>
      </w:r>
      <w:r w:rsidR="00911BB0" w:rsidRPr="0040745F">
        <w:rPr>
          <w:rFonts w:ascii="Segoe UI" w:hAnsi="Segoe UI" w:cs="Segoe UI"/>
          <w:color w:val="014171"/>
          <w:lang w:val="de-DE"/>
        </w:rPr>
        <w:t>.</w:t>
      </w:r>
      <w:r w:rsidR="00AE09B3" w:rsidRPr="0040745F">
        <w:rPr>
          <w:rFonts w:ascii="Segoe UI" w:hAnsi="Segoe UI" w:cs="Segoe UI"/>
          <w:color w:val="014171"/>
          <w:lang w:val="de-DE"/>
        </w:rPr>
        <w:t xml:space="preserve"> Die Geschäftsführer von DCMD nehmen</w:t>
      </w:r>
      <w:r w:rsidR="00911BB0" w:rsidRPr="0040745F">
        <w:rPr>
          <w:rFonts w:ascii="Segoe UI" w:hAnsi="Segoe UI" w:cs="Segoe UI"/>
          <w:color w:val="014171"/>
          <w:lang w:val="de-DE"/>
        </w:rPr>
        <w:t xml:space="preserve"> neben ihrer Funktion als Geschäftsführer keine we</w:t>
      </w:r>
      <w:r w:rsidR="00AE09B3" w:rsidRPr="0040745F">
        <w:rPr>
          <w:rFonts w:ascii="Segoe UI" w:hAnsi="Segoe UI" w:cs="Segoe UI"/>
          <w:color w:val="014171"/>
          <w:lang w:val="de-DE"/>
        </w:rPr>
        <w:t>iteren Funktionen in Aufsichtsräten oder sonstigen Gremien wahr</w:t>
      </w:r>
      <w:r w:rsidR="00911BB0" w:rsidRPr="0040745F">
        <w:rPr>
          <w:rFonts w:ascii="Segoe UI" w:hAnsi="Segoe UI" w:cs="Segoe UI"/>
          <w:color w:val="014171"/>
          <w:lang w:val="de-DE"/>
        </w:rPr>
        <w:t>.</w:t>
      </w:r>
      <w:r w:rsidR="00AE09B3" w:rsidRPr="0040745F">
        <w:rPr>
          <w:rFonts w:ascii="Segoe UI" w:hAnsi="Segoe UI" w:cs="Segoe UI"/>
          <w:color w:val="014171"/>
          <w:lang w:val="de-DE"/>
        </w:rPr>
        <w:t xml:space="preserve"> Aufgrund</w:t>
      </w:r>
      <w:r w:rsidR="008318C9" w:rsidRPr="0040745F">
        <w:rPr>
          <w:rFonts w:ascii="Segoe UI" w:hAnsi="Segoe UI" w:cs="Segoe UI"/>
          <w:color w:val="014171"/>
          <w:lang w:val="de-DE"/>
        </w:rPr>
        <w:t xml:space="preserve"> der Größe und der Aufstellung von DCMD wird als Element der Diversitätsstrategie</w:t>
      </w:r>
      <w:r w:rsidR="00AE09B3" w:rsidRPr="0040745F">
        <w:rPr>
          <w:rFonts w:ascii="Segoe UI" w:hAnsi="Segoe UI" w:cs="Segoe UI"/>
          <w:color w:val="014171"/>
          <w:lang w:val="de-DE"/>
        </w:rPr>
        <w:t xml:space="preserve"> derzeit nur</w:t>
      </w:r>
      <w:r w:rsidR="008318C9" w:rsidRPr="0040745F">
        <w:rPr>
          <w:rFonts w:ascii="Segoe UI" w:hAnsi="Segoe UI" w:cs="Segoe UI"/>
          <w:color w:val="014171"/>
          <w:lang w:val="de-DE"/>
        </w:rPr>
        <w:t xml:space="preserve"> die Forderung nach einer unterschiedlichen Nationalität innerhalb der Geschäftsführung umgesetzt.</w:t>
      </w:r>
    </w:p>
    <w:p w14:paraId="5877502F" w14:textId="6B4C3C01" w:rsidR="00373788" w:rsidRPr="0040745F" w:rsidRDefault="00373788" w:rsidP="00E27BB3">
      <w:pPr>
        <w:spacing w:after="0"/>
        <w:jc w:val="both"/>
        <w:rPr>
          <w:rFonts w:ascii="Segoe UI" w:hAnsi="Segoe UI" w:cs="Segoe UI"/>
          <w:color w:val="014171"/>
          <w:lang w:val="de-DE"/>
        </w:rPr>
      </w:pPr>
    </w:p>
    <w:p w14:paraId="17ED5FA5" w14:textId="7C8B7A0B" w:rsidR="002F55B5" w:rsidRPr="0040745F" w:rsidRDefault="0075439E" w:rsidP="00E27BB3">
      <w:pPr>
        <w:pStyle w:val="Heading3"/>
        <w:rPr>
          <w:lang w:val="de-DE"/>
        </w:rPr>
      </w:pPr>
      <w:r w:rsidRPr="0040745F">
        <w:rPr>
          <w:lang w:val="de-DE"/>
        </w:rPr>
        <w:t>Ausschüsse</w:t>
      </w:r>
    </w:p>
    <w:p w14:paraId="7D0CDB83" w14:textId="6D2922D1" w:rsidR="002F55B5" w:rsidRPr="0040745F" w:rsidRDefault="00EF399B" w:rsidP="002F55B5">
      <w:pPr>
        <w:spacing w:after="0"/>
        <w:jc w:val="both"/>
        <w:rPr>
          <w:rFonts w:ascii="Segoe UI" w:hAnsi="Segoe UI" w:cs="Segoe UI"/>
          <w:color w:val="014171"/>
          <w:lang w:val="de-DE"/>
        </w:rPr>
      </w:pPr>
      <w:r>
        <w:rPr>
          <w:rFonts w:ascii="Segoe UI" w:hAnsi="Segoe UI" w:cs="Segoe UI"/>
          <w:color w:val="014171"/>
          <w:lang w:val="de-DE"/>
        </w:rPr>
        <w:t>Die Geschäftsführung</w:t>
      </w:r>
      <w:r w:rsidR="00D85556" w:rsidRPr="0040745F">
        <w:rPr>
          <w:rFonts w:ascii="Segoe UI" w:hAnsi="Segoe UI" w:cs="Segoe UI"/>
          <w:color w:val="014171"/>
          <w:lang w:val="de-DE"/>
        </w:rPr>
        <w:t xml:space="preserve"> von DCMD hat mehrere</w:t>
      </w:r>
      <w:r w:rsidR="00914BD6" w:rsidRPr="0040745F">
        <w:rPr>
          <w:rFonts w:ascii="Segoe UI" w:hAnsi="Segoe UI" w:cs="Segoe UI"/>
          <w:color w:val="014171"/>
          <w:lang w:val="de-DE"/>
        </w:rPr>
        <w:t xml:space="preserve"> Ausschüsse </w:t>
      </w:r>
      <w:r>
        <w:rPr>
          <w:rFonts w:ascii="Segoe UI" w:hAnsi="Segoe UI" w:cs="Segoe UI"/>
          <w:color w:val="014171"/>
          <w:lang w:val="de-DE"/>
        </w:rPr>
        <w:t xml:space="preserve">(Komitees) </w:t>
      </w:r>
      <w:r w:rsidR="00914BD6" w:rsidRPr="0040745F">
        <w:rPr>
          <w:rFonts w:ascii="Segoe UI" w:hAnsi="Segoe UI" w:cs="Segoe UI"/>
          <w:color w:val="014171"/>
          <w:lang w:val="de-DE"/>
        </w:rPr>
        <w:t>eingerichtet, die</w:t>
      </w:r>
      <w:r w:rsidR="00D85556" w:rsidRPr="0040745F">
        <w:rPr>
          <w:rFonts w:ascii="Segoe UI" w:hAnsi="Segoe UI" w:cs="Segoe UI"/>
          <w:color w:val="014171"/>
          <w:lang w:val="de-DE"/>
        </w:rPr>
        <w:t xml:space="preserve"> bei der d</w:t>
      </w:r>
      <w:r w:rsidR="00914BD6" w:rsidRPr="0040745F">
        <w:rPr>
          <w:rFonts w:ascii="Segoe UI" w:hAnsi="Segoe UI" w:cs="Segoe UI"/>
          <w:color w:val="014171"/>
          <w:lang w:val="de-DE"/>
        </w:rPr>
        <w:t>etaillierten Überprüfung und Einschätzung</w:t>
      </w:r>
      <w:r w:rsidR="00D85556" w:rsidRPr="0040745F">
        <w:rPr>
          <w:rFonts w:ascii="Segoe UI" w:hAnsi="Segoe UI" w:cs="Segoe UI"/>
          <w:color w:val="014171"/>
          <w:lang w:val="de-DE"/>
        </w:rPr>
        <w:t xml:space="preserve"> v</w:t>
      </w:r>
      <w:r w:rsidR="00914BD6" w:rsidRPr="0040745F">
        <w:rPr>
          <w:rFonts w:ascii="Segoe UI" w:hAnsi="Segoe UI" w:cs="Segoe UI"/>
          <w:color w:val="014171"/>
          <w:lang w:val="de-DE"/>
        </w:rPr>
        <w:t>on Schlüsselthemen unterstützen. Die Unterstützung beinhaltet die</w:t>
      </w:r>
      <w:r w:rsidR="00D85556" w:rsidRPr="0040745F">
        <w:rPr>
          <w:rFonts w:ascii="Segoe UI" w:hAnsi="Segoe UI" w:cs="Segoe UI"/>
          <w:color w:val="014171"/>
          <w:lang w:val="de-DE"/>
        </w:rPr>
        <w:t xml:space="preserve"> Überwachung von Risiko-</w:t>
      </w:r>
      <w:r w:rsidR="00914BD6" w:rsidRPr="0040745F">
        <w:rPr>
          <w:rFonts w:ascii="Segoe UI" w:hAnsi="Segoe UI" w:cs="Segoe UI"/>
          <w:color w:val="014171"/>
          <w:lang w:val="de-DE"/>
        </w:rPr>
        <w:t xml:space="preserve"> und Regulierungsthemen</w:t>
      </w:r>
      <w:r w:rsidR="00D85556" w:rsidRPr="0040745F">
        <w:rPr>
          <w:rFonts w:ascii="Segoe UI" w:hAnsi="Segoe UI" w:cs="Segoe UI"/>
          <w:color w:val="014171"/>
          <w:lang w:val="de-DE"/>
        </w:rPr>
        <w:t xml:space="preserve">, </w:t>
      </w:r>
      <w:r w:rsidR="00914BD6" w:rsidRPr="0040745F">
        <w:rPr>
          <w:rFonts w:ascii="Segoe UI" w:hAnsi="Segoe UI" w:cs="Segoe UI"/>
          <w:color w:val="014171"/>
          <w:lang w:val="de-DE"/>
        </w:rPr>
        <w:t xml:space="preserve">die Überprüfung der </w:t>
      </w:r>
      <w:r w:rsidR="00D85556" w:rsidRPr="0040745F">
        <w:rPr>
          <w:rFonts w:ascii="Segoe UI" w:hAnsi="Segoe UI" w:cs="Segoe UI"/>
          <w:color w:val="014171"/>
          <w:lang w:val="de-DE"/>
        </w:rPr>
        <w:t xml:space="preserve">Angemessenheit der finanziellen und internen Kontrollen sowie </w:t>
      </w:r>
      <w:r w:rsidR="00914BD6" w:rsidRPr="0040745F">
        <w:rPr>
          <w:rFonts w:ascii="Segoe UI" w:hAnsi="Segoe UI" w:cs="Segoe UI"/>
          <w:color w:val="014171"/>
          <w:lang w:val="de-DE"/>
        </w:rPr>
        <w:t xml:space="preserve">Unterstützung in </w:t>
      </w:r>
      <w:r w:rsidR="00D85556" w:rsidRPr="0040745F">
        <w:rPr>
          <w:rFonts w:ascii="Segoe UI" w:hAnsi="Segoe UI" w:cs="Segoe UI"/>
          <w:color w:val="014171"/>
          <w:lang w:val="de-DE"/>
        </w:rPr>
        <w:t>Verhaltens-, Kultur- und Reputationsangelegenheiten.</w:t>
      </w:r>
    </w:p>
    <w:p w14:paraId="714E2B9F" w14:textId="77777777" w:rsidR="002F55B5" w:rsidRPr="0040745F" w:rsidRDefault="002F55B5" w:rsidP="002F55B5">
      <w:pPr>
        <w:spacing w:after="0"/>
        <w:jc w:val="both"/>
        <w:rPr>
          <w:rFonts w:ascii="Segoe UI" w:hAnsi="Segoe UI" w:cs="Segoe UI"/>
          <w:color w:val="014171"/>
          <w:lang w:val="de-DE"/>
        </w:rPr>
      </w:pPr>
    </w:p>
    <w:p w14:paraId="2E868ACC" w14:textId="722C1228" w:rsidR="002F55B5" w:rsidRPr="0040745F" w:rsidRDefault="00914BD6" w:rsidP="00E27BB3">
      <w:pPr>
        <w:spacing w:after="0"/>
        <w:jc w:val="both"/>
        <w:rPr>
          <w:rFonts w:ascii="Segoe UI" w:hAnsi="Segoe UI" w:cs="Segoe UI"/>
          <w:color w:val="014171"/>
          <w:lang w:val="de-DE"/>
        </w:rPr>
      </w:pPr>
      <w:r w:rsidRPr="0040745F">
        <w:rPr>
          <w:rFonts w:ascii="Segoe UI" w:hAnsi="Segoe UI" w:cs="Segoe UI"/>
          <w:color w:val="014171"/>
          <w:lang w:val="de-DE"/>
        </w:rPr>
        <w:t xml:space="preserve">Jeder Ausschuss unterliegt seinen eigenen Geschäftsordnungen, die regelmäßig überprüft werden und </w:t>
      </w:r>
      <w:r w:rsidR="0075439E" w:rsidRPr="0040745F">
        <w:rPr>
          <w:rFonts w:ascii="Segoe UI" w:hAnsi="Segoe UI" w:cs="Segoe UI"/>
          <w:color w:val="014171"/>
          <w:lang w:val="de-DE"/>
        </w:rPr>
        <w:t xml:space="preserve">damit auch </w:t>
      </w:r>
      <w:r w:rsidRPr="0040745F">
        <w:rPr>
          <w:rFonts w:ascii="Segoe UI" w:hAnsi="Segoe UI" w:cs="Segoe UI"/>
          <w:color w:val="014171"/>
          <w:lang w:val="de-DE"/>
        </w:rPr>
        <w:t xml:space="preserve">die einzelnen Verantwortlichkeiten des Ausschusses festlegen. Aktionspunkte werden festgelegt und nachverfolgt, und es werden formelle Protokolle erstellt, </w:t>
      </w:r>
      <w:r w:rsidRPr="0040745F">
        <w:rPr>
          <w:rFonts w:ascii="Segoe UI" w:hAnsi="Segoe UI" w:cs="Segoe UI"/>
          <w:color w:val="014171"/>
          <w:lang w:val="de-DE"/>
        </w:rPr>
        <w:lastRenderedPageBreak/>
        <w:t>in denen Di</w:t>
      </w:r>
      <w:r w:rsidR="008E0437" w:rsidRPr="0040745F">
        <w:rPr>
          <w:rFonts w:ascii="Segoe UI" w:hAnsi="Segoe UI" w:cs="Segoe UI"/>
          <w:color w:val="014171"/>
          <w:lang w:val="de-DE"/>
        </w:rPr>
        <w:t>skussionen, Anforderungen und Aufgaben</w:t>
      </w:r>
      <w:r w:rsidRPr="0040745F">
        <w:rPr>
          <w:rFonts w:ascii="Segoe UI" w:hAnsi="Segoe UI" w:cs="Segoe UI"/>
          <w:color w:val="014171"/>
          <w:lang w:val="de-DE"/>
        </w:rPr>
        <w:t xml:space="preserve"> während der Sitzungen dokumentiert werden.</w:t>
      </w:r>
    </w:p>
    <w:p w14:paraId="58A9F669" w14:textId="77777777" w:rsidR="002F1B92" w:rsidRPr="0040745F" w:rsidRDefault="002F1B92" w:rsidP="00E27BB3">
      <w:pPr>
        <w:spacing w:after="0"/>
        <w:jc w:val="both"/>
        <w:rPr>
          <w:rFonts w:ascii="Segoe UI" w:hAnsi="Segoe UI" w:cs="Segoe UI"/>
          <w:color w:val="014171"/>
          <w:lang w:val="de-DE"/>
        </w:rPr>
      </w:pPr>
    </w:p>
    <w:p w14:paraId="5A428447" w14:textId="069B2F50" w:rsidR="00807020" w:rsidRPr="00EF399B" w:rsidRDefault="00F442FE" w:rsidP="00E27BB3">
      <w:pPr>
        <w:spacing w:after="0"/>
        <w:jc w:val="both"/>
        <w:rPr>
          <w:rFonts w:ascii="Segoe UI" w:hAnsi="Segoe UI" w:cs="Segoe UI"/>
          <w:color w:val="014171"/>
          <w:lang w:val="de-DE"/>
        </w:rPr>
      </w:pPr>
      <w:r w:rsidRPr="00EF399B">
        <w:rPr>
          <w:rFonts w:ascii="Segoe UI" w:hAnsi="Segoe UI" w:cs="Segoe UI"/>
          <w:color w:val="014171"/>
          <w:lang w:val="de-DE"/>
        </w:rPr>
        <w:t>DCMDs</w:t>
      </w:r>
      <w:r w:rsidR="00E437A3" w:rsidRPr="00EF399B">
        <w:rPr>
          <w:rFonts w:ascii="Segoe UI" w:hAnsi="Segoe UI" w:cs="Segoe UI"/>
          <w:color w:val="014171"/>
          <w:lang w:val="de-DE"/>
        </w:rPr>
        <w:t xml:space="preserve"> </w:t>
      </w:r>
      <w:r w:rsidR="00E437A3" w:rsidRPr="00EF399B">
        <w:rPr>
          <w:rFonts w:ascii="Segoe UI" w:hAnsi="Segoe UI" w:cs="Segoe UI"/>
          <w:b/>
          <w:color w:val="014171"/>
          <w:lang w:val="de-DE"/>
        </w:rPr>
        <w:t>E</w:t>
      </w:r>
      <w:r w:rsidR="00EF399B" w:rsidRPr="00EF399B">
        <w:rPr>
          <w:rFonts w:ascii="Segoe UI" w:hAnsi="Segoe UI" w:cs="Segoe UI"/>
          <w:b/>
          <w:color w:val="014171"/>
          <w:lang w:val="de-DE"/>
        </w:rPr>
        <w:t>xek</w:t>
      </w:r>
      <w:r w:rsidR="00E437A3" w:rsidRPr="00EF399B">
        <w:rPr>
          <w:rFonts w:ascii="Segoe UI" w:hAnsi="Segoe UI" w:cs="Segoe UI"/>
          <w:b/>
          <w:color w:val="014171"/>
          <w:lang w:val="de-DE"/>
        </w:rPr>
        <w:t xml:space="preserve">utiv </w:t>
      </w:r>
      <w:r w:rsidR="00EF399B" w:rsidRPr="00EF399B">
        <w:rPr>
          <w:rFonts w:ascii="Segoe UI" w:hAnsi="Segoe UI" w:cs="Segoe UI"/>
          <w:b/>
          <w:color w:val="014171"/>
          <w:lang w:val="de-DE"/>
        </w:rPr>
        <w:t>K</w:t>
      </w:r>
      <w:r w:rsidR="00E437A3" w:rsidRPr="00EF399B">
        <w:rPr>
          <w:rFonts w:ascii="Segoe UI" w:hAnsi="Segoe UI" w:cs="Segoe UI"/>
          <w:b/>
          <w:color w:val="014171"/>
          <w:lang w:val="de-DE"/>
        </w:rPr>
        <w:t>omitee</w:t>
      </w:r>
      <w:r w:rsidR="00E437A3" w:rsidRPr="00EF399B">
        <w:rPr>
          <w:rFonts w:ascii="Segoe UI" w:hAnsi="Segoe UI" w:cs="Segoe UI"/>
          <w:color w:val="014171"/>
          <w:lang w:val="de-DE"/>
        </w:rPr>
        <w:t xml:space="preserve"> („Ex</w:t>
      </w:r>
      <w:r w:rsidR="00EF399B" w:rsidRPr="00EF399B">
        <w:rPr>
          <w:rFonts w:ascii="Segoe UI" w:hAnsi="Segoe UI" w:cs="Segoe UI"/>
          <w:color w:val="014171"/>
          <w:lang w:val="de-DE"/>
        </w:rPr>
        <w:t>K</w:t>
      </w:r>
      <w:r w:rsidR="00E437A3" w:rsidRPr="00EF399B">
        <w:rPr>
          <w:rFonts w:ascii="Segoe UI" w:hAnsi="Segoe UI" w:cs="Segoe UI"/>
          <w:color w:val="014171"/>
          <w:lang w:val="de-DE"/>
        </w:rPr>
        <w:t>o“</w:t>
      </w:r>
      <w:r w:rsidR="00200E32" w:rsidRPr="00EF399B">
        <w:rPr>
          <w:rFonts w:ascii="Segoe UI" w:hAnsi="Segoe UI" w:cs="Segoe UI"/>
          <w:color w:val="014171"/>
          <w:lang w:val="de-DE"/>
        </w:rPr>
        <w:t xml:space="preserve">) fungiert als Management </w:t>
      </w:r>
      <w:r w:rsidR="0081202A" w:rsidRPr="00EF399B">
        <w:rPr>
          <w:rFonts w:ascii="Segoe UI" w:hAnsi="Segoe UI" w:cs="Segoe UI"/>
          <w:color w:val="014171"/>
          <w:lang w:val="de-DE"/>
        </w:rPr>
        <w:t>Komitee</w:t>
      </w:r>
      <w:r w:rsidR="00200E32" w:rsidRPr="00EF399B">
        <w:rPr>
          <w:rFonts w:ascii="Segoe UI" w:hAnsi="Segoe UI" w:cs="Segoe UI"/>
          <w:color w:val="014171"/>
          <w:lang w:val="de-DE"/>
        </w:rPr>
        <w:t xml:space="preserve"> mit der primären Aufgabe,</w:t>
      </w:r>
      <w:r w:rsidR="00E437A3" w:rsidRPr="00EF399B">
        <w:rPr>
          <w:rFonts w:ascii="Segoe UI" w:hAnsi="Segoe UI" w:cs="Segoe UI"/>
          <w:color w:val="014171"/>
          <w:lang w:val="de-DE"/>
        </w:rPr>
        <w:t xml:space="preserve"> d</w:t>
      </w:r>
      <w:r w:rsidR="00EF399B" w:rsidRPr="00EF399B">
        <w:rPr>
          <w:rFonts w:ascii="Segoe UI" w:hAnsi="Segoe UI" w:cs="Segoe UI"/>
          <w:color w:val="014171"/>
          <w:lang w:val="de-DE"/>
        </w:rPr>
        <w:t>ie Geschäftsführung</w:t>
      </w:r>
      <w:r w:rsidR="00E437A3" w:rsidRPr="00EF399B">
        <w:rPr>
          <w:rFonts w:ascii="Segoe UI" w:hAnsi="Segoe UI" w:cs="Segoe UI"/>
          <w:color w:val="014171"/>
          <w:lang w:val="de-DE"/>
        </w:rPr>
        <w:t xml:space="preserve"> von DCMD bei der Aufgabe zu unterstützen, die wichtigsten Geschäftsbereiche im Zusammenhang mit </w:t>
      </w:r>
      <w:r w:rsidR="00200E32" w:rsidRPr="00EF399B">
        <w:rPr>
          <w:rFonts w:ascii="Segoe UI" w:hAnsi="Segoe UI" w:cs="Segoe UI"/>
          <w:color w:val="014171"/>
          <w:lang w:val="de-DE"/>
        </w:rPr>
        <w:t xml:space="preserve">den </w:t>
      </w:r>
      <w:r w:rsidR="00E437A3" w:rsidRPr="00EF399B">
        <w:rPr>
          <w:rFonts w:ascii="Segoe UI" w:hAnsi="Segoe UI" w:cs="Segoe UI"/>
          <w:color w:val="014171"/>
          <w:lang w:val="de-DE"/>
        </w:rPr>
        <w:t>genehmigten Budgets und Geschäftsplänen kontinuierlich zu beaufsichtigen</w:t>
      </w:r>
      <w:r w:rsidR="00EF399B" w:rsidRPr="00EF399B">
        <w:rPr>
          <w:rFonts w:ascii="Segoe UI" w:hAnsi="Segoe UI" w:cs="Segoe UI"/>
          <w:color w:val="014171"/>
          <w:lang w:val="de-DE"/>
        </w:rPr>
        <w:t xml:space="preserve"> und weiter zu entwickeln</w:t>
      </w:r>
      <w:r w:rsidR="00E437A3" w:rsidRPr="00EF399B">
        <w:rPr>
          <w:rFonts w:ascii="Segoe UI" w:hAnsi="Segoe UI" w:cs="Segoe UI"/>
          <w:color w:val="014171"/>
          <w:lang w:val="de-DE"/>
        </w:rPr>
        <w:t>.</w:t>
      </w:r>
    </w:p>
    <w:p w14:paraId="25A048F2" w14:textId="77777777" w:rsidR="00807020" w:rsidRPr="00EF399B" w:rsidRDefault="00807020" w:rsidP="00E27BB3">
      <w:pPr>
        <w:spacing w:after="0"/>
        <w:jc w:val="both"/>
        <w:rPr>
          <w:rFonts w:ascii="Segoe UI" w:hAnsi="Segoe UI" w:cs="Segoe UI"/>
          <w:color w:val="014171"/>
          <w:lang w:val="de-DE"/>
        </w:rPr>
      </w:pPr>
    </w:p>
    <w:p w14:paraId="389FA4E7" w14:textId="0E7BEE22" w:rsidR="008A6B7E" w:rsidRPr="0040745F" w:rsidRDefault="002F0A90" w:rsidP="00E27BB3">
      <w:pPr>
        <w:spacing w:after="0"/>
        <w:jc w:val="both"/>
        <w:rPr>
          <w:rFonts w:ascii="Segoe UI" w:hAnsi="Segoe UI" w:cs="Segoe UI"/>
          <w:color w:val="014171"/>
          <w:lang w:val="de-DE"/>
        </w:rPr>
      </w:pPr>
      <w:r w:rsidRPr="00EF399B">
        <w:rPr>
          <w:rFonts w:ascii="Segoe UI" w:hAnsi="Segoe UI" w:cs="Segoe UI"/>
          <w:color w:val="014171"/>
          <w:lang w:val="de-DE"/>
        </w:rPr>
        <w:t xml:space="preserve">Das </w:t>
      </w:r>
      <w:r w:rsidRPr="00EF399B">
        <w:rPr>
          <w:rFonts w:ascii="Segoe UI" w:hAnsi="Segoe UI" w:cs="Segoe UI"/>
          <w:b/>
          <w:color w:val="014171"/>
          <w:lang w:val="de-DE"/>
        </w:rPr>
        <w:t>Ris</w:t>
      </w:r>
      <w:r w:rsidR="00EF399B" w:rsidRPr="00EF399B">
        <w:rPr>
          <w:rFonts w:ascii="Segoe UI" w:hAnsi="Segoe UI" w:cs="Segoe UI"/>
          <w:b/>
          <w:color w:val="014171"/>
          <w:lang w:val="de-DE"/>
        </w:rPr>
        <w:t>i</w:t>
      </w:r>
      <w:r w:rsidRPr="00EF399B">
        <w:rPr>
          <w:rFonts w:ascii="Segoe UI" w:hAnsi="Segoe UI" w:cs="Segoe UI"/>
          <w:b/>
          <w:color w:val="014171"/>
          <w:lang w:val="de-DE"/>
        </w:rPr>
        <w:t>k</w:t>
      </w:r>
      <w:r w:rsidR="00EF399B" w:rsidRPr="00EF399B">
        <w:rPr>
          <w:rFonts w:ascii="Segoe UI" w:hAnsi="Segoe UI" w:cs="Segoe UI"/>
          <w:b/>
          <w:color w:val="014171"/>
          <w:lang w:val="de-DE"/>
        </w:rPr>
        <w:t>o</w:t>
      </w:r>
      <w:r w:rsidRPr="00EF399B">
        <w:rPr>
          <w:rFonts w:ascii="Segoe UI" w:hAnsi="Segoe UI" w:cs="Segoe UI"/>
          <w:b/>
          <w:color w:val="014171"/>
          <w:lang w:val="de-DE"/>
        </w:rPr>
        <w:t xml:space="preserve"> </w:t>
      </w:r>
      <w:r w:rsidR="00EF399B" w:rsidRPr="00EF399B">
        <w:rPr>
          <w:rFonts w:ascii="Segoe UI" w:hAnsi="Segoe UI" w:cs="Segoe UI"/>
          <w:b/>
          <w:color w:val="014171"/>
          <w:lang w:val="de-DE"/>
        </w:rPr>
        <w:t>K</w:t>
      </w:r>
      <w:r w:rsidRPr="00EF399B">
        <w:rPr>
          <w:rFonts w:ascii="Segoe UI" w:hAnsi="Segoe UI" w:cs="Segoe UI"/>
          <w:b/>
          <w:color w:val="014171"/>
          <w:lang w:val="de-DE"/>
        </w:rPr>
        <w:t>omitee</w:t>
      </w:r>
      <w:r w:rsidR="00EF399B" w:rsidRPr="00EF399B">
        <w:rPr>
          <w:rFonts w:ascii="Segoe UI" w:hAnsi="Segoe UI" w:cs="Segoe UI"/>
          <w:color w:val="014171"/>
          <w:lang w:val="de-DE"/>
        </w:rPr>
        <w:t xml:space="preserve"> („RiK</w:t>
      </w:r>
      <w:r w:rsidRPr="00EF399B">
        <w:rPr>
          <w:rFonts w:ascii="Segoe UI" w:hAnsi="Segoe UI" w:cs="Segoe UI"/>
          <w:color w:val="014171"/>
          <w:lang w:val="de-DE"/>
        </w:rPr>
        <w:t>o“) von DCMD verwaltet den strukturellen und geschäftlichen Risikorahmen von DCMD für die Bewertung und Zuweisung finanzieller Ressourcen im Einklang mit der vereinbarten Strategie, den Geschäftsplänen und der Risikobereitschaf</w:t>
      </w:r>
      <w:r w:rsidR="0047418F" w:rsidRPr="00EF399B">
        <w:rPr>
          <w:rFonts w:ascii="Segoe UI" w:hAnsi="Segoe UI" w:cs="Segoe UI"/>
          <w:color w:val="014171"/>
          <w:lang w:val="de-DE"/>
        </w:rPr>
        <w:t>t der</w:t>
      </w:r>
      <w:r w:rsidR="00A01F50" w:rsidRPr="00EF399B">
        <w:rPr>
          <w:rFonts w:ascii="Segoe UI" w:hAnsi="Segoe UI" w:cs="Segoe UI"/>
          <w:color w:val="014171"/>
          <w:lang w:val="de-DE"/>
        </w:rPr>
        <w:t xml:space="preserve"> </w:t>
      </w:r>
      <w:r w:rsidR="0047418F" w:rsidRPr="00EF399B">
        <w:rPr>
          <w:rFonts w:ascii="Segoe UI" w:hAnsi="Segoe UI" w:cs="Segoe UI"/>
          <w:color w:val="014171"/>
          <w:lang w:val="de-DE"/>
        </w:rPr>
        <w:t>Gesellschaft</w:t>
      </w:r>
      <w:r w:rsidRPr="00EF399B">
        <w:rPr>
          <w:rFonts w:ascii="Segoe UI" w:hAnsi="Segoe UI" w:cs="Segoe UI"/>
          <w:color w:val="014171"/>
          <w:lang w:val="de-DE"/>
        </w:rPr>
        <w:t>.</w:t>
      </w:r>
    </w:p>
    <w:p w14:paraId="384093A4" w14:textId="77777777" w:rsidR="00BA1A84" w:rsidRPr="0040745F" w:rsidRDefault="00BA1A84" w:rsidP="00E27BB3">
      <w:pPr>
        <w:spacing w:after="0"/>
        <w:jc w:val="both"/>
        <w:rPr>
          <w:rFonts w:ascii="Segoe UI" w:hAnsi="Segoe UI" w:cs="Segoe UI"/>
          <w:color w:val="014171"/>
          <w:lang w:val="de-DE"/>
        </w:rPr>
      </w:pPr>
    </w:p>
    <w:p w14:paraId="39FC12DA" w14:textId="34473B8B" w:rsidR="00807020" w:rsidRPr="0040745F" w:rsidRDefault="007A36E5" w:rsidP="00E27BB3">
      <w:pPr>
        <w:spacing w:after="0"/>
        <w:jc w:val="both"/>
        <w:rPr>
          <w:rFonts w:ascii="Segoe UI" w:hAnsi="Segoe UI" w:cs="Segoe UI"/>
          <w:color w:val="014171"/>
          <w:lang w:val="de-DE"/>
        </w:rPr>
      </w:pPr>
      <w:r w:rsidRPr="0040745F">
        <w:rPr>
          <w:rFonts w:ascii="Segoe UI" w:hAnsi="Segoe UI" w:cs="Segoe UI"/>
          <w:color w:val="014171"/>
          <w:lang w:val="de-DE"/>
        </w:rPr>
        <w:t xml:space="preserve">Im Rahmen seiner </w:t>
      </w:r>
      <w:r w:rsidRPr="00117DC5">
        <w:rPr>
          <w:rFonts w:ascii="Segoe UI" w:hAnsi="Segoe UI" w:cs="Segoe UI"/>
          <w:color w:val="014171"/>
          <w:lang w:val="de-DE"/>
        </w:rPr>
        <w:t>Befugnisse ist das Ris</w:t>
      </w:r>
      <w:r w:rsidR="00117DC5" w:rsidRPr="00117DC5">
        <w:rPr>
          <w:rFonts w:ascii="Segoe UI" w:hAnsi="Segoe UI" w:cs="Segoe UI"/>
          <w:color w:val="014171"/>
          <w:lang w:val="de-DE"/>
        </w:rPr>
        <w:t>i</w:t>
      </w:r>
      <w:r w:rsidRPr="00117DC5">
        <w:rPr>
          <w:rFonts w:ascii="Segoe UI" w:hAnsi="Segoe UI" w:cs="Segoe UI"/>
          <w:color w:val="014171"/>
          <w:lang w:val="de-DE"/>
        </w:rPr>
        <w:t>k</w:t>
      </w:r>
      <w:r w:rsidR="00117DC5" w:rsidRPr="00117DC5">
        <w:rPr>
          <w:rFonts w:ascii="Segoe UI" w:hAnsi="Segoe UI" w:cs="Segoe UI"/>
          <w:color w:val="014171"/>
          <w:lang w:val="de-DE"/>
        </w:rPr>
        <w:t>o</w:t>
      </w:r>
      <w:r w:rsidRPr="00117DC5">
        <w:rPr>
          <w:rFonts w:ascii="Segoe UI" w:hAnsi="Segoe UI" w:cs="Segoe UI"/>
          <w:color w:val="014171"/>
          <w:lang w:val="de-DE"/>
        </w:rPr>
        <w:t xml:space="preserve"> </w:t>
      </w:r>
      <w:r w:rsidR="00117DC5" w:rsidRPr="00117DC5">
        <w:rPr>
          <w:rFonts w:ascii="Segoe UI" w:hAnsi="Segoe UI" w:cs="Segoe UI"/>
          <w:color w:val="014171"/>
          <w:lang w:val="de-DE"/>
        </w:rPr>
        <w:t>K</w:t>
      </w:r>
      <w:r w:rsidRPr="00117DC5">
        <w:rPr>
          <w:rFonts w:ascii="Segoe UI" w:hAnsi="Segoe UI" w:cs="Segoe UI"/>
          <w:color w:val="014171"/>
          <w:lang w:val="de-DE"/>
        </w:rPr>
        <w:t>omitee auch verantwortlich</w:t>
      </w:r>
      <w:r w:rsidRPr="0040745F">
        <w:rPr>
          <w:rFonts w:ascii="Segoe UI" w:hAnsi="Segoe UI" w:cs="Segoe UI"/>
          <w:color w:val="014171"/>
          <w:lang w:val="de-DE"/>
        </w:rPr>
        <w:t xml:space="preserve"> für:</w:t>
      </w:r>
    </w:p>
    <w:p w14:paraId="454A849F" w14:textId="77777777" w:rsidR="008A7319" w:rsidRPr="0040745F" w:rsidRDefault="008A7319" w:rsidP="00E27BB3">
      <w:pPr>
        <w:spacing w:after="0"/>
        <w:jc w:val="both"/>
        <w:rPr>
          <w:rFonts w:ascii="Segoe UI" w:hAnsi="Segoe UI" w:cs="Segoe UI"/>
          <w:color w:val="014171"/>
          <w:lang w:val="de-DE"/>
        </w:rPr>
      </w:pPr>
    </w:p>
    <w:p w14:paraId="009DE467" w14:textId="4707F3E7" w:rsidR="00331DDB" w:rsidRPr="0040745F" w:rsidRDefault="007A36E5" w:rsidP="00E27BB3">
      <w:pPr>
        <w:pStyle w:val="ListParagraph"/>
        <w:numPr>
          <w:ilvl w:val="0"/>
          <w:numId w:val="74"/>
        </w:numPr>
        <w:spacing w:after="0"/>
        <w:jc w:val="both"/>
        <w:rPr>
          <w:rFonts w:ascii="Segoe UI" w:hAnsi="Segoe UI" w:cs="Segoe UI"/>
          <w:color w:val="014171"/>
          <w:lang w:val="de-DE"/>
        </w:rPr>
      </w:pPr>
      <w:r w:rsidRPr="0040745F">
        <w:rPr>
          <w:rFonts w:ascii="Segoe UI" w:hAnsi="Segoe UI" w:cs="Segoe UI"/>
          <w:color w:val="014171"/>
          <w:lang w:val="de-DE"/>
        </w:rPr>
        <w:t xml:space="preserve">Genehmigung von </w:t>
      </w:r>
      <w:r w:rsidR="00D13D8B">
        <w:rPr>
          <w:rFonts w:ascii="Segoe UI" w:hAnsi="Segoe UI" w:cs="Segoe UI"/>
          <w:color w:val="014171"/>
          <w:lang w:val="de-DE"/>
        </w:rPr>
        <w:t>Übernahme</w:t>
      </w:r>
      <w:r w:rsidRPr="0040745F">
        <w:rPr>
          <w:rFonts w:ascii="Segoe UI" w:hAnsi="Segoe UI" w:cs="Segoe UI"/>
          <w:color w:val="014171"/>
          <w:lang w:val="de-DE"/>
        </w:rPr>
        <w:t>-Verpflichtungen/Transaktionen</w:t>
      </w:r>
    </w:p>
    <w:p w14:paraId="444FEC07" w14:textId="4628424A" w:rsidR="00331DDB" w:rsidRPr="0040745F" w:rsidRDefault="007A36E5" w:rsidP="00E27BB3">
      <w:pPr>
        <w:pStyle w:val="ListParagraph"/>
        <w:numPr>
          <w:ilvl w:val="0"/>
          <w:numId w:val="74"/>
        </w:numPr>
        <w:spacing w:after="0"/>
        <w:jc w:val="both"/>
        <w:rPr>
          <w:rFonts w:ascii="Segoe UI" w:hAnsi="Segoe UI" w:cs="Segoe UI"/>
          <w:color w:val="014171"/>
          <w:lang w:val="de-DE"/>
        </w:rPr>
      </w:pPr>
      <w:r w:rsidRPr="0040745F">
        <w:rPr>
          <w:rFonts w:ascii="Segoe UI" w:hAnsi="Segoe UI" w:cs="Segoe UI"/>
          <w:color w:val="014171"/>
          <w:lang w:val="de-DE"/>
        </w:rPr>
        <w:t>Genehmigung neuer Produkte</w:t>
      </w:r>
    </w:p>
    <w:p w14:paraId="491EB39E" w14:textId="7D31D061" w:rsidR="00331DDB" w:rsidRPr="0040745F" w:rsidRDefault="006F3D60" w:rsidP="006F3D60">
      <w:pPr>
        <w:pStyle w:val="ListParagraph"/>
        <w:numPr>
          <w:ilvl w:val="0"/>
          <w:numId w:val="74"/>
        </w:numPr>
        <w:spacing w:after="0"/>
        <w:jc w:val="both"/>
        <w:rPr>
          <w:rFonts w:ascii="Segoe UI" w:hAnsi="Segoe UI" w:cs="Segoe UI"/>
          <w:color w:val="014171"/>
          <w:lang w:val="de-DE"/>
        </w:rPr>
      </w:pPr>
      <w:r w:rsidRPr="0040745F">
        <w:rPr>
          <w:rFonts w:ascii="Segoe UI" w:hAnsi="Segoe UI" w:cs="Segoe UI"/>
          <w:color w:val="014171"/>
          <w:lang w:val="de-DE"/>
        </w:rPr>
        <w:t xml:space="preserve">Beaufsichtigung des Rahmenwerks für die Verwaltung und Kontrolle wesentlicher </w:t>
      </w:r>
      <w:r w:rsidR="00E05BD8">
        <w:rPr>
          <w:rFonts w:ascii="Segoe UI" w:hAnsi="Segoe UI" w:cs="Segoe UI"/>
          <w:color w:val="014171"/>
          <w:lang w:val="de-DE"/>
        </w:rPr>
        <w:t>Auslagerungsv</w:t>
      </w:r>
      <w:r w:rsidRPr="0040745F">
        <w:rPr>
          <w:rFonts w:ascii="Segoe UI" w:hAnsi="Segoe UI" w:cs="Segoe UI"/>
          <w:color w:val="014171"/>
          <w:lang w:val="de-DE"/>
        </w:rPr>
        <w:t>ereinbarungen</w:t>
      </w:r>
    </w:p>
    <w:p w14:paraId="3CFF6936" w14:textId="77777777" w:rsidR="00807020" w:rsidRPr="0040745F" w:rsidRDefault="00807020" w:rsidP="00E27BB3">
      <w:pPr>
        <w:spacing w:after="0"/>
        <w:jc w:val="both"/>
        <w:rPr>
          <w:rFonts w:ascii="Segoe UI" w:hAnsi="Segoe UI" w:cs="Segoe UI"/>
          <w:color w:val="014171"/>
          <w:lang w:val="de-DE"/>
        </w:rPr>
      </w:pPr>
    </w:p>
    <w:p w14:paraId="52517690" w14:textId="20D64137" w:rsidR="009733AB" w:rsidRPr="0040745F" w:rsidRDefault="006F3D60" w:rsidP="00E27BB3">
      <w:pPr>
        <w:spacing w:after="0"/>
        <w:jc w:val="both"/>
        <w:rPr>
          <w:rFonts w:ascii="Segoe UI" w:hAnsi="Segoe UI" w:cs="Segoe UI"/>
          <w:color w:val="014171"/>
          <w:lang w:val="de-DE"/>
        </w:rPr>
      </w:pPr>
      <w:r w:rsidRPr="00D13D8B">
        <w:rPr>
          <w:rFonts w:ascii="Segoe UI" w:hAnsi="Segoe UI" w:cs="Segoe UI"/>
          <w:color w:val="014171"/>
          <w:lang w:val="de-DE"/>
        </w:rPr>
        <w:t>Das Ris</w:t>
      </w:r>
      <w:r w:rsidR="00D13D8B" w:rsidRPr="00D13D8B">
        <w:rPr>
          <w:rFonts w:ascii="Segoe UI" w:hAnsi="Segoe UI" w:cs="Segoe UI"/>
          <w:color w:val="014171"/>
          <w:lang w:val="de-DE"/>
        </w:rPr>
        <w:t>i</w:t>
      </w:r>
      <w:r w:rsidRPr="00D13D8B">
        <w:rPr>
          <w:rFonts w:ascii="Segoe UI" w:hAnsi="Segoe UI" w:cs="Segoe UI"/>
          <w:color w:val="014171"/>
          <w:lang w:val="de-DE"/>
        </w:rPr>
        <w:t>k</w:t>
      </w:r>
      <w:r w:rsidR="00D13D8B" w:rsidRPr="00D13D8B">
        <w:rPr>
          <w:rFonts w:ascii="Segoe UI" w:hAnsi="Segoe UI" w:cs="Segoe UI"/>
          <w:color w:val="014171"/>
          <w:lang w:val="de-DE"/>
        </w:rPr>
        <w:t>o</w:t>
      </w:r>
      <w:r w:rsidRPr="00D13D8B">
        <w:rPr>
          <w:rFonts w:ascii="Segoe UI" w:hAnsi="Segoe UI" w:cs="Segoe UI"/>
          <w:color w:val="014171"/>
          <w:lang w:val="de-DE"/>
        </w:rPr>
        <w:t xml:space="preserve"> </w:t>
      </w:r>
      <w:r w:rsidR="00D322B1" w:rsidRPr="00D13D8B">
        <w:rPr>
          <w:rFonts w:ascii="Segoe UI" w:hAnsi="Segoe UI" w:cs="Segoe UI"/>
          <w:color w:val="014171"/>
          <w:lang w:val="de-DE"/>
        </w:rPr>
        <w:t>Komitee</w:t>
      </w:r>
      <w:r w:rsidRPr="00D13D8B">
        <w:rPr>
          <w:rFonts w:ascii="Segoe UI" w:hAnsi="Segoe UI" w:cs="Segoe UI"/>
          <w:color w:val="014171"/>
          <w:lang w:val="de-DE"/>
        </w:rPr>
        <w:t xml:space="preserve"> tagt regelmäßig</w:t>
      </w:r>
      <w:r w:rsidRPr="0040745F">
        <w:rPr>
          <w:rFonts w:ascii="Segoe UI" w:hAnsi="Segoe UI" w:cs="Segoe UI"/>
          <w:color w:val="014171"/>
          <w:lang w:val="de-DE"/>
        </w:rPr>
        <w:t xml:space="preserve"> einmal im Monat (12 Sitzungen im Geschäftsjahr vom 01.04.2021 – 31.03.2022). Stimmberechtigte Mitglieder sind die beiden Geschäftsführer, der Leiter Finanzen/</w:t>
      </w:r>
      <w:r w:rsidRPr="007D44A8">
        <w:rPr>
          <w:rFonts w:ascii="Segoe UI" w:hAnsi="Segoe UI" w:cs="Segoe UI"/>
          <w:color w:val="014171"/>
          <w:lang w:val="de-DE"/>
        </w:rPr>
        <w:t>Operations</w:t>
      </w:r>
      <w:r w:rsidRPr="0040745F">
        <w:rPr>
          <w:rFonts w:ascii="Segoe UI" w:hAnsi="Segoe UI" w:cs="Segoe UI"/>
          <w:color w:val="014171"/>
          <w:lang w:val="de-DE"/>
        </w:rPr>
        <w:t>/IT</w:t>
      </w:r>
      <w:r w:rsidR="00D13D8B">
        <w:rPr>
          <w:rFonts w:ascii="Segoe UI" w:hAnsi="Segoe UI" w:cs="Segoe UI"/>
          <w:color w:val="014171"/>
          <w:lang w:val="de-DE"/>
        </w:rPr>
        <w:t xml:space="preserve">, </w:t>
      </w:r>
      <w:r w:rsidRPr="0040745F">
        <w:rPr>
          <w:rFonts w:ascii="Segoe UI" w:hAnsi="Segoe UI" w:cs="Segoe UI"/>
          <w:color w:val="014171"/>
          <w:lang w:val="de-DE"/>
        </w:rPr>
        <w:t xml:space="preserve">der Leiter </w:t>
      </w:r>
      <w:r w:rsidR="00D13D8B">
        <w:rPr>
          <w:rFonts w:ascii="Segoe UI" w:hAnsi="Segoe UI" w:cs="Segoe UI"/>
          <w:color w:val="014171"/>
          <w:lang w:val="de-DE"/>
        </w:rPr>
        <w:t xml:space="preserve">Risiko Management, der Leiter </w:t>
      </w:r>
      <w:r w:rsidR="007D44A8">
        <w:rPr>
          <w:rFonts w:ascii="Segoe UI" w:hAnsi="Segoe UI" w:cs="Segoe UI"/>
          <w:color w:val="014171"/>
          <w:lang w:val="de-DE"/>
        </w:rPr>
        <w:t xml:space="preserve">Kredit- </w:t>
      </w:r>
      <w:r w:rsidR="00D13D8B">
        <w:rPr>
          <w:rFonts w:ascii="Segoe UI" w:hAnsi="Segoe UI" w:cs="Segoe UI"/>
          <w:color w:val="014171"/>
          <w:lang w:val="de-DE"/>
        </w:rPr>
        <w:t>&amp; Operation</w:t>
      </w:r>
      <w:r w:rsidR="007D44A8">
        <w:rPr>
          <w:rFonts w:ascii="Segoe UI" w:hAnsi="Segoe UI" w:cs="Segoe UI"/>
          <w:color w:val="014171"/>
          <w:lang w:val="de-DE"/>
        </w:rPr>
        <w:t>elles</w:t>
      </w:r>
      <w:r w:rsidR="00D13D8B">
        <w:rPr>
          <w:rFonts w:ascii="Segoe UI" w:hAnsi="Segoe UI" w:cs="Segoe UI"/>
          <w:color w:val="014171"/>
          <w:lang w:val="de-DE"/>
        </w:rPr>
        <w:t xml:space="preserve"> Ris</w:t>
      </w:r>
      <w:r w:rsidR="007D44A8">
        <w:rPr>
          <w:rFonts w:ascii="Segoe UI" w:hAnsi="Segoe UI" w:cs="Segoe UI"/>
          <w:color w:val="014171"/>
          <w:lang w:val="de-DE"/>
        </w:rPr>
        <w:t>i</w:t>
      </w:r>
      <w:r w:rsidR="00D13D8B">
        <w:rPr>
          <w:rFonts w:ascii="Segoe UI" w:hAnsi="Segoe UI" w:cs="Segoe UI"/>
          <w:color w:val="014171"/>
          <w:lang w:val="de-DE"/>
        </w:rPr>
        <w:t>k</w:t>
      </w:r>
      <w:r w:rsidR="007D44A8">
        <w:rPr>
          <w:rFonts w:ascii="Segoe UI" w:hAnsi="Segoe UI" w:cs="Segoe UI"/>
          <w:color w:val="014171"/>
          <w:lang w:val="de-DE"/>
        </w:rPr>
        <w:t>o</w:t>
      </w:r>
      <w:r w:rsidR="00D13D8B">
        <w:rPr>
          <w:rFonts w:ascii="Segoe UI" w:hAnsi="Segoe UI" w:cs="Segoe UI"/>
          <w:color w:val="014171"/>
          <w:lang w:val="de-DE"/>
        </w:rPr>
        <w:t xml:space="preserve"> sowie der</w:t>
      </w:r>
      <w:r w:rsidRPr="0040745F">
        <w:rPr>
          <w:rFonts w:ascii="Segoe UI" w:hAnsi="Segoe UI" w:cs="Segoe UI"/>
          <w:color w:val="014171"/>
          <w:lang w:val="de-DE"/>
        </w:rPr>
        <w:t xml:space="preserve"> Compliance</w:t>
      </w:r>
      <w:r w:rsidR="00D13D8B">
        <w:rPr>
          <w:rFonts w:ascii="Segoe UI" w:hAnsi="Segoe UI" w:cs="Segoe UI"/>
          <w:color w:val="014171"/>
          <w:lang w:val="de-DE"/>
        </w:rPr>
        <w:t xml:space="preserve"> Beauftragte</w:t>
      </w:r>
      <w:r w:rsidRPr="0040745F">
        <w:rPr>
          <w:rFonts w:ascii="Segoe UI" w:hAnsi="Segoe UI" w:cs="Segoe UI"/>
          <w:color w:val="014171"/>
          <w:lang w:val="de-DE"/>
        </w:rPr>
        <w:t>. Die Muttergese</w:t>
      </w:r>
      <w:r w:rsidR="00E05BD8">
        <w:rPr>
          <w:rFonts w:ascii="Segoe UI" w:hAnsi="Segoe UI" w:cs="Segoe UI"/>
          <w:color w:val="014171"/>
          <w:lang w:val="de-DE"/>
        </w:rPr>
        <w:t>llschaft von DCMD ist mit nicht-</w:t>
      </w:r>
      <w:r w:rsidRPr="0040745F">
        <w:rPr>
          <w:rFonts w:ascii="Segoe UI" w:hAnsi="Segoe UI" w:cs="Segoe UI"/>
          <w:color w:val="014171"/>
          <w:lang w:val="de-DE"/>
        </w:rPr>
        <w:t>stimmberechtigten Mitgliedern, die die Bereiche Finanzen, Risiko</w:t>
      </w:r>
      <w:r w:rsidR="00D13D8B">
        <w:rPr>
          <w:rFonts w:ascii="Segoe UI" w:hAnsi="Segoe UI" w:cs="Segoe UI"/>
          <w:color w:val="014171"/>
          <w:lang w:val="de-DE"/>
        </w:rPr>
        <w:t>, Compliance</w:t>
      </w:r>
      <w:r w:rsidRPr="0040745F">
        <w:rPr>
          <w:rFonts w:ascii="Segoe UI" w:hAnsi="Segoe UI" w:cs="Segoe UI"/>
          <w:color w:val="014171"/>
          <w:lang w:val="de-DE"/>
        </w:rPr>
        <w:t xml:space="preserve"> u</w:t>
      </w:r>
      <w:r w:rsidR="00E05BD8">
        <w:rPr>
          <w:rFonts w:ascii="Segoe UI" w:hAnsi="Segoe UI" w:cs="Segoe UI"/>
          <w:color w:val="014171"/>
          <w:lang w:val="de-DE"/>
        </w:rPr>
        <w:t>nd Unternehmensplanung repräsentieren</w:t>
      </w:r>
      <w:r w:rsidRPr="0040745F">
        <w:rPr>
          <w:rFonts w:ascii="Segoe UI" w:hAnsi="Segoe UI" w:cs="Segoe UI"/>
          <w:color w:val="014171"/>
          <w:lang w:val="de-DE"/>
        </w:rPr>
        <w:t>, vertreten.</w:t>
      </w:r>
    </w:p>
    <w:p w14:paraId="1138C3CA" w14:textId="1F434286" w:rsidR="000603E5" w:rsidRPr="0040745F" w:rsidRDefault="000603E5" w:rsidP="00E27BB3">
      <w:pPr>
        <w:spacing w:after="0"/>
        <w:jc w:val="both"/>
        <w:rPr>
          <w:rFonts w:ascii="Segoe UI" w:hAnsi="Segoe UI" w:cs="Segoe UI"/>
          <w:color w:val="014171"/>
          <w:lang w:val="de-DE"/>
        </w:rPr>
      </w:pPr>
    </w:p>
    <w:p w14:paraId="3253C63E" w14:textId="07F2C09E" w:rsidR="006B00B0" w:rsidRPr="0040745F" w:rsidRDefault="00091D98" w:rsidP="00E27BB3">
      <w:pPr>
        <w:pStyle w:val="Heading2"/>
        <w:rPr>
          <w:lang w:val="de-DE"/>
        </w:rPr>
      </w:pPr>
      <w:bookmarkStart w:id="46" w:name="_Toc123138017"/>
      <w:r w:rsidRPr="0040745F">
        <w:rPr>
          <w:lang w:val="de-DE"/>
        </w:rPr>
        <w:t>Interessenskonflikte</w:t>
      </w:r>
      <w:bookmarkEnd w:id="46"/>
    </w:p>
    <w:p w14:paraId="7EE1035A" w14:textId="77BFC39F" w:rsidR="00360A6C" w:rsidRPr="0040745F" w:rsidRDefault="008E212A" w:rsidP="00E27BB3">
      <w:pPr>
        <w:spacing w:after="0"/>
        <w:jc w:val="both"/>
        <w:rPr>
          <w:rFonts w:ascii="Segoe UI" w:hAnsi="Segoe UI" w:cs="Segoe UI"/>
          <w:color w:val="014171"/>
          <w:lang w:val="de-DE"/>
        </w:rPr>
      </w:pPr>
      <w:r w:rsidRPr="0040745F">
        <w:rPr>
          <w:rFonts w:ascii="Segoe UI" w:hAnsi="Segoe UI" w:cs="Segoe UI"/>
          <w:color w:val="014171"/>
          <w:lang w:val="de-DE"/>
        </w:rPr>
        <w:t>Informationen zum Umgang mit Interessenkonflikten sind in der DCMD Richtlinie zu Interessenkonflikten enthalten. Die Richtlinie</w:t>
      </w:r>
      <w:r w:rsidR="0072604F">
        <w:rPr>
          <w:rFonts w:ascii="Segoe UI" w:hAnsi="Segoe UI" w:cs="Segoe UI"/>
          <w:color w:val="014171"/>
          <w:lang w:val="de-DE"/>
        </w:rPr>
        <w:t>,</w:t>
      </w:r>
      <w:r w:rsidRPr="0040745F">
        <w:rPr>
          <w:rFonts w:ascii="Segoe UI" w:hAnsi="Segoe UI" w:cs="Segoe UI"/>
          <w:color w:val="014171"/>
          <w:lang w:val="de-DE"/>
        </w:rPr>
        <w:t xml:space="preserve"> welche jährlich ü</w:t>
      </w:r>
      <w:r w:rsidR="0047418F">
        <w:rPr>
          <w:rFonts w:ascii="Segoe UI" w:hAnsi="Segoe UI" w:cs="Segoe UI"/>
          <w:color w:val="014171"/>
          <w:lang w:val="de-DE"/>
        </w:rPr>
        <w:t>berprüft wird, legt dar, wie die</w:t>
      </w:r>
      <w:r w:rsidRPr="0040745F">
        <w:rPr>
          <w:rFonts w:ascii="Segoe UI" w:hAnsi="Segoe UI" w:cs="Segoe UI"/>
          <w:color w:val="014171"/>
          <w:lang w:val="de-DE"/>
        </w:rPr>
        <w:t xml:space="preserve"> </w:t>
      </w:r>
      <w:r w:rsidR="0047418F">
        <w:rPr>
          <w:rFonts w:ascii="Segoe UI" w:hAnsi="Segoe UI" w:cs="Segoe UI"/>
          <w:color w:val="014171"/>
          <w:lang w:val="de-DE"/>
        </w:rPr>
        <w:t>Gesellschaft</w:t>
      </w:r>
      <w:r w:rsidRPr="0040745F">
        <w:rPr>
          <w:rFonts w:ascii="Segoe UI" w:hAnsi="Segoe UI" w:cs="Segoe UI"/>
          <w:color w:val="014171"/>
          <w:lang w:val="de-DE"/>
        </w:rPr>
        <w:t xml:space="preserve"> versucht, Interessenkonflikte zu verhindern und mit ihnen umzugehen, wenn sie auftreten</w:t>
      </w:r>
      <w:r w:rsidR="0072604F">
        <w:rPr>
          <w:rFonts w:ascii="Segoe UI" w:hAnsi="Segoe UI" w:cs="Segoe UI"/>
          <w:color w:val="014171"/>
          <w:lang w:val="de-DE"/>
        </w:rPr>
        <w:t>. E</w:t>
      </w:r>
      <w:r w:rsidRPr="0040745F">
        <w:rPr>
          <w:rFonts w:ascii="Segoe UI" w:hAnsi="Segoe UI" w:cs="Segoe UI"/>
          <w:color w:val="014171"/>
          <w:lang w:val="de-DE"/>
        </w:rPr>
        <w:t xml:space="preserve">ine </w:t>
      </w:r>
      <w:r w:rsidRPr="0072604F">
        <w:rPr>
          <w:rFonts w:ascii="Segoe UI" w:hAnsi="Segoe UI" w:cs="Segoe UI"/>
          <w:color w:val="014171"/>
          <w:lang w:val="de-DE"/>
        </w:rPr>
        <w:t>Zusammenfassung der Verfahren zum Umgang mit Konflikten</w:t>
      </w:r>
      <w:r w:rsidR="0072604F" w:rsidRPr="0072604F">
        <w:rPr>
          <w:rFonts w:ascii="Segoe UI" w:hAnsi="Segoe UI" w:cs="Segoe UI"/>
          <w:color w:val="014171"/>
          <w:lang w:val="de-DE"/>
        </w:rPr>
        <w:t xml:space="preserve"> ist auf der Internetseite zu finden</w:t>
      </w:r>
      <w:r w:rsidR="00A15970">
        <w:rPr>
          <w:rFonts w:ascii="Segoe UI" w:hAnsi="Segoe UI" w:cs="Segoe UI"/>
          <w:color w:val="014171"/>
          <w:lang w:val="de-DE"/>
        </w:rPr>
        <w:t>.</w:t>
      </w:r>
    </w:p>
    <w:p w14:paraId="0D519FD1" w14:textId="77777777" w:rsidR="00705663" w:rsidRPr="0040745F" w:rsidRDefault="00705663" w:rsidP="00E27BB3">
      <w:pPr>
        <w:spacing w:after="0"/>
        <w:jc w:val="both"/>
        <w:rPr>
          <w:rFonts w:ascii="Segoe UI" w:hAnsi="Segoe UI" w:cs="Segoe UI"/>
          <w:color w:val="014171"/>
          <w:lang w:val="de-DE"/>
        </w:rPr>
      </w:pPr>
      <w:bookmarkStart w:id="47" w:name="_Toc297131404"/>
      <w:bookmarkStart w:id="48" w:name="_Toc422754624"/>
      <w:bookmarkEnd w:id="47"/>
      <w:bookmarkEnd w:id="48"/>
    </w:p>
    <w:p w14:paraId="2CDD0DEC" w14:textId="11B7FC03" w:rsidR="00B631A1" w:rsidRPr="0040745F" w:rsidRDefault="007E4D50" w:rsidP="00E27BB3">
      <w:pPr>
        <w:pStyle w:val="Heading2"/>
        <w:rPr>
          <w:b w:val="0"/>
          <w:bCs w:val="0"/>
          <w:lang w:val="de-DE"/>
        </w:rPr>
      </w:pPr>
      <w:bookmarkStart w:id="49" w:name="_Toc123138018"/>
      <w:r w:rsidRPr="0040745F">
        <w:rPr>
          <w:lang w:val="de-DE"/>
        </w:rPr>
        <w:t>Diversitäts-</w:t>
      </w:r>
      <w:r w:rsidR="007836D6" w:rsidRPr="0040745F">
        <w:rPr>
          <w:lang w:val="de-DE"/>
        </w:rPr>
        <w:t>Grundsätze</w:t>
      </w:r>
      <w:bookmarkStart w:id="50" w:name="_Toc114670922"/>
      <w:bookmarkEnd w:id="50"/>
      <w:bookmarkEnd w:id="49"/>
    </w:p>
    <w:p w14:paraId="5DBBC548" w14:textId="6F8E9802" w:rsidR="009B4ADB" w:rsidRPr="0040745F" w:rsidRDefault="00091D98" w:rsidP="00E27BB3">
      <w:pPr>
        <w:pStyle w:val="Heading3"/>
        <w:rPr>
          <w:b w:val="0"/>
          <w:lang w:val="de-DE"/>
        </w:rPr>
      </w:pPr>
      <w:r w:rsidRPr="0040745F">
        <w:rPr>
          <w:lang w:val="de-DE"/>
        </w:rPr>
        <w:t>Übersicht</w:t>
      </w:r>
    </w:p>
    <w:p w14:paraId="2C8B3295" w14:textId="7A12430F" w:rsidR="00233DE6" w:rsidRPr="0040745F" w:rsidRDefault="007B17F8" w:rsidP="00E27BB3">
      <w:pPr>
        <w:spacing w:after="0"/>
        <w:jc w:val="both"/>
        <w:rPr>
          <w:rFonts w:ascii="Segoe UI" w:hAnsi="Segoe UI" w:cs="Segoe UI"/>
          <w:color w:val="014171"/>
          <w:lang w:val="de-DE"/>
        </w:rPr>
      </w:pPr>
      <w:r w:rsidRPr="0040745F">
        <w:rPr>
          <w:rFonts w:ascii="Segoe UI" w:hAnsi="Segoe UI" w:cs="Segoe UI"/>
          <w:color w:val="014171"/>
          <w:lang w:val="de-DE"/>
        </w:rPr>
        <w:t xml:space="preserve">Diversität und Inklusion („D&amp;I“) ist eines der Elemente für die Etablierung und Aufrechterhaltung einer guten Unternehmenskultur, die von oben vorangetrieben und gelebt wird, um höhere Verhaltensstandards zu bieten und einen Wettbewerbsvorteil zu wahren. </w:t>
      </w:r>
      <w:r w:rsidRPr="0040745F">
        <w:rPr>
          <w:rFonts w:ascii="Segoe UI" w:hAnsi="Segoe UI" w:cs="Segoe UI"/>
          <w:color w:val="014171"/>
          <w:lang w:val="de-DE"/>
        </w:rPr>
        <w:lastRenderedPageBreak/>
        <w:t xml:space="preserve">Eines der Hauptziele unserer Muttergesellschaft ist die Verpflichtung, ein vielfältiges Umfeld in der </w:t>
      </w:r>
      <w:r w:rsidR="0047418F">
        <w:rPr>
          <w:rFonts w:ascii="Segoe UI" w:hAnsi="Segoe UI" w:cs="Segoe UI"/>
          <w:color w:val="014171"/>
          <w:lang w:val="de-DE"/>
        </w:rPr>
        <w:t>Gesellschaft</w:t>
      </w:r>
      <w:r w:rsidR="00005407" w:rsidRPr="0040745F">
        <w:rPr>
          <w:rFonts w:ascii="Segoe UI" w:hAnsi="Segoe UI" w:cs="Segoe UI"/>
          <w:color w:val="014171"/>
          <w:lang w:val="de-DE"/>
        </w:rPr>
        <w:t xml:space="preserve"> zu schaffen und dieses zu</w:t>
      </w:r>
      <w:r w:rsidRPr="0040745F">
        <w:rPr>
          <w:rFonts w:ascii="Segoe UI" w:hAnsi="Segoe UI" w:cs="Segoe UI"/>
          <w:color w:val="014171"/>
          <w:lang w:val="de-DE"/>
        </w:rPr>
        <w:t xml:space="preserve"> unterstützen und zu fördern, unabhängig von ethnischer Zugehörigkeit, Rasse, sexueller Orientierung oder Geschlecht.</w:t>
      </w:r>
    </w:p>
    <w:p w14:paraId="73205B30" w14:textId="77777777" w:rsidR="00233DE6" w:rsidRPr="0040745F" w:rsidRDefault="00233DE6" w:rsidP="00FA2278">
      <w:pPr>
        <w:autoSpaceDE w:val="0"/>
        <w:autoSpaceDN w:val="0"/>
        <w:adjustRightInd w:val="0"/>
        <w:spacing w:after="0" w:line="240" w:lineRule="auto"/>
        <w:jc w:val="both"/>
        <w:rPr>
          <w:rFonts w:ascii="Times New Roman" w:hAnsi="Times New Roman"/>
          <w:color w:val="0F243E" w:themeColor="text2" w:themeShade="80"/>
          <w:sz w:val="24"/>
          <w:szCs w:val="24"/>
          <w:lang w:val="de-DE"/>
        </w:rPr>
      </w:pPr>
    </w:p>
    <w:p w14:paraId="7F279962" w14:textId="3B26A4B8" w:rsidR="00BA1A84" w:rsidRPr="0040745F" w:rsidRDefault="00005407" w:rsidP="00E27BB3">
      <w:pPr>
        <w:spacing w:after="0"/>
        <w:jc w:val="both"/>
        <w:rPr>
          <w:rFonts w:ascii="Segoe UI" w:hAnsi="Segoe UI" w:cs="Segoe UI"/>
          <w:color w:val="014171"/>
          <w:lang w:val="de-DE"/>
        </w:rPr>
      </w:pPr>
      <w:r w:rsidRPr="0040745F">
        <w:rPr>
          <w:rFonts w:ascii="Segoe UI" w:hAnsi="Segoe UI" w:cs="Segoe UI"/>
          <w:color w:val="014171"/>
          <w:lang w:val="de-DE"/>
        </w:rPr>
        <w:t xml:space="preserve">Die Muttergesellschaft von DCMD, DCME, hat ihre D&amp;I-Strategie kontinuierlich ausgebaut, um das Geschlechtergleichgewicht zu erhöhen, einschließlich der Ernennung von Frauen in die </w:t>
      </w:r>
      <w:r w:rsidR="00EB3E9D" w:rsidRPr="0040745F">
        <w:rPr>
          <w:rFonts w:ascii="Segoe UI" w:hAnsi="Segoe UI" w:cs="Segoe UI"/>
          <w:color w:val="014171"/>
          <w:lang w:val="de-DE"/>
        </w:rPr>
        <w:t>Geschäftsführung</w:t>
      </w:r>
      <w:r w:rsidRPr="0040745F">
        <w:rPr>
          <w:rFonts w:ascii="Segoe UI" w:hAnsi="Segoe UI" w:cs="Segoe UI"/>
          <w:color w:val="014171"/>
          <w:lang w:val="de-DE"/>
        </w:rPr>
        <w:t>.</w:t>
      </w:r>
    </w:p>
    <w:p w14:paraId="2DCF88CB" w14:textId="77777777" w:rsidR="00BA1A84" w:rsidRPr="0040745F" w:rsidRDefault="00BA1A84" w:rsidP="00E27BB3">
      <w:pPr>
        <w:spacing w:after="0"/>
        <w:jc w:val="both"/>
        <w:rPr>
          <w:rFonts w:ascii="Segoe UI" w:hAnsi="Segoe UI" w:cs="Segoe UI"/>
          <w:color w:val="014171"/>
          <w:lang w:val="de-DE"/>
        </w:rPr>
      </w:pPr>
    </w:p>
    <w:p w14:paraId="0ED37C09" w14:textId="0C0684E5" w:rsidR="00BA1A84" w:rsidRPr="0040745F" w:rsidRDefault="00005407" w:rsidP="00E27BB3">
      <w:pPr>
        <w:spacing w:after="0"/>
        <w:jc w:val="both"/>
        <w:rPr>
          <w:rFonts w:ascii="Segoe UI" w:hAnsi="Segoe UI" w:cs="Segoe UI"/>
          <w:color w:val="014171"/>
          <w:lang w:val="de-DE"/>
        </w:rPr>
      </w:pPr>
      <w:r w:rsidRPr="0040745F">
        <w:rPr>
          <w:rFonts w:ascii="Segoe UI" w:hAnsi="Segoe UI" w:cs="Segoe UI"/>
          <w:color w:val="014171"/>
          <w:lang w:val="de-DE"/>
        </w:rPr>
        <w:t xml:space="preserve">Darüber hinaus ist DCME Unterzeichnerin der </w:t>
      </w:r>
      <w:r w:rsidR="007D44A8">
        <w:rPr>
          <w:rFonts w:ascii="Segoe UI" w:hAnsi="Segoe UI" w:cs="Segoe UI"/>
          <w:color w:val="014171"/>
          <w:lang w:val="de-DE"/>
        </w:rPr>
        <w:t>„</w:t>
      </w:r>
      <w:r w:rsidRPr="00E05BD8">
        <w:rPr>
          <w:rFonts w:ascii="Segoe UI" w:hAnsi="Segoe UI" w:cs="Segoe UI"/>
          <w:i/>
          <w:color w:val="014171"/>
          <w:lang w:val="de-DE"/>
        </w:rPr>
        <w:t>Women in Finance Charter</w:t>
      </w:r>
      <w:r w:rsidR="007D44A8">
        <w:rPr>
          <w:rFonts w:ascii="Segoe UI" w:hAnsi="Segoe UI" w:cs="Segoe UI"/>
          <w:i/>
          <w:color w:val="014171"/>
          <w:lang w:val="de-DE"/>
        </w:rPr>
        <w:t>“</w:t>
      </w:r>
      <w:r w:rsidRPr="0040745F">
        <w:rPr>
          <w:rFonts w:ascii="Segoe UI" w:hAnsi="Segoe UI" w:cs="Segoe UI"/>
          <w:color w:val="014171"/>
          <w:lang w:val="de-DE"/>
        </w:rPr>
        <w:t xml:space="preserve">, einer Initiative des britischen </w:t>
      </w:r>
      <w:r w:rsidR="00716259" w:rsidRPr="0040745F">
        <w:rPr>
          <w:rFonts w:ascii="Segoe UI" w:hAnsi="Segoe UI" w:cs="Segoe UI"/>
          <w:color w:val="014171"/>
          <w:lang w:val="de-DE"/>
        </w:rPr>
        <w:t xml:space="preserve">Wirtschafts- und </w:t>
      </w:r>
      <w:r w:rsidRPr="0040745F">
        <w:rPr>
          <w:rFonts w:ascii="Segoe UI" w:hAnsi="Segoe UI" w:cs="Segoe UI"/>
          <w:color w:val="014171"/>
          <w:lang w:val="de-DE"/>
        </w:rPr>
        <w:t xml:space="preserve">Finanzministeriums, die darauf abzielt, ein ausgewogenes Geschlechterverhältnis auf allen Ebenen der Finanzdienstleistungen zu erreichen. Die DCME-Berichte zum geschlechtsspezifischen Lohngefälle, die im Einklang mit den Vorschriften des </w:t>
      </w:r>
      <w:r w:rsidRPr="00E05BD8">
        <w:rPr>
          <w:rFonts w:ascii="Segoe UI" w:hAnsi="Segoe UI" w:cs="Segoe UI"/>
          <w:i/>
          <w:color w:val="014171"/>
          <w:lang w:val="de-DE"/>
        </w:rPr>
        <w:t>Equality Act 2010</w:t>
      </w:r>
      <w:r w:rsidRPr="0040745F">
        <w:rPr>
          <w:rFonts w:ascii="Segoe UI" w:hAnsi="Segoe UI" w:cs="Segoe UI"/>
          <w:color w:val="014171"/>
          <w:lang w:val="de-DE"/>
        </w:rPr>
        <w:t xml:space="preserve"> (Informationen zum geschlechtsspezifischen Lohngefälle) 2017 erstellt wurden, werden jährlich auf der Website von DCME veröffentlicht. Als Teil einer in japanischem Besitz befindlichen Gruppe ist DCME der Japan D&amp;I Group beigetreten, was einen weiteren Schritt nach vorne bei der Förderung der Vielfalt in unserer Muttergesellschaft bedeutet.</w:t>
      </w:r>
    </w:p>
    <w:p w14:paraId="16E7CC94" w14:textId="77777777" w:rsidR="00BA1A84" w:rsidRPr="0040745F" w:rsidRDefault="00BA1A84" w:rsidP="00E27BB3">
      <w:pPr>
        <w:spacing w:after="0"/>
        <w:jc w:val="both"/>
        <w:rPr>
          <w:rFonts w:ascii="Segoe UI" w:hAnsi="Segoe UI" w:cs="Segoe UI"/>
          <w:color w:val="014171"/>
          <w:lang w:val="de-DE"/>
        </w:rPr>
      </w:pPr>
    </w:p>
    <w:p w14:paraId="452CBE29" w14:textId="7C3EAF08" w:rsidR="00915FD3" w:rsidRPr="0040745F" w:rsidRDefault="00915FD3" w:rsidP="00915FD3">
      <w:pPr>
        <w:spacing w:after="0"/>
        <w:jc w:val="both"/>
        <w:rPr>
          <w:rFonts w:ascii="Segoe UI" w:hAnsi="Segoe UI" w:cs="Segoe UI"/>
          <w:color w:val="014171"/>
          <w:lang w:val="de-DE"/>
        </w:rPr>
      </w:pPr>
      <w:r w:rsidRPr="0040745F">
        <w:rPr>
          <w:rFonts w:ascii="Segoe UI" w:hAnsi="Segoe UI" w:cs="Segoe UI"/>
          <w:color w:val="014171"/>
          <w:lang w:val="de-DE"/>
        </w:rPr>
        <w:t>Die Bedeutung und das Engagement der DCME Group für die Förderung eines vielfältigen Arbeitsplatzes sind in der D&amp;I-Richtlinie der Muttergesellschaft von DCMD festgelegt (die auch als Richtlinie für DCMD als DCME-Tochtergesellsc</w:t>
      </w:r>
      <w:r w:rsidR="00EF2615" w:rsidRPr="0040745F">
        <w:rPr>
          <w:rFonts w:ascii="Segoe UI" w:hAnsi="Segoe UI" w:cs="Segoe UI"/>
          <w:color w:val="014171"/>
          <w:lang w:val="de-DE"/>
        </w:rPr>
        <w:t>haft in der Daiwa-Gruppe dient). Die Richtlinie zielt dara</w:t>
      </w:r>
      <w:r w:rsidR="00E05BD8">
        <w:rPr>
          <w:rFonts w:ascii="Segoe UI" w:hAnsi="Segoe UI" w:cs="Segoe UI"/>
          <w:color w:val="014171"/>
          <w:lang w:val="de-DE"/>
        </w:rPr>
        <w:t>u</w:t>
      </w:r>
      <w:r w:rsidR="00EF2615" w:rsidRPr="0040745F">
        <w:rPr>
          <w:rFonts w:ascii="Segoe UI" w:hAnsi="Segoe UI" w:cs="Segoe UI"/>
          <w:color w:val="014171"/>
          <w:lang w:val="de-DE"/>
        </w:rPr>
        <w:t>f ab, alle unsere internen und externen Mitarbeiter</w:t>
      </w:r>
      <w:r w:rsidRPr="0040745F">
        <w:rPr>
          <w:rFonts w:ascii="Segoe UI" w:hAnsi="Segoe UI" w:cs="Segoe UI"/>
          <w:color w:val="014171"/>
          <w:lang w:val="de-DE"/>
        </w:rPr>
        <w:t xml:space="preserve"> fair, umfassend und frei von Belästigung oder Diskriminierung</w:t>
      </w:r>
      <w:r w:rsidR="00EF2615" w:rsidRPr="0040745F">
        <w:rPr>
          <w:rFonts w:ascii="Segoe UI" w:hAnsi="Segoe UI" w:cs="Segoe UI"/>
          <w:color w:val="014171"/>
          <w:lang w:val="de-DE"/>
        </w:rPr>
        <w:t xml:space="preserve"> zu behandeln</w:t>
      </w:r>
      <w:r w:rsidRPr="0040745F">
        <w:rPr>
          <w:rFonts w:ascii="Segoe UI" w:hAnsi="Segoe UI" w:cs="Segoe UI"/>
          <w:color w:val="014171"/>
          <w:lang w:val="de-DE"/>
        </w:rPr>
        <w:t>. Aufgrund der geringen Mitarbeiterzahl von DCMD gibt es derz</w:t>
      </w:r>
      <w:r w:rsidR="00EF2615" w:rsidRPr="0040745F">
        <w:rPr>
          <w:rFonts w:ascii="Segoe UI" w:hAnsi="Segoe UI" w:cs="Segoe UI"/>
          <w:color w:val="014171"/>
          <w:lang w:val="de-DE"/>
        </w:rPr>
        <w:t xml:space="preserve">eit keine lokale D&amp;I-Richtlinie. </w:t>
      </w:r>
      <w:r w:rsidRPr="0040745F">
        <w:rPr>
          <w:rFonts w:ascii="Segoe UI" w:hAnsi="Segoe UI" w:cs="Segoe UI"/>
          <w:color w:val="014171"/>
          <w:lang w:val="de-DE"/>
        </w:rPr>
        <w:t>DCMD folgt</w:t>
      </w:r>
      <w:r w:rsidR="00EF2615" w:rsidRPr="0040745F">
        <w:rPr>
          <w:rFonts w:ascii="Segoe UI" w:hAnsi="Segoe UI" w:cs="Segoe UI"/>
          <w:color w:val="014171"/>
          <w:lang w:val="de-DE"/>
        </w:rPr>
        <w:t xml:space="preserve"> jedoch</w:t>
      </w:r>
      <w:r w:rsidRPr="0040745F">
        <w:rPr>
          <w:rFonts w:ascii="Segoe UI" w:hAnsi="Segoe UI" w:cs="Segoe UI"/>
          <w:color w:val="014171"/>
          <w:lang w:val="de-DE"/>
        </w:rPr>
        <w:t>, wo immer möglich</w:t>
      </w:r>
      <w:r w:rsidR="00EF2615" w:rsidRPr="0040745F">
        <w:rPr>
          <w:rFonts w:ascii="Segoe UI" w:hAnsi="Segoe UI" w:cs="Segoe UI"/>
          <w:color w:val="014171"/>
          <w:lang w:val="de-DE"/>
        </w:rPr>
        <w:t>, dem D&amp;I-Ansatz der Muttergesellschaft</w:t>
      </w:r>
      <w:r w:rsidRPr="0040745F">
        <w:rPr>
          <w:rFonts w:ascii="Segoe UI" w:hAnsi="Segoe UI" w:cs="Segoe UI"/>
          <w:color w:val="014171"/>
          <w:lang w:val="de-DE"/>
        </w:rPr>
        <w:t>.</w:t>
      </w:r>
    </w:p>
    <w:p w14:paraId="676B7EEC" w14:textId="77777777" w:rsidR="00233DE6" w:rsidRPr="0040745F" w:rsidRDefault="00233DE6" w:rsidP="00E27BB3">
      <w:pPr>
        <w:spacing w:after="0"/>
        <w:jc w:val="both"/>
        <w:rPr>
          <w:rFonts w:ascii="Segoe UI" w:hAnsi="Segoe UI" w:cs="Segoe UI"/>
          <w:color w:val="014171"/>
          <w:lang w:val="de-DE"/>
        </w:rPr>
      </w:pPr>
    </w:p>
    <w:p w14:paraId="721C4F04" w14:textId="43B5D6CA" w:rsidR="009B4ADB" w:rsidRPr="0040745F" w:rsidRDefault="00682497" w:rsidP="00E27BB3">
      <w:pPr>
        <w:pStyle w:val="Heading3"/>
        <w:rPr>
          <w:b w:val="0"/>
          <w:lang w:val="de-DE"/>
        </w:rPr>
      </w:pPr>
      <w:r w:rsidRPr="0040745F">
        <w:rPr>
          <w:lang w:val="de-DE"/>
        </w:rPr>
        <w:t>Zusammensetzung der Geschäftsführung und Diversität</w:t>
      </w:r>
      <w:r w:rsidR="00605068" w:rsidRPr="0040745F">
        <w:rPr>
          <w:lang w:val="de-DE"/>
        </w:rPr>
        <w:t xml:space="preserve"> der Mitarbeiter</w:t>
      </w:r>
    </w:p>
    <w:p w14:paraId="534B6311" w14:textId="77A4AC06" w:rsidR="003274E4" w:rsidRPr="0040745F" w:rsidRDefault="00682497" w:rsidP="00E27BB3">
      <w:pPr>
        <w:spacing w:after="0"/>
        <w:jc w:val="both"/>
        <w:rPr>
          <w:rFonts w:ascii="Segoe UI" w:hAnsi="Segoe UI" w:cs="Segoe UI"/>
          <w:color w:val="014171"/>
          <w:lang w:val="de-DE"/>
        </w:rPr>
      </w:pPr>
      <w:r w:rsidRPr="0040745F">
        <w:rPr>
          <w:rFonts w:ascii="Segoe UI" w:hAnsi="Segoe UI" w:cs="Segoe UI"/>
          <w:color w:val="014171"/>
          <w:lang w:val="de-DE"/>
        </w:rPr>
        <w:t>Im Geschäftsjahr 01.04.2021 – 31.03.2022 beschäftigte DCMD im Jahresdurchschnitt 21,25 Mitarbeiter und 2 Geschäftsführer</w:t>
      </w:r>
      <w:r w:rsidR="006130E5" w:rsidRPr="0040745F">
        <w:rPr>
          <w:rFonts w:ascii="Segoe UI" w:hAnsi="Segoe UI" w:cs="Segoe UI"/>
          <w:color w:val="014171"/>
          <w:lang w:val="de-DE"/>
        </w:rPr>
        <w:t>. Etwa 43,5</w:t>
      </w:r>
      <w:r w:rsidRPr="0040745F">
        <w:rPr>
          <w:rFonts w:ascii="Segoe UI" w:hAnsi="Segoe UI" w:cs="Segoe UI"/>
          <w:color w:val="014171"/>
          <w:lang w:val="de-DE"/>
        </w:rPr>
        <w:t>% der durchschnittlichen Mitarbeiter im Geschäftsjahr waren Frauen, was bedeutet, dass DCMD bereits das Ziel „</w:t>
      </w:r>
      <w:r w:rsidRPr="00E05BD8">
        <w:rPr>
          <w:rFonts w:ascii="Segoe UI" w:hAnsi="Segoe UI" w:cs="Segoe UI"/>
          <w:i/>
          <w:color w:val="014171"/>
          <w:lang w:val="de-DE"/>
        </w:rPr>
        <w:t>Women in Finance</w:t>
      </w:r>
      <w:r w:rsidR="006130E5" w:rsidRPr="0040745F">
        <w:rPr>
          <w:rFonts w:ascii="Segoe UI" w:hAnsi="Segoe UI" w:cs="Segoe UI"/>
          <w:color w:val="014171"/>
          <w:lang w:val="de-DE"/>
        </w:rPr>
        <w:t>“ seiner Muttergesellschaft (40</w:t>
      </w:r>
      <w:r w:rsidRPr="0040745F">
        <w:rPr>
          <w:rFonts w:ascii="Segoe UI" w:hAnsi="Segoe UI" w:cs="Segoe UI"/>
          <w:color w:val="014171"/>
          <w:lang w:val="de-DE"/>
        </w:rPr>
        <w:t>% im Jahresdurchschnitt) erreicht hat. Zum Geschäftsjahresende sank die „</w:t>
      </w:r>
      <w:r w:rsidRPr="00E05BD8">
        <w:rPr>
          <w:rFonts w:ascii="Segoe UI" w:hAnsi="Segoe UI" w:cs="Segoe UI"/>
          <w:i/>
          <w:color w:val="014171"/>
          <w:lang w:val="de-DE"/>
        </w:rPr>
        <w:t>Women in Finance</w:t>
      </w:r>
      <w:r w:rsidRPr="0040745F">
        <w:rPr>
          <w:rFonts w:ascii="Segoe UI" w:hAnsi="Segoe UI" w:cs="Segoe UI"/>
          <w:color w:val="014171"/>
          <w:lang w:val="de-DE"/>
        </w:rPr>
        <w:t>“-Quote bei DCMD aufgrund p</w:t>
      </w:r>
      <w:r w:rsidR="006130E5" w:rsidRPr="0040745F">
        <w:rPr>
          <w:rFonts w:ascii="Segoe UI" w:hAnsi="Segoe UI" w:cs="Segoe UI"/>
          <w:color w:val="014171"/>
          <w:lang w:val="de-DE"/>
        </w:rPr>
        <w:t>ersoneller Veränderungen auf 36</w:t>
      </w:r>
      <w:r w:rsidRPr="0040745F">
        <w:rPr>
          <w:rFonts w:ascii="Segoe UI" w:hAnsi="Segoe UI" w:cs="Segoe UI"/>
          <w:color w:val="014171"/>
          <w:lang w:val="de-DE"/>
        </w:rPr>
        <w:t>%. Die Geschäftsführung wird durch einen Delegierten aus Tokio (Marktseite) und einen deutschen Geschäftsführer (</w:t>
      </w:r>
      <w:r w:rsidR="00F050AB">
        <w:rPr>
          <w:rFonts w:ascii="Segoe UI" w:hAnsi="Segoe UI" w:cs="Segoe UI"/>
          <w:color w:val="014171"/>
          <w:lang w:val="de-DE"/>
        </w:rPr>
        <w:t>Marktfolge</w:t>
      </w:r>
      <w:r w:rsidR="00B75B44" w:rsidRPr="0040745F">
        <w:rPr>
          <w:rFonts w:ascii="Segoe UI" w:hAnsi="Segoe UI" w:cs="Segoe UI"/>
          <w:color w:val="014171"/>
          <w:lang w:val="de-DE"/>
        </w:rPr>
        <w:t xml:space="preserve">) vertreten. </w:t>
      </w:r>
      <w:r w:rsidRPr="0040745F">
        <w:rPr>
          <w:rFonts w:ascii="Segoe UI" w:hAnsi="Segoe UI" w:cs="Segoe UI"/>
          <w:color w:val="014171"/>
          <w:lang w:val="de-DE"/>
        </w:rPr>
        <w:t>DCMD ist in ihrer jetzigen Größe nicht in der Lage, die Zielkennzahle</w:t>
      </w:r>
      <w:r w:rsidR="00B75B44" w:rsidRPr="0040745F">
        <w:rPr>
          <w:rFonts w:ascii="Segoe UI" w:hAnsi="Segoe UI" w:cs="Segoe UI"/>
          <w:color w:val="014171"/>
          <w:lang w:val="de-DE"/>
        </w:rPr>
        <w:t>n sowie entsprechende Status Reviews, wie bei der Muttergesellschaft praktiziert,</w:t>
      </w:r>
      <w:r w:rsidRPr="0040745F">
        <w:rPr>
          <w:rFonts w:ascii="Segoe UI" w:hAnsi="Segoe UI" w:cs="Segoe UI"/>
          <w:color w:val="014171"/>
          <w:lang w:val="de-DE"/>
        </w:rPr>
        <w:t xml:space="preserve"> umzusetzen. Ziel ist es sicherzustellen, dass jede</w:t>
      </w:r>
      <w:r w:rsidR="00605068" w:rsidRPr="0040745F">
        <w:rPr>
          <w:rFonts w:ascii="Segoe UI" w:hAnsi="Segoe UI" w:cs="Segoe UI"/>
          <w:color w:val="014171"/>
          <w:lang w:val="de-DE"/>
        </w:rPr>
        <w:t xml:space="preserve"> potenzielle</w:t>
      </w:r>
      <w:r w:rsidRPr="0040745F">
        <w:rPr>
          <w:rFonts w:ascii="Segoe UI" w:hAnsi="Segoe UI" w:cs="Segoe UI"/>
          <w:color w:val="014171"/>
          <w:lang w:val="de-DE"/>
        </w:rPr>
        <w:t xml:space="preserve"> Erweiterung des Leitungsorgans ein ausgewogenes Verhältnis von Wissen, Erfahrung, Fähigkeiten und Vielfalt darstellt. Darüber hinaus beschäftigt DCMD Mitarbeiter aus sieben verschiedenen Nationen mit unterschiedlichem kulturellem Hintergrund.</w:t>
      </w:r>
      <w:r w:rsidR="00605068" w:rsidRPr="0040745F">
        <w:rPr>
          <w:rFonts w:ascii="Segoe UI" w:hAnsi="Segoe UI" w:cs="Segoe UI"/>
          <w:color w:val="014171"/>
          <w:lang w:val="de-DE"/>
        </w:rPr>
        <w:t xml:space="preserve"> </w:t>
      </w:r>
      <w:r w:rsidR="003274E4" w:rsidRPr="0040745F">
        <w:rPr>
          <w:rFonts w:ascii="Segoe UI" w:hAnsi="Segoe UI" w:cs="Segoe UI"/>
          <w:color w:val="014171"/>
          <w:lang w:val="de-DE"/>
        </w:rPr>
        <w:br w:type="page"/>
      </w:r>
    </w:p>
    <w:p w14:paraId="7068F9CD" w14:textId="6053FA67" w:rsidR="00576600" w:rsidRPr="0040745F" w:rsidRDefault="00091D98" w:rsidP="00A02BEA">
      <w:pPr>
        <w:pStyle w:val="Heading1"/>
        <w:ind w:left="431" w:hanging="431"/>
        <w:rPr>
          <w:lang w:val="de-DE"/>
        </w:rPr>
      </w:pPr>
      <w:bookmarkStart w:id="51" w:name="_Toc102121161"/>
      <w:bookmarkStart w:id="52" w:name="_Toc123138019"/>
      <w:r w:rsidRPr="0040745F">
        <w:rPr>
          <w:lang w:val="de-DE"/>
        </w:rPr>
        <w:lastRenderedPageBreak/>
        <w:t>Eigenmittel</w:t>
      </w:r>
      <w:r w:rsidR="00DA4F5C" w:rsidRPr="0040745F">
        <w:rPr>
          <w:lang w:val="de-DE"/>
        </w:rPr>
        <w:t xml:space="preserve"> (</w:t>
      </w:r>
      <w:r w:rsidR="005F0C99" w:rsidRPr="0040745F">
        <w:rPr>
          <w:lang w:val="de-DE"/>
        </w:rPr>
        <w:t>A</w:t>
      </w:r>
      <w:r w:rsidR="00DA4F5C" w:rsidRPr="0040745F">
        <w:rPr>
          <w:lang w:val="de-DE"/>
        </w:rPr>
        <w:t>rti</w:t>
      </w:r>
      <w:r w:rsidRPr="0040745F">
        <w:rPr>
          <w:lang w:val="de-DE"/>
        </w:rPr>
        <w:t>kel</w:t>
      </w:r>
      <w:r w:rsidR="00B60BC1" w:rsidRPr="0040745F">
        <w:rPr>
          <w:lang w:val="de-DE"/>
        </w:rPr>
        <w:t xml:space="preserve"> 49</w:t>
      </w:r>
      <w:r w:rsidR="00DA4F5C" w:rsidRPr="0040745F">
        <w:rPr>
          <w:lang w:val="de-DE"/>
        </w:rPr>
        <w:t xml:space="preserve"> IFR</w:t>
      </w:r>
      <w:r w:rsidR="00E20824" w:rsidRPr="0040745F">
        <w:rPr>
          <w:lang w:val="de-DE"/>
        </w:rPr>
        <w:t>)</w:t>
      </w:r>
      <w:bookmarkStart w:id="53" w:name="_Toc114670924"/>
      <w:bookmarkEnd w:id="51"/>
      <w:bookmarkEnd w:id="53"/>
      <w:bookmarkEnd w:id="52"/>
    </w:p>
    <w:p w14:paraId="31A3C851" w14:textId="6DE36A1D" w:rsidR="00A24E2C" w:rsidRPr="0040745F" w:rsidRDefault="00091D98" w:rsidP="00E27BB3">
      <w:pPr>
        <w:pStyle w:val="Heading2"/>
        <w:rPr>
          <w:lang w:val="de-DE"/>
        </w:rPr>
      </w:pPr>
      <w:bookmarkStart w:id="54" w:name="_Toc102121162"/>
      <w:bookmarkStart w:id="55" w:name="_Toc123138020"/>
      <w:r w:rsidRPr="0040745F">
        <w:rPr>
          <w:lang w:val="de-DE"/>
        </w:rPr>
        <w:t>Zusammensetzung der</w:t>
      </w:r>
      <w:bookmarkEnd w:id="54"/>
      <w:r w:rsidRPr="0040745F">
        <w:rPr>
          <w:lang w:val="de-DE"/>
        </w:rPr>
        <w:t xml:space="preserve"> Regulatorischen Eigenmittel</w:t>
      </w:r>
      <w:bookmarkEnd w:id="55"/>
    </w:p>
    <w:p w14:paraId="5C51856B" w14:textId="47A598A8" w:rsidR="003C716D" w:rsidRDefault="003C716D" w:rsidP="003C716D">
      <w:pPr>
        <w:rPr>
          <w:rFonts w:ascii="Segoe UI" w:hAnsi="Segoe UI" w:cs="Segoe UI"/>
          <w:color w:val="014171"/>
          <w:lang w:val="de-DE" w:eastAsia="ja-JP"/>
        </w:rPr>
      </w:pPr>
      <w:r w:rsidRPr="00D815A9">
        <w:rPr>
          <w:rFonts w:ascii="Segoe UI" w:hAnsi="Segoe UI" w:cs="Segoe UI"/>
          <w:color w:val="014171"/>
          <w:lang w:val="de-DE"/>
        </w:rPr>
        <w:t>DCMDs Eigenmittel bestehen ausschließlich aus CET1 Kapital</w:t>
      </w:r>
      <w:r w:rsidR="006C6B73" w:rsidRPr="00D815A9">
        <w:rPr>
          <w:rFonts w:ascii="Segoe UI" w:hAnsi="Segoe UI" w:cs="Segoe UI"/>
          <w:color w:val="014171"/>
          <w:lang w:val="de-DE"/>
        </w:rPr>
        <w:t>. Die Eigenmittel beinhalten das durch vorgetragene</w:t>
      </w:r>
      <w:r w:rsidRPr="00D815A9">
        <w:rPr>
          <w:rFonts w:ascii="Segoe UI" w:hAnsi="Segoe UI" w:cs="Segoe UI"/>
          <w:color w:val="014171"/>
          <w:lang w:val="de-DE"/>
        </w:rPr>
        <w:t xml:space="preserve"> Verluste sowie sonstige Abzugspositionen</w:t>
      </w:r>
      <w:r w:rsidR="006C6B73" w:rsidRPr="00D815A9">
        <w:rPr>
          <w:rFonts w:ascii="Segoe UI" w:hAnsi="Segoe UI" w:cs="Segoe UI"/>
          <w:color w:val="014171"/>
          <w:lang w:val="de-DE"/>
        </w:rPr>
        <w:t xml:space="preserve"> (vorliegend ausschließlich aufsichtsrechtliche Abschreibungen</w:t>
      </w:r>
      <w:r w:rsidRPr="00D815A9">
        <w:rPr>
          <w:rFonts w:ascii="Segoe UI" w:hAnsi="Segoe UI" w:cs="Segoe UI"/>
          <w:color w:val="014171"/>
          <w:lang w:val="de-DE"/>
        </w:rPr>
        <w:t xml:space="preserve"> auf immaterielle Vermögensgegenstände</w:t>
      </w:r>
      <w:r w:rsidR="006C6B73" w:rsidRPr="00D815A9">
        <w:rPr>
          <w:rFonts w:ascii="Segoe UI" w:hAnsi="Segoe UI" w:cs="Segoe UI"/>
          <w:color w:val="014171"/>
          <w:lang w:val="de-DE"/>
        </w:rPr>
        <w:t>) reduzierte Stammkapital.</w:t>
      </w:r>
    </w:p>
    <w:p w14:paraId="24DF84A2" w14:textId="6575958B" w:rsidR="005F0C99" w:rsidRPr="0040745F" w:rsidRDefault="00E14F17" w:rsidP="00E27BB3">
      <w:pPr>
        <w:spacing w:after="0"/>
        <w:jc w:val="both"/>
        <w:rPr>
          <w:rFonts w:ascii="Segoe UI" w:hAnsi="Segoe UI" w:cs="Segoe UI"/>
          <w:color w:val="014171"/>
          <w:lang w:val="de-DE"/>
        </w:rPr>
      </w:pPr>
      <w:r w:rsidRPr="0040745F">
        <w:rPr>
          <w:rFonts w:ascii="Segoe UI" w:hAnsi="Segoe UI" w:cs="Segoe UI"/>
          <w:color w:val="014171"/>
          <w:lang w:val="de-DE"/>
        </w:rPr>
        <w:t>Zum 31. März 2022 und im Laufe des Geschäftsjahres erfüllte DCMD alle extern auferlegten Kapitalanforderung</w:t>
      </w:r>
      <w:r w:rsidR="00EA056A" w:rsidRPr="0040745F">
        <w:rPr>
          <w:rFonts w:ascii="Segoe UI" w:hAnsi="Segoe UI" w:cs="Segoe UI"/>
          <w:color w:val="014171"/>
          <w:lang w:val="de-DE"/>
        </w:rPr>
        <w:t xml:space="preserve">en </w:t>
      </w:r>
      <w:r w:rsidRPr="0040745F">
        <w:rPr>
          <w:rFonts w:ascii="Segoe UI" w:hAnsi="Segoe UI" w:cs="Segoe UI"/>
          <w:color w:val="014171"/>
          <w:lang w:val="de-DE"/>
        </w:rPr>
        <w:t xml:space="preserve">gemäß den Vorschriften der </w:t>
      </w:r>
      <w:r w:rsidR="00E05BD8" w:rsidRPr="00E05BD8">
        <w:rPr>
          <w:rFonts w:ascii="Segoe UI" w:hAnsi="Segoe UI" w:cs="Segoe UI"/>
          <w:color w:val="014171"/>
          <w:lang w:val="de-DE"/>
        </w:rPr>
        <w:t>Kapitaladäquanzverordnung</w:t>
      </w:r>
      <w:r w:rsidRPr="0040745F">
        <w:rPr>
          <w:rFonts w:ascii="Segoe UI" w:hAnsi="Segoe UI" w:cs="Segoe UI"/>
          <w:color w:val="014171"/>
          <w:lang w:val="de-DE"/>
        </w:rPr>
        <w:t xml:space="preserve"> (</w:t>
      </w:r>
      <w:r w:rsidR="00724E9E" w:rsidRPr="00D815A9">
        <w:rPr>
          <w:rFonts w:ascii="Segoe UI" w:hAnsi="Segoe UI" w:cs="Segoe UI"/>
          <w:i/>
          <w:color w:val="014171"/>
          <w:lang w:val="de-DE"/>
        </w:rPr>
        <w:t>Capital Requirements Regulation</w:t>
      </w:r>
      <w:r w:rsidR="00724E9E" w:rsidRPr="00724E9E">
        <w:rPr>
          <w:rFonts w:ascii="Segoe UI" w:hAnsi="Segoe UI" w:cs="Segoe UI"/>
          <w:color w:val="014171"/>
          <w:lang w:val="de-DE"/>
        </w:rPr>
        <w:t xml:space="preserve"> </w:t>
      </w:r>
      <w:r w:rsidRPr="0040745F">
        <w:rPr>
          <w:rFonts w:ascii="Segoe UI" w:hAnsi="Segoe UI" w:cs="Segoe UI"/>
          <w:color w:val="014171"/>
          <w:lang w:val="de-DE"/>
        </w:rPr>
        <w:t>„CRR“) (bis 26. Juni 2021) und</w:t>
      </w:r>
      <w:r w:rsidR="00EA056A" w:rsidRPr="0040745F">
        <w:rPr>
          <w:rFonts w:ascii="Segoe UI" w:hAnsi="Segoe UI" w:cs="Segoe UI"/>
          <w:color w:val="014171"/>
          <w:lang w:val="de-DE"/>
        </w:rPr>
        <w:t xml:space="preserve"> IFR </w:t>
      </w:r>
      <w:r w:rsidR="00E05BD8">
        <w:rPr>
          <w:rFonts w:ascii="Segoe UI" w:hAnsi="Segoe UI" w:cs="Segoe UI"/>
          <w:color w:val="014171"/>
          <w:lang w:val="de-DE"/>
        </w:rPr>
        <w:t>(</w:t>
      </w:r>
      <w:r w:rsidRPr="0040745F">
        <w:rPr>
          <w:rFonts w:ascii="Segoe UI" w:hAnsi="Segoe UI" w:cs="Segoe UI"/>
          <w:color w:val="014171"/>
          <w:lang w:val="de-DE"/>
        </w:rPr>
        <w:t>ab 26. Juni 202</w:t>
      </w:r>
      <w:r w:rsidR="003C716D">
        <w:rPr>
          <w:rFonts w:ascii="Segoe UI" w:hAnsi="Segoe UI" w:cs="Segoe UI"/>
          <w:color w:val="014171"/>
          <w:lang w:val="de-DE"/>
        </w:rPr>
        <w:t>1</w:t>
      </w:r>
      <w:r w:rsidRPr="0040745F">
        <w:rPr>
          <w:rFonts w:ascii="Segoe UI" w:hAnsi="Segoe UI" w:cs="Segoe UI"/>
          <w:color w:val="014171"/>
          <w:lang w:val="de-DE"/>
        </w:rPr>
        <w:t>).</w:t>
      </w:r>
    </w:p>
    <w:p w14:paraId="4E6A693C" w14:textId="0CC96B7C" w:rsidR="002B05C1" w:rsidRPr="0040745F" w:rsidRDefault="002B05C1" w:rsidP="00E27BB3">
      <w:pPr>
        <w:spacing w:after="0"/>
        <w:jc w:val="both"/>
        <w:rPr>
          <w:rFonts w:ascii="Segoe UI" w:hAnsi="Segoe UI" w:cs="Segoe UI"/>
          <w:color w:val="014171"/>
          <w:lang w:val="de-DE"/>
        </w:rPr>
      </w:pPr>
    </w:p>
    <w:p w14:paraId="0A123436" w14:textId="0D0F925D" w:rsidR="00C801E6" w:rsidRPr="0040745F" w:rsidRDefault="00A836B2" w:rsidP="00E27BB3">
      <w:pPr>
        <w:spacing w:after="0"/>
        <w:jc w:val="center"/>
        <w:rPr>
          <w:rFonts w:ascii="Segoe UI" w:hAnsi="Segoe UI" w:cs="Segoe UI"/>
          <w:color w:val="014171"/>
          <w:lang w:val="de-DE"/>
        </w:rPr>
      </w:pPr>
      <w:bookmarkStart w:id="56" w:name="_Toc35604262"/>
      <w:r w:rsidRPr="0040745F">
        <w:rPr>
          <w:rFonts w:ascii="Segoe UI" w:hAnsi="Segoe UI" w:cs="Segoe UI"/>
          <w:b/>
          <w:color w:val="014171"/>
          <w:lang w:val="de-DE"/>
        </w:rPr>
        <w:t>Tab</w:t>
      </w:r>
      <w:r w:rsidR="00091D98" w:rsidRPr="0040745F">
        <w:rPr>
          <w:rFonts w:ascii="Segoe UI" w:hAnsi="Segoe UI" w:cs="Segoe UI"/>
          <w:b/>
          <w:color w:val="014171"/>
          <w:lang w:val="de-DE"/>
        </w:rPr>
        <w:t>elle</w:t>
      </w:r>
      <w:r w:rsidRPr="0040745F">
        <w:rPr>
          <w:rFonts w:ascii="Segoe UI" w:hAnsi="Segoe UI" w:cs="Segoe UI"/>
          <w:b/>
          <w:color w:val="014171"/>
          <w:lang w:val="de-DE"/>
        </w:rPr>
        <w:t xml:space="preserve"> 1</w:t>
      </w:r>
      <w:r w:rsidR="00AA12FA" w:rsidRPr="0040745F">
        <w:rPr>
          <w:rFonts w:ascii="Segoe UI" w:hAnsi="Segoe UI" w:cs="Segoe UI"/>
          <w:b/>
          <w:color w:val="014171"/>
          <w:lang w:val="de-DE"/>
        </w:rPr>
        <w:t xml:space="preserve"> </w:t>
      </w:r>
      <w:bookmarkEnd w:id="56"/>
      <w:r w:rsidR="00091D98" w:rsidRPr="0040745F">
        <w:rPr>
          <w:rFonts w:ascii="Segoe UI" w:hAnsi="Segoe UI" w:cs="Segoe UI"/>
          <w:b/>
          <w:color w:val="014171"/>
          <w:lang w:val="de-DE"/>
        </w:rPr>
        <w:t>–</w:t>
      </w:r>
      <w:r w:rsidR="00340047" w:rsidRPr="0040745F">
        <w:rPr>
          <w:rFonts w:ascii="Segoe UI" w:hAnsi="Segoe UI" w:cs="Segoe UI"/>
          <w:b/>
          <w:color w:val="014171"/>
          <w:lang w:val="de-DE"/>
        </w:rPr>
        <w:t xml:space="preserve"> </w:t>
      </w:r>
      <w:r w:rsidR="00091D98" w:rsidRPr="0040745F">
        <w:rPr>
          <w:rFonts w:ascii="Segoe UI" w:hAnsi="Segoe UI" w:cs="Segoe UI"/>
          <w:b/>
          <w:color w:val="014171"/>
          <w:lang w:val="de-DE"/>
        </w:rPr>
        <w:t xml:space="preserve">Zusammensetzung der Regulatorischen Eigenmittel </w:t>
      </w:r>
      <w:r w:rsidR="006D0C38" w:rsidRPr="0040745F">
        <w:rPr>
          <w:rFonts w:ascii="Segoe UI" w:hAnsi="Segoe UI" w:cs="Segoe UI"/>
          <w:b/>
          <w:color w:val="014171"/>
          <w:lang w:val="de-DE"/>
        </w:rPr>
        <w:t>(EU IF CC1.01)</w:t>
      </w:r>
    </w:p>
    <w:p w14:paraId="273C3B99" w14:textId="163EB1E9" w:rsidR="00A836B2" w:rsidRPr="0040745F" w:rsidRDefault="00C26D26" w:rsidP="00E27BB3">
      <w:pPr>
        <w:spacing w:after="0"/>
        <w:jc w:val="center"/>
        <w:rPr>
          <w:rFonts w:ascii="Segoe UI" w:hAnsi="Segoe UI" w:cs="Segoe UI"/>
          <w:color w:val="014171"/>
          <w:lang w:val="de-DE"/>
        </w:rPr>
      </w:pPr>
      <w:r w:rsidRPr="0040745F">
        <w:rPr>
          <w:rFonts w:ascii="Segoe UI" w:hAnsi="Segoe UI" w:cs="Segoe UI"/>
          <w:color w:val="014171"/>
          <w:lang w:val="de-DE"/>
        </w:rPr>
        <w:t>Geprüfter und genehmigter Jahresabschluss zum 31. März 2022</w:t>
      </w:r>
    </w:p>
    <w:p w14:paraId="682BB5C8" w14:textId="77777777" w:rsidR="000E6E44" w:rsidRPr="0040745F" w:rsidRDefault="000E6E44" w:rsidP="00E27BB3">
      <w:pPr>
        <w:spacing w:after="0"/>
        <w:jc w:val="center"/>
        <w:rPr>
          <w:rFonts w:ascii="Segoe UI" w:hAnsi="Segoe UI" w:cs="Segoe UI"/>
          <w:color w:val="014171"/>
          <w:lang w:val="de-DE"/>
        </w:rPr>
      </w:pPr>
    </w:p>
    <w:tbl>
      <w:tblPr>
        <w:tblW w:w="9267" w:type="dxa"/>
        <w:tblLayout w:type="fixed"/>
        <w:tblLook w:val="0000" w:firstRow="0" w:lastRow="0" w:firstColumn="0" w:lastColumn="0" w:noHBand="0" w:noVBand="0"/>
      </w:tblPr>
      <w:tblGrid>
        <w:gridCol w:w="567"/>
        <w:gridCol w:w="4253"/>
        <w:gridCol w:w="1129"/>
        <w:gridCol w:w="3318"/>
      </w:tblGrid>
      <w:tr w:rsidR="006775E5" w:rsidRPr="002800FC" w14:paraId="408C5DC4" w14:textId="77777777" w:rsidTr="006775E5">
        <w:trPr>
          <w:trHeight w:val="148"/>
        </w:trPr>
        <w:tc>
          <w:tcPr>
            <w:tcW w:w="567" w:type="dxa"/>
            <w:tcBorders>
              <w:top w:val="single" w:sz="4" w:space="0" w:color="014171"/>
              <w:bottom w:val="single" w:sz="4" w:space="0" w:color="014171"/>
            </w:tcBorders>
            <w:shd w:val="clear" w:color="auto" w:fill="002060"/>
          </w:tcPr>
          <w:p w14:paraId="68403A94" w14:textId="77777777" w:rsidR="00B37C13" w:rsidRPr="0040745F" w:rsidRDefault="00B37C13" w:rsidP="00370CC2">
            <w:pPr>
              <w:autoSpaceDE w:val="0"/>
              <w:autoSpaceDN w:val="0"/>
              <w:adjustRightInd w:val="0"/>
              <w:spacing w:after="0"/>
              <w:jc w:val="both"/>
              <w:rPr>
                <w:rFonts w:ascii="Segoe UI" w:hAnsi="Segoe UI" w:cs="Segoe UI"/>
                <w:b/>
                <w:bCs/>
                <w:color w:val="FFFFFF" w:themeColor="background1"/>
                <w:sz w:val="18"/>
                <w:szCs w:val="18"/>
                <w:lang w:val="de-DE" w:eastAsia="en-GB"/>
              </w:rPr>
            </w:pPr>
          </w:p>
        </w:tc>
        <w:tc>
          <w:tcPr>
            <w:tcW w:w="4253" w:type="dxa"/>
            <w:tcBorders>
              <w:top w:val="single" w:sz="4" w:space="0" w:color="014171"/>
              <w:bottom w:val="single" w:sz="4" w:space="0" w:color="014171"/>
            </w:tcBorders>
            <w:shd w:val="clear" w:color="auto" w:fill="002060"/>
            <w:vAlign w:val="center"/>
          </w:tcPr>
          <w:p w14:paraId="03143854" w14:textId="7E3BFADA" w:rsidR="00B37C13" w:rsidRPr="0040745F" w:rsidRDefault="00C26D26" w:rsidP="00370CC2">
            <w:pPr>
              <w:autoSpaceDE w:val="0"/>
              <w:autoSpaceDN w:val="0"/>
              <w:adjustRightInd w:val="0"/>
              <w:spacing w:after="0"/>
              <w:jc w:val="both"/>
              <w:rPr>
                <w:rFonts w:ascii="Segoe UI" w:hAnsi="Segoe UI" w:cs="Segoe UI"/>
                <w:b/>
                <w:bCs/>
                <w:color w:val="FFFFFF" w:themeColor="background1"/>
                <w:sz w:val="18"/>
                <w:szCs w:val="18"/>
                <w:lang w:val="de-DE" w:eastAsia="en-GB"/>
              </w:rPr>
            </w:pPr>
            <w:r w:rsidRPr="0040745F">
              <w:rPr>
                <w:rFonts w:ascii="Segoe UI" w:hAnsi="Segoe UI" w:cs="Segoe UI"/>
                <w:b/>
                <w:bCs/>
                <w:color w:val="FFFFFF" w:themeColor="background1"/>
                <w:sz w:val="18"/>
                <w:szCs w:val="18"/>
                <w:lang w:val="de-DE" w:eastAsia="en-GB"/>
              </w:rPr>
              <w:t>Posten</w:t>
            </w:r>
          </w:p>
        </w:tc>
        <w:tc>
          <w:tcPr>
            <w:tcW w:w="1129" w:type="dxa"/>
            <w:tcBorders>
              <w:top w:val="single" w:sz="4" w:space="0" w:color="014171"/>
              <w:bottom w:val="single" w:sz="4" w:space="0" w:color="014171"/>
            </w:tcBorders>
            <w:shd w:val="clear" w:color="auto" w:fill="002060"/>
            <w:vAlign w:val="center"/>
          </w:tcPr>
          <w:p w14:paraId="39C1ABF5" w14:textId="2C59E841" w:rsidR="00B37C13" w:rsidRPr="0040745F" w:rsidRDefault="00C26D26">
            <w:pPr>
              <w:autoSpaceDE w:val="0"/>
              <w:autoSpaceDN w:val="0"/>
              <w:adjustRightInd w:val="0"/>
              <w:spacing w:after="0"/>
              <w:jc w:val="both"/>
              <w:rPr>
                <w:rFonts w:ascii="Segoe UI" w:hAnsi="Segoe UI" w:cs="Segoe UI"/>
                <w:b/>
                <w:bCs/>
                <w:color w:val="FFFFFF" w:themeColor="background1"/>
                <w:sz w:val="18"/>
                <w:szCs w:val="18"/>
                <w:lang w:val="de-DE" w:eastAsia="en-GB"/>
              </w:rPr>
            </w:pPr>
            <w:r w:rsidRPr="0040745F">
              <w:rPr>
                <w:rFonts w:ascii="Segoe UI" w:hAnsi="Segoe UI" w:cs="Segoe UI"/>
                <w:b/>
                <w:bCs/>
                <w:color w:val="FFFFFF" w:themeColor="background1"/>
                <w:sz w:val="18"/>
                <w:szCs w:val="18"/>
                <w:lang w:val="de-DE" w:eastAsia="en-GB"/>
              </w:rPr>
              <w:t xml:space="preserve">Betrag </w:t>
            </w:r>
            <w:r w:rsidR="00B37C13" w:rsidRPr="0040745F">
              <w:rPr>
                <w:rFonts w:ascii="Segoe UI" w:hAnsi="Segoe UI" w:cs="Segoe UI"/>
                <w:b/>
                <w:bCs/>
                <w:color w:val="FFFFFF" w:themeColor="background1"/>
                <w:sz w:val="18"/>
                <w:szCs w:val="18"/>
                <w:lang w:val="de-DE" w:eastAsia="en-GB"/>
              </w:rPr>
              <w:t xml:space="preserve">in </w:t>
            </w:r>
            <w:r w:rsidRPr="0040745F">
              <w:rPr>
                <w:rFonts w:ascii="Segoe UI" w:hAnsi="Segoe UI" w:cs="Segoe UI"/>
                <w:b/>
                <w:bCs/>
                <w:color w:val="FFFFFF" w:themeColor="background1"/>
                <w:sz w:val="18"/>
                <w:szCs w:val="18"/>
                <w:lang w:val="de-DE" w:eastAsia="en-GB"/>
              </w:rPr>
              <w:t xml:space="preserve">Tsd </w:t>
            </w:r>
            <w:r w:rsidR="00B37C13" w:rsidRPr="0040745F">
              <w:rPr>
                <w:rFonts w:ascii="Segoe UI" w:hAnsi="Segoe UI" w:cs="Segoe UI"/>
                <w:b/>
                <w:bCs/>
                <w:color w:val="FFFFFF" w:themeColor="background1"/>
                <w:sz w:val="18"/>
                <w:szCs w:val="18"/>
                <w:lang w:val="de-DE" w:eastAsia="en-GB"/>
              </w:rPr>
              <w:t>EUR</w:t>
            </w:r>
          </w:p>
        </w:tc>
        <w:tc>
          <w:tcPr>
            <w:tcW w:w="3318" w:type="dxa"/>
            <w:tcBorders>
              <w:top w:val="single" w:sz="4" w:space="0" w:color="014171"/>
              <w:bottom w:val="single" w:sz="4" w:space="0" w:color="014171"/>
            </w:tcBorders>
            <w:shd w:val="clear" w:color="auto" w:fill="002060"/>
            <w:vAlign w:val="center"/>
          </w:tcPr>
          <w:p w14:paraId="55EEADBF" w14:textId="16296780" w:rsidR="00B37C13" w:rsidRPr="0040745F" w:rsidRDefault="00C26D26" w:rsidP="00370CC2">
            <w:pPr>
              <w:autoSpaceDE w:val="0"/>
              <w:autoSpaceDN w:val="0"/>
              <w:adjustRightInd w:val="0"/>
              <w:spacing w:after="0"/>
              <w:jc w:val="both"/>
              <w:rPr>
                <w:rFonts w:ascii="Segoe UI" w:hAnsi="Segoe UI" w:cs="Segoe UI"/>
                <w:b/>
                <w:bCs/>
                <w:color w:val="FFFFFF" w:themeColor="background1"/>
                <w:sz w:val="18"/>
                <w:szCs w:val="18"/>
                <w:lang w:val="de-DE" w:eastAsia="en-GB"/>
              </w:rPr>
            </w:pPr>
            <w:r w:rsidRPr="0040745F">
              <w:rPr>
                <w:rFonts w:ascii="Segoe UI" w:hAnsi="Segoe UI" w:cs="Segoe UI"/>
                <w:b/>
                <w:bCs/>
                <w:color w:val="FFFFFF" w:themeColor="background1"/>
                <w:sz w:val="18"/>
                <w:szCs w:val="18"/>
                <w:lang w:val="de-DE" w:eastAsia="en-GB"/>
              </w:rPr>
              <w:t>Quelle auf Grundlage von Referenznummern/-buchstaben der in den geprüften Abschlüssen enthaltenen Bilanz</w:t>
            </w:r>
          </w:p>
        </w:tc>
      </w:tr>
      <w:tr w:rsidR="006775E5" w:rsidRPr="0040745F" w14:paraId="569CAC08" w14:textId="77777777" w:rsidTr="00A02BEA">
        <w:trPr>
          <w:trHeight w:val="148"/>
        </w:trPr>
        <w:tc>
          <w:tcPr>
            <w:tcW w:w="567" w:type="dxa"/>
            <w:tcBorders>
              <w:top w:val="single" w:sz="4" w:space="0" w:color="014171"/>
              <w:bottom w:val="single" w:sz="12" w:space="0" w:color="014171"/>
            </w:tcBorders>
          </w:tcPr>
          <w:p w14:paraId="63F5F8D3" w14:textId="40D693C5" w:rsidR="006775E5" w:rsidRPr="0040745F" w:rsidRDefault="006775E5" w:rsidP="006775E5">
            <w:pPr>
              <w:autoSpaceDE w:val="0"/>
              <w:autoSpaceDN w:val="0"/>
              <w:adjustRightInd w:val="0"/>
              <w:spacing w:after="0"/>
              <w:jc w:val="both"/>
              <w:rPr>
                <w:rFonts w:ascii="Segoe UI" w:hAnsi="Segoe UI" w:cs="Segoe UI"/>
                <w:b/>
                <w:color w:val="014171"/>
                <w:sz w:val="18"/>
                <w:szCs w:val="18"/>
                <w:lang w:val="de-DE" w:eastAsia="en-GB"/>
              </w:rPr>
            </w:pPr>
            <w:r w:rsidRPr="0040745F">
              <w:rPr>
                <w:rFonts w:ascii="Segoe UI" w:hAnsi="Segoe UI" w:cs="Segoe UI"/>
                <w:b/>
                <w:color w:val="014171"/>
                <w:sz w:val="18"/>
                <w:szCs w:val="18"/>
                <w:lang w:val="de-DE"/>
              </w:rPr>
              <w:t>1</w:t>
            </w:r>
          </w:p>
        </w:tc>
        <w:tc>
          <w:tcPr>
            <w:tcW w:w="4253" w:type="dxa"/>
            <w:tcBorders>
              <w:top w:val="single" w:sz="4" w:space="0" w:color="014171"/>
              <w:bottom w:val="single" w:sz="12" w:space="0" w:color="014171"/>
            </w:tcBorders>
          </w:tcPr>
          <w:p w14:paraId="6E57A193" w14:textId="4D74470E" w:rsidR="006775E5" w:rsidRPr="0040745F" w:rsidRDefault="00C531F4" w:rsidP="006775E5">
            <w:pPr>
              <w:autoSpaceDE w:val="0"/>
              <w:autoSpaceDN w:val="0"/>
              <w:adjustRightInd w:val="0"/>
              <w:spacing w:after="0"/>
              <w:jc w:val="both"/>
              <w:rPr>
                <w:rFonts w:ascii="Segoe UI" w:hAnsi="Segoe UI" w:cs="Segoe UI"/>
                <w:b/>
                <w:color w:val="014171"/>
                <w:sz w:val="18"/>
                <w:szCs w:val="18"/>
                <w:lang w:val="de-DE" w:eastAsia="en-GB"/>
              </w:rPr>
            </w:pPr>
            <w:r w:rsidRPr="0040745F">
              <w:rPr>
                <w:rFonts w:ascii="Segoe UI" w:hAnsi="Segoe UI" w:cs="Segoe UI"/>
                <w:b/>
                <w:color w:val="014171"/>
                <w:sz w:val="18"/>
                <w:szCs w:val="18"/>
                <w:lang w:val="de-DE"/>
              </w:rPr>
              <w:t>EIGENMITTEL</w:t>
            </w:r>
          </w:p>
        </w:tc>
        <w:tc>
          <w:tcPr>
            <w:tcW w:w="1129" w:type="dxa"/>
            <w:tcBorders>
              <w:top w:val="single" w:sz="4" w:space="0" w:color="014171"/>
              <w:bottom w:val="single" w:sz="12" w:space="0" w:color="014171"/>
            </w:tcBorders>
          </w:tcPr>
          <w:p w14:paraId="32DE65F6" w14:textId="4BC4E1CD" w:rsidR="006775E5" w:rsidRPr="0040745F" w:rsidRDefault="006775E5" w:rsidP="0074724B">
            <w:pPr>
              <w:autoSpaceDE w:val="0"/>
              <w:autoSpaceDN w:val="0"/>
              <w:adjustRightInd w:val="0"/>
              <w:spacing w:after="0"/>
              <w:jc w:val="right"/>
              <w:rPr>
                <w:rFonts w:ascii="Segoe UI" w:hAnsi="Segoe UI" w:cs="Segoe UI"/>
                <w:b/>
                <w:bCs/>
                <w:color w:val="014171"/>
                <w:sz w:val="18"/>
                <w:szCs w:val="18"/>
                <w:lang w:val="de-DE" w:eastAsia="en-GB"/>
              </w:rPr>
            </w:pPr>
            <w:r w:rsidRPr="0040745F">
              <w:rPr>
                <w:rFonts w:ascii="Segoe UI" w:hAnsi="Segoe UI" w:cs="Segoe UI"/>
                <w:color w:val="014171"/>
                <w:sz w:val="18"/>
                <w:szCs w:val="18"/>
                <w:lang w:val="de-DE"/>
              </w:rPr>
              <w:t>31</w:t>
            </w:r>
            <w:r w:rsidR="00C26D26"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488</w:t>
            </w:r>
            <w:r w:rsidR="00C26D26"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06</w:t>
            </w:r>
          </w:p>
        </w:tc>
        <w:tc>
          <w:tcPr>
            <w:tcW w:w="3318" w:type="dxa"/>
            <w:tcBorders>
              <w:top w:val="single" w:sz="4" w:space="0" w:color="014171"/>
              <w:bottom w:val="single" w:sz="12" w:space="0" w:color="014171"/>
            </w:tcBorders>
          </w:tcPr>
          <w:p w14:paraId="18FA5507" w14:textId="77777777" w:rsidR="006775E5" w:rsidRPr="0040745F" w:rsidRDefault="006775E5" w:rsidP="006775E5">
            <w:pPr>
              <w:autoSpaceDE w:val="0"/>
              <w:autoSpaceDN w:val="0"/>
              <w:adjustRightInd w:val="0"/>
              <w:spacing w:after="0"/>
              <w:jc w:val="both"/>
              <w:rPr>
                <w:rFonts w:ascii="Segoe UI" w:hAnsi="Segoe UI" w:cs="Segoe UI"/>
                <w:b/>
                <w:bCs/>
                <w:color w:val="014171"/>
                <w:sz w:val="18"/>
                <w:szCs w:val="18"/>
                <w:lang w:val="de-DE" w:eastAsia="en-GB"/>
              </w:rPr>
            </w:pPr>
          </w:p>
        </w:tc>
      </w:tr>
      <w:tr w:rsidR="006775E5" w:rsidRPr="0040745F" w14:paraId="5BBB1DE1" w14:textId="77777777" w:rsidTr="00A02BEA">
        <w:trPr>
          <w:trHeight w:val="148"/>
        </w:trPr>
        <w:tc>
          <w:tcPr>
            <w:tcW w:w="567" w:type="dxa"/>
            <w:tcBorders>
              <w:top w:val="single" w:sz="12" w:space="0" w:color="014171"/>
              <w:bottom w:val="single" w:sz="12" w:space="0" w:color="014171"/>
            </w:tcBorders>
          </w:tcPr>
          <w:p w14:paraId="53809B7A" w14:textId="1391D20A" w:rsidR="006775E5" w:rsidRPr="0040745F" w:rsidRDefault="006775E5" w:rsidP="006775E5">
            <w:pPr>
              <w:autoSpaceDE w:val="0"/>
              <w:autoSpaceDN w:val="0"/>
              <w:adjustRightInd w:val="0"/>
              <w:spacing w:after="0"/>
              <w:jc w:val="both"/>
              <w:rPr>
                <w:rFonts w:ascii="Segoe UI" w:hAnsi="Segoe UI" w:cs="Segoe UI"/>
                <w:b/>
                <w:color w:val="014171"/>
                <w:sz w:val="18"/>
                <w:szCs w:val="18"/>
                <w:lang w:val="de-DE" w:eastAsia="en-GB"/>
              </w:rPr>
            </w:pPr>
            <w:r w:rsidRPr="0040745F">
              <w:rPr>
                <w:rFonts w:ascii="Segoe UI" w:hAnsi="Segoe UI" w:cs="Segoe UI"/>
                <w:b/>
                <w:color w:val="014171"/>
                <w:sz w:val="18"/>
                <w:szCs w:val="18"/>
                <w:lang w:val="de-DE"/>
              </w:rPr>
              <w:t>2</w:t>
            </w:r>
          </w:p>
        </w:tc>
        <w:tc>
          <w:tcPr>
            <w:tcW w:w="4253" w:type="dxa"/>
            <w:tcBorders>
              <w:top w:val="single" w:sz="12" w:space="0" w:color="014171"/>
              <w:bottom w:val="single" w:sz="12" w:space="0" w:color="014171"/>
            </w:tcBorders>
          </w:tcPr>
          <w:p w14:paraId="07D978BB" w14:textId="5B174C77" w:rsidR="006775E5" w:rsidRPr="0040745F" w:rsidRDefault="00C531F4" w:rsidP="006775E5">
            <w:pPr>
              <w:autoSpaceDE w:val="0"/>
              <w:autoSpaceDN w:val="0"/>
              <w:adjustRightInd w:val="0"/>
              <w:spacing w:after="0"/>
              <w:jc w:val="both"/>
              <w:rPr>
                <w:rFonts w:ascii="Segoe UI" w:hAnsi="Segoe UI" w:cs="Segoe UI"/>
                <w:b/>
                <w:color w:val="014171"/>
                <w:sz w:val="18"/>
                <w:szCs w:val="18"/>
                <w:lang w:val="de-DE" w:eastAsia="en-GB"/>
              </w:rPr>
            </w:pPr>
            <w:r w:rsidRPr="0040745F">
              <w:rPr>
                <w:rFonts w:ascii="Segoe UI" w:hAnsi="Segoe UI" w:cs="Segoe UI"/>
                <w:b/>
                <w:color w:val="014171"/>
                <w:sz w:val="18"/>
                <w:szCs w:val="18"/>
                <w:lang w:val="de-DE"/>
              </w:rPr>
              <w:t>KERNKAPITAL (T1)</w:t>
            </w:r>
          </w:p>
        </w:tc>
        <w:tc>
          <w:tcPr>
            <w:tcW w:w="1129" w:type="dxa"/>
            <w:tcBorders>
              <w:top w:val="single" w:sz="12" w:space="0" w:color="014171"/>
              <w:bottom w:val="single" w:sz="12" w:space="0" w:color="014171"/>
            </w:tcBorders>
          </w:tcPr>
          <w:p w14:paraId="3CF95681" w14:textId="70A3F70D" w:rsidR="006775E5" w:rsidRPr="0040745F" w:rsidRDefault="006775E5" w:rsidP="0074724B">
            <w:pPr>
              <w:autoSpaceDE w:val="0"/>
              <w:autoSpaceDN w:val="0"/>
              <w:adjustRightInd w:val="0"/>
              <w:spacing w:after="0"/>
              <w:jc w:val="right"/>
              <w:rPr>
                <w:rFonts w:ascii="Segoe UI" w:hAnsi="Segoe UI" w:cs="Segoe UI"/>
                <w:b/>
                <w:bCs/>
                <w:color w:val="014171"/>
                <w:sz w:val="18"/>
                <w:szCs w:val="18"/>
                <w:lang w:val="de-DE" w:eastAsia="en-GB"/>
              </w:rPr>
            </w:pPr>
            <w:r w:rsidRPr="0040745F">
              <w:rPr>
                <w:rFonts w:ascii="Segoe UI" w:hAnsi="Segoe UI" w:cs="Segoe UI"/>
                <w:color w:val="014171"/>
                <w:sz w:val="18"/>
                <w:szCs w:val="18"/>
                <w:lang w:val="de-DE"/>
              </w:rPr>
              <w:t>31</w:t>
            </w:r>
            <w:r w:rsidR="00C26D26"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488</w:t>
            </w:r>
            <w:r w:rsidR="00C26D26"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06</w:t>
            </w:r>
          </w:p>
        </w:tc>
        <w:tc>
          <w:tcPr>
            <w:tcW w:w="3318" w:type="dxa"/>
            <w:tcBorders>
              <w:top w:val="single" w:sz="12" w:space="0" w:color="014171"/>
              <w:bottom w:val="single" w:sz="12" w:space="0" w:color="014171"/>
            </w:tcBorders>
          </w:tcPr>
          <w:p w14:paraId="44787206" w14:textId="77777777" w:rsidR="006775E5" w:rsidRPr="0040745F" w:rsidRDefault="006775E5" w:rsidP="006775E5">
            <w:pPr>
              <w:autoSpaceDE w:val="0"/>
              <w:autoSpaceDN w:val="0"/>
              <w:adjustRightInd w:val="0"/>
              <w:spacing w:after="0"/>
              <w:jc w:val="both"/>
              <w:rPr>
                <w:rFonts w:ascii="Segoe UI" w:hAnsi="Segoe UI" w:cs="Segoe UI"/>
                <w:b/>
                <w:bCs/>
                <w:color w:val="014171"/>
                <w:sz w:val="18"/>
                <w:szCs w:val="18"/>
                <w:lang w:val="de-DE" w:eastAsia="en-GB"/>
              </w:rPr>
            </w:pPr>
          </w:p>
        </w:tc>
      </w:tr>
      <w:tr w:rsidR="006775E5" w:rsidRPr="0040745F" w14:paraId="402D30CA" w14:textId="77777777" w:rsidTr="00A02BEA">
        <w:trPr>
          <w:trHeight w:val="148"/>
        </w:trPr>
        <w:tc>
          <w:tcPr>
            <w:tcW w:w="567" w:type="dxa"/>
            <w:tcBorders>
              <w:top w:val="single" w:sz="12" w:space="0" w:color="014171"/>
              <w:bottom w:val="single" w:sz="12" w:space="0" w:color="014171"/>
            </w:tcBorders>
          </w:tcPr>
          <w:p w14:paraId="34762871" w14:textId="528516BD" w:rsidR="006775E5" w:rsidRPr="0040745F" w:rsidRDefault="006775E5" w:rsidP="006775E5">
            <w:pPr>
              <w:autoSpaceDE w:val="0"/>
              <w:autoSpaceDN w:val="0"/>
              <w:adjustRightInd w:val="0"/>
              <w:spacing w:after="0"/>
              <w:jc w:val="both"/>
              <w:rPr>
                <w:rFonts w:ascii="Segoe UI" w:hAnsi="Segoe UI" w:cs="Segoe UI"/>
                <w:b/>
                <w:color w:val="014171"/>
                <w:sz w:val="18"/>
                <w:szCs w:val="18"/>
                <w:lang w:val="de-DE" w:eastAsia="en-GB"/>
              </w:rPr>
            </w:pPr>
            <w:r w:rsidRPr="0040745F">
              <w:rPr>
                <w:rFonts w:ascii="Segoe UI" w:hAnsi="Segoe UI" w:cs="Segoe UI"/>
                <w:b/>
                <w:color w:val="014171"/>
                <w:sz w:val="18"/>
                <w:szCs w:val="18"/>
                <w:lang w:val="de-DE"/>
              </w:rPr>
              <w:t>3</w:t>
            </w:r>
          </w:p>
        </w:tc>
        <w:tc>
          <w:tcPr>
            <w:tcW w:w="4253" w:type="dxa"/>
            <w:tcBorders>
              <w:top w:val="single" w:sz="12" w:space="0" w:color="014171"/>
              <w:bottom w:val="single" w:sz="12" w:space="0" w:color="014171"/>
            </w:tcBorders>
          </w:tcPr>
          <w:p w14:paraId="33FA3983" w14:textId="5D49A9BA" w:rsidR="006775E5" w:rsidRPr="0040745F" w:rsidRDefault="00C531F4" w:rsidP="006775E5">
            <w:pPr>
              <w:autoSpaceDE w:val="0"/>
              <w:autoSpaceDN w:val="0"/>
              <w:adjustRightInd w:val="0"/>
              <w:spacing w:after="0"/>
              <w:jc w:val="both"/>
              <w:rPr>
                <w:rFonts w:ascii="Segoe UI" w:hAnsi="Segoe UI" w:cs="Segoe UI"/>
                <w:b/>
                <w:color w:val="014171"/>
                <w:sz w:val="18"/>
                <w:szCs w:val="18"/>
                <w:lang w:val="de-DE" w:eastAsia="en-GB"/>
              </w:rPr>
            </w:pPr>
            <w:r w:rsidRPr="0040745F">
              <w:rPr>
                <w:rFonts w:ascii="Segoe UI" w:hAnsi="Segoe UI" w:cs="Segoe UI"/>
                <w:b/>
                <w:color w:val="014171"/>
                <w:sz w:val="18"/>
                <w:szCs w:val="18"/>
                <w:lang w:val="de-DE"/>
              </w:rPr>
              <w:t>HARTES KERNKAPITAL (CET1)</w:t>
            </w:r>
          </w:p>
        </w:tc>
        <w:tc>
          <w:tcPr>
            <w:tcW w:w="1129" w:type="dxa"/>
            <w:tcBorders>
              <w:top w:val="single" w:sz="12" w:space="0" w:color="014171"/>
              <w:bottom w:val="single" w:sz="12" w:space="0" w:color="014171"/>
            </w:tcBorders>
          </w:tcPr>
          <w:p w14:paraId="217D34DA" w14:textId="3F84CAF3" w:rsidR="006775E5" w:rsidRPr="0040745F" w:rsidRDefault="006775E5" w:rsidP="0074724B">
            <w:pPr>
              <w:autoSpaceDE w:val="0"/>
              <w:autoSpaceDN w:val="0"/>
              <w:adjustRightInd w:val="0"/>
              <w:spacing w:after="0"/>
              <w:jc w:val="right"/>
              <w:rPr>
                <w:rFonts w:ascii="Segoe UI" w:hAnsi="Segoe UI" w:cs="Segoe UI"/>
                <w:b/>
                <w:bCs/>
                <w:color w:val="014171"/>
                <w:sz w:val="18"/>
                <w:szCs w:val="18"/>
                <w:lang w:val="de-DE" w:eastAsia="en-GB"/>
              </w:rPr>
            </w:pPr>
            <w:r w:rsidRPr="0040745F">
              <w:rPr>
                <w:rFonts w:ascii="Segoe UI" w:hAnsi="Segoe UI" w:cs="Segoe UI"/>
                <w:color w:val="014171"/>
                <w:sz w:val="18"/>
                <w:szCs w:val="18"/>
                <w:lang w:val="de-DE"/>
              </w:rPr>
              <w:t>31</w:t>
            </w:r>
            <w:r w:rsidR="00C26D26"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488</w:t>
            </w:r>
            <w:r w:rsidR="00C26D26"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06</w:t>
            </w:r>
          </w:p>
        </w:tc>
        <w:tc>
          <w:tcPr>
            <w:tcW w:w="3318" w:type="dxa"/>
            <w:tcBorders>
              <w:top w:val="single" w:sz="12" w:space="0" w:color="014171"/>
              <w:bottom w:val="single" w:sz="12" w:space="0" w:color="014171"/>
            </w:tcBorders>
          </w:tcPr>
          <w:p w14:paraId="5B615600" w14:textId="77777777" w:rsidR="006775E5" w:rsidRPr="0040745F" w:rsidRDefault="006775E5" w:rsidP="006775E5">
            <w:pPr>
              <w:autoSpaceDE w:val="0"/>
              <w:autoSpaceDN w:val="0"/>
              <w:adjustRightInd w:val="0"/>
              <w:spacing w:after="0"/>
              <w:jc w:val="both"/>
              <w:rPr>
                <w:rFonts w:ascii="Segoe UI" w:hAnsi="Segoe UI" w:cs="Segoe UI"/>
                <w:b/>
                <w:bCs/>
                <w:color w:val="014171"/>
                <w:sz w:val="18"/>
                <w:szCs w:val="18"/>
                <w:lang w:val="de-DE" w:eastAsia="en-GB"/>
              </w:rPr>
            </w:pPr>
          </w:p>
        </w:tc>
      </w:tr>
      <w:tr w:rsidR="006775E5" w:rsidRPr="0040745F" w14:paraId="5CC6D2C3" w14:textId="77777777" w:rsidTr="007C1172">
        <w:trPr>
          <w:trHeight w:val="142"/>
        </w:trPr>
        <w:tc>
          <w:tcPr>
            <w:tcW w:w="567" w:type="dxa"/>
            <w:tcBorders>
              <w:top w:val="single" w:sz="12" w:space="0" w:color="014171"/>
              <w:bottom w:val="single" w:sz="4" w:space="0" w:color="014171"/>
            </w:tcBorders>
          </w:tcPr>
          <w:p w14:paraId="20B599B7" w14:textId="1DDEB4B4"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4</w:t>
            </w:r>
          </w:p>
        </w:tc>
        <w:tc>
          <w:tcPr>
            <w:tcW w:w="4253" w:type="dxa"/>
            <w:tcBorders>
              <w:top w:val="single" w:sz="12" w:space="0" w:color="014171"/>
              <w:bottom w:val="single" w:sz="4" w:space="0" w:color="014171"/>
            </w:tcBorders>
          </w:tcPr>
          <w:p w14:paraId="71D6BD45" w14:textId="646AA7EA" w:rsidR="006775E5" w:rsidRPr="0040745F" w:rsidRDefault="00C531F4"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Voll eingezahlte Kapitalinstrumente</w:t>
            </w:r>
          </w:p>
        </w:tc>
        <w:tc>
          <w:tcPr>
            <w:tcW w:w="1129" w:type="dxa"/>
            <w:tcBorders>
              <w:top w:val="single" w:sz="12" w:space="0" w:color="014171"/>
              <w:bottom w:val="single" w:sz="4" w:space="0" w:color="014171"/>
            </w:tcBorders>
          </w:tcPr>
          <w:p w14:paraId="5627FE52" w14:textId="47310DCE" w:rsidR="006775E5" w:rsidRPr="0040745F" w:rsidRDefault="006775E5" w:rsidP="0074724B">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35</w:t>
            </w:r>
            <w:r w:rsidR="00C26D26"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000</w:t>
            </w:r>
            <w:r w:rsidR="00C26D26"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00</w:t>
            </w:r>
          </w:p>
        </w:tc>
        <w:tc>
          <w:tcPr>
            <w:tcW w:w="3318" w:type="dxa"/>
            <w:tcBorders>
              <w:top w:val="single" w:sz="12" w:space="0" w:color="014171"/>
              <w:bottom w:val="single" w:sz="4" w:space="0" w:color="014171"/>
            </w:tcBorders>
          </w:tcPr>
          <w:p w14:paraId="57546C2D" w14:textId="3FEB6F0E" w:rsidR="006775E5" w:rsidRPr="0040745F" w:rsidRDefault="00C531F4"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Passiva</w:t>
            </w:r>
            <w:r w:rsidR="006775E5" w:rsidRPr="0040745F">
              <w:rPr>
                <w:rFonts w:ascii="Segoe UI" w:hAnsi="Segoe UI" w:cs="Segoe UI"/>
                <w:color w:val="014171"/>
                <w:sz w:val="18"/>
                <w:szCs w:val="18"/>
                <w:lang w:val="de-DE" w:eastAsia="en-GB"/>
              </w:rPr>
              <w:t xml:space="preserve"> 4.a</w:t>
            </w:r>
          </w:p>
        </w:tc>
      </w:tr>
      <w:tr w:rsidR="006775E5" w:rsidRPr="0040745F" w14:paraId="4E4AAE38" w14:textId="77777777" w:rsidTr="006775E5">
        <w:trPr>
          <w:trHeight w:val="142"/>
        </w:trPr>
        <w:tc>
          <w:tcPr>
            <w:tcW w:w="567" w:type="dxa"/>
            <w:tcBorders>
              <w:top w:val="single" w:sz="4" w:space="0" w:color="014171"/>
              <w:bottom w:val="single" w:sz="4" w:space="0" w:color="014171"/>
            </w:tcBorders>
          </w:tcPr>
          <w:p w14:paraId="52906991" w14:textId="3A34E80F"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5</w:t>
            </w:r>
          </w:p>
        </w:tc>
        <w:tc>
          <w:tcPr>
            <w:tcW w:w="4253" w:type="dxa"/>
            <w:tcBorders>
              <w:top w:val="single" w:sz="4" w:space="0" w:color="014171"/>
              <w:bottom w:val="single" w:sz="4" w:space="0" w:color="014171"/>
            </w:tcBorders>
          </w:tcPr>
          <w:p w14:paraId="092EBAA4" w14:textId="4610300C" w:rsidR="006775E5" w:rsidRPr="0040745F" w:rsidRDefault="00C531F4"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Agio</w:t>
            </w:r>
          </w:p>
        </w:tc>
        <w:tc>
          <w:tcPr>
            <w:tcW w:w="1129" w:type="dxa"/>
            <w:tcBorders>
              <w:top w:val="single" w:sz="4" w:space="0" w:color="014171"/>
              <w:bottom w:val="single" w:sz="4" w:space="0" w:color="014171"/>
            </w:tcBorders>
          </w:tcPr>
          <w:p w14:paraId="60BAECAF" w14:textId="412A917B" w:rsidR="006775E5" w:rsidRPr="0040745F" w:rsidRDefault="006775E5" w:rsidP="0074724B">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7E16DDDF"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0FEB1EC8" w14:textId="77777777" w:rsidTr="006775E5">
        <w:trPr>
          <w:trHeight w:val="142"/>
        </w:trPr>
        <w:tc>
          <w:tcPr>
            <w:tcW w:w="567" w:type="dxa"/>
            <w:tcBorders>
              <w:top w:val="single" w:sz="4" w:space="0" w:color="014171"/>
              <w:bottom w:val="single" w:sz="4" w:space="0" w:color="014171"/>
            </w:tcBorders>
          </w:tcPr>
          <w:p w14:paraId="220A7E13" w14:textId="07169154"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6</w:t>
            </w:r>
          </w:p>
        </w:tc>
        <w:tc>
          <w:tcPr>
            <w:tcW w:w="4253" w:type="dxa"/>
            <w:tcBorders>
              <w:top w:val="single" w:sz="4" w:space="0" w:color="014171"/>
              <w:bottom w:val="single" w:sz="4" w:space="0" w:color="014171"/>
            </w:tcBorders>
          </w:tcPr>
          <w:p w14:paraId="07936FAE" w14:textId="76100C88" w:rsidR="006775E5" w:rsidRPr="0040745F" w:rsidRDefault="00C531F4"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Einbehaltene Gewinne</w:t>
            </w:r>
          </w:p>
        </w:tc>
        <w:tc>
          <w:tcPr>
            <w:tcW w:w="1129" w:type="dxa"/>
            <w:tcBorders>
              <w:top w:val="single" w:sz="4" w:space="0" w:color="014171"/>
              <w:bottom w:val="single" w:sz="4" w:space="0" w:color="014171"/>
            </w:tcBorders>
          </w:tcPr>
          <w:p w14:paraId="3E301258" w14:textId="666B4618" w:rsidR="006775E5" w:rsidRPr="0040745F" w:rsidRDefault="006775E5" w:rsidP="0074724B">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-3</w:t>
            </w:r>
            <w:r w:rsidR="00C26D26"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316</w:t>
            </w:r>
            <w:r w:rsidR="00C26D26"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52</w:t>
            </w:r>
          </w:p>
        </w:tc>
        <w:tc>
          <w:tcPr>
            <w:tcW w:w="3318" w:type="dxa"/>
            <w:tcBorders>
              <w:top w:val="single" w:sz="4" w:space="0" w:color="014171"/>
              <w:bottom w:val="single" w:sz="4" w:space="0" w:color="014171"/>
            </w:tcBorders>
          </w:tcPr>
          <w:p w14:paraId="553C9348" w14:textId="3B7ED6A0" w:rsidR="006775E5" w:rsidRPr="0040745F" w:rsidRDefault="00C531F4"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Passiva</w:t>
            </w:r>
            <w:r w:rsidR="006775E5" w:rsidRPr="0040745F">
              <w:rPr>
                <w:rFonts w:ascii="Segoe UI" w:hAnsi="Segoe UI" w:cs="Segoe UI"/>
                <w:color w:val="014171"/>
                <w:sz w:val="18"/>
                <w:szCs w:val="18"/>
                <w:lang w:val="de-DE" w:eastAsia="en-GB"/>
              </w:rPr>
              <w:t xml:space="preserve"> 4.b</w:t>
            </w:r>
          </w:p>
        </w:tc>
      </w:tr>
      <w:tr w:rsidR="006775E5" w:rsidRPr="0040745F" w14:paraId="17CF6662" w14:textId="77777777" w:rsidTr="006775E5">
        <w:trPr>
          <w:trHeight w:val="142"/>
        </w:trPr>
        <w:tc>
          <w:tcPr>
            <w:tcW w:w="567" w:type="dxa"/>
            <w:tcBorders>
              <w:top w:val="single" w:sz="4" w:space="0" w:color="014171"/>
              <w:bottom w:val="single" w:sz="4" w:space="0" w:color="014171"/>
            </w:tcBorders>
          </w:tcPr>
          <w:p w14:paraId="4A08882B" w14:textId="72859606"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7</w:t>
            </w:r>
          </w:p>
        </w:tc>
        <w:tc>
          <w:tcPr>
            <w:tcW w:w="4253" w:type="dxa"/>
            <w:tcBorders>
              <w:top w:val="single" w:sz="4" w:space="0" w:color="014171"/>
              <w:bottom w:val="single" w:sz="4" w:space="0" w:color="014171"/>
            </w:tcBorders>
          </w:tcPr>
          <w:p w14:paraId="445CA539" w14:textId="0BFC8F7F" w:rsidR="006775E5" w:rsidRPr="0040745F" w:rsidRDefault="00C531F4"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Kumuliertes sonstiges Ergebnis</w:t>
            </w:r>
          </w:p>
        </w:tc>
        <w:tc>
          <w:tcPr>
            <w:tcW w:w="1129" w:type="dxa"/>
            <w:tcBorders>
              <w:top w:val="single" w:sz="4" w:space="0" w:color="014171"/>
              <w:bottom w:val="single" w:sz="4" w:space="0" w:color="014171"/>
            </w:tcBorders>
          </w:tcPr>
          <w:p w14:paraId="313B601D" w14:textId="6313CB6A" w:rsidR="006775E5" w:rsidRPr="0040745F" w:rsidRDefault="006775E5" w:rsidP="0074724B">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4DE2FB4C"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3CD983EB" w14:textId="77777777" w:rsidTr="006775E5">
        <w:trPr>
          <w:trHeight w:val="142"/>
        </w:trPr>
        <w:tc>
          <w:tcPr>
            <w:tcW w:w="567" w:type="dxa"/>
            <w:tcBorders>
              <w:top w:val="single" w:sz="4" w:space="0" w:color="014171"/>
              <w:bottom w:val="single" w:sz="4" w:space="0" w:color="014171"/>
            </w:tcBorders>
          </w:tcPr>
          <w:p w14:paraId="0A9773EE" w14:textId="152F741B"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8</w:t>
            </w:r>
          </w:p>
        </w:tc>
        <w:tc>
          <w:tcPr>
            <w:tcW w:w="4253" w:type="dxa"/>
            <w:tcBorders>
              <w:top w:val="single" w:sz="4" w:space="0" w:color="014171"/>
              <w:bottom w:val="single" w:sz="4" w:space="0" w:color="014171"/>
            </w:tcBorders>
          </w:tcPr>
          <w:p w14:paraId="6F471905" w14:textId="7319A6AB" w:rsidR="006775E5" w:rsidRPr="0040745F" w:rsidRDefault="00C531F4"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Sonstige Rücklagen</w:t>
            </w:r>
          </w:p>
        </w:tc>
        <w:tc>
          <w:tcPr>
            <w:tcW w:w="1129" w:type="dxa"/>
            <w:tcBorders>
              <w:top w:val="single" w:sz="4" w:space="0" w:color="014171"/>
              <w:bottom w:val="single" w:sz="4" w:space="0" w:color="014171"/>
            </w:tcBorders>
          </w:tcPr>
          <w:p w14:paraId="1597D16D" w14:textId="096F9979" w:rsidR="006775E5" w:rsidRPr="0040745F" w:rsidRDefault="006775E5" w:rsidP="0074724B">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7C49F8C4"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1B94082F" w14:textId="77777777" w:rsidTr="006775E5">
        <w:trPr>
          <w:trHeight w:val="142"/>
        </w:trPr>
        <w:tc>
          <w:tcPr>
            <w:tcW w:w="567" w:type="dxa"/>
            <w:tcBorders>
              <w:top w:val="single" w:sz="4" w:space="0" w:color="014171"/>
              <w:bottom w:val="single" w:sz="4" w:space="0" w:color="014171"/>
            </w:tcBorders>
          </w:tcPr>
          <w:p w14:paraId="7FA6AD01" w14:textId="24812CC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9</w:t>
            </w:r>
          </w:p>
        </w:tc>
        <w:tc>
          <w:tcPr>
            <w:tcW w:w="4253" w:type="dxa"/>
            <w:tcBorders>
              <w:top w:val="single" w:sz="4" w:space="0" w:color="014171"/>
              <w:bottom w:val="single" w:sz="4" w:space="0" w:color="014171"/>
            </w:tcBorders>
          </w:tcPr>
          <w:p w14:paraId="3847E903" w14:textId="3A1BDC6B" w:rsidR="006775E5" w:rsidRPr="0040745F" w:rsidRDefault="00C531F4"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Zum harten Kernkapital zählende Minderheitsbeteiligungen</w:t>
            </w:r>
          </w:p>
        </w:tc>
        <w:tc>
          <w:tcPr>
            <w:tcW w:w="1129" w:type="dxa"/>
            <w:tcBorders>
              <w:top w:val="single" w:sz="4" w:space="0" w:color="014171"/>
              <w:bottom w:val="single" w:sz="4" w:space="0" w:color="014171"/>
            </w:tcBorders>
          </w:tcPr>
          <w:p w14:paraId="39C2F66D" w14:textId="195F6304" w:rsidR="006775E5" w:rsidRPr="0040745F" w:rsidRDefault="006775E5" w:rsidP="0074724B">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07748161"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6C42FF50" w14:textId="77777777" w:rsidTr="006775E5">
        <w:trPr>
          <w:trHeight w:val="142"/>
        </w:trPr>
        <w:tc>
          <w:tcPr>
            <w:tcW w:w="567" w:type="dxa"/>
            <w:tcBorders>
              <w:top w:val="single" w:sz="4" w:space="0" w:color="014171"/>
              <w:bottom w:val="single" w:sz="4" w:space="0" w:color="014171"/>
            </w:tcBorders>
          </w:tcPr>
          <w:p w14:paraId="190AB16B" w14:textId="2824C77E"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10</w:t>
            </w:r>
          </w:p>
        </w:tc>
        <w:tc>
          <w:tcPr>
            <w:tcW w:w="4253" w:type="dxa"/>
            <w:tcBorders>
              <w:top w:val="single" w:sz="4" w:space="0" w:color="014171"/>
              <w:bottom w:val="single" w:sz="4" w:space="0" w:color="014171"/>
            </w:tcBorders>
          </w:tcPr>
          <w:p w14:paraId="4A450E24" w14:textId="59E3B6BB" w:rsidR="006775E5" w:rsidRPr="0040745F" w:rsidRDefault="00C531F4"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Abzugs- und Korrekturposten aufgrund von Anpassungen des harten Kernkapitals</w:t>
            </w:r>
          </w:p>
        </w:tc>
        <w:tc>
          <w:tcPr>
            <w:tcW w:w="1129" w:type="dxa"/>
            <w:tcBorders>
              <w:top w:val="single" w:sz="4" w:space="0" w:color="014171"/>
              <w:bottom w:val="single" w:sz="4" w:space="0" w:color="014171"/>
            </w:tcBorders>
          </w:tcPr>
          <w:p w14:paraId="563C64BA" w14:textId="7B6662CC" w:rsidR="006775E5" w:rsidRPr="0040745F" w:rsidRDefault="006775E5" w:rsidP="0074724B">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65F111C1"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04CF80AA" w14:textId="77777777" w:rsidTr="006775E5">
        <w:trPr>
          <w:trHeight w:val="274"/>
        </w:trPr>
        <w:tc>
          <w:tcPr>
            <w:tcW w:w="567" w:type="dxa"/>
            <w:tcBorders>
              <w:top w:val="single" w:sz="4" w:space="0" w:color="014171"/>
              <w:bottom w:val="single" w:sz="4" w:space="0" w:color="014171"/>
            </w:tcBorders>
          </w:tcPr>
          <w:p w14:paraId="614996F9" w14:textId="4F30129B"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11</w:t>
            </w:r>
          </w:p>
        </w:tc>
        <w:tc>
          <w:tcPr>
            <w:tcW w:w="4253" w:type="dxa"/>
            <w:tcBorders>
              <w:top w:val="single" w:sz="4" w:space="0" w:color="014171"/>
              <w:bottom w:val="single" w:sz="4" w:space="0" w:color="014171"/>
            </w:tcBorders>
          </w:tcPr>
          <w:p w14:paraId="5F31B27C" w14:textId="0913DAC4" w:rsidR="006775E5" w:rsidRPr="0040745F" w:rsidRDefault="00C531F4"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Sonstige Mittel</w:t>
            </w:r>
          </w:p>
        </w:tc>
        <w:tc>
          <w:tcPr>
            <w:tcW w:w="1129" w:type="dxa"/>
            <w:tcBorders>
              <w:top w:val="single" w:sz="4" w:space="0" w:color="014171"/>
              <w:bottom w:val="single" w:sz="4" w:space="0" w:color="014171"/>
            </w:tcBorders>
          </w:tcPr>
          <w:p w14:paraId="10992BB2" w14:textId="103B79EE" w:rsidR="006775E5" w:rsidRPr="0040745F" w:rsidRDefault="006775E5" w:rsidP="0074724B">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5F2E0DAD"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5A0BD0B9" w14:textId="77777777" w:rsidTr="006775E5">
        <w:trPr>
          <w:trHeight w:val="274"/>
        </w:trPr>
        <w:tc>
          <w:tcPr>
            <w:tcW w:w="567" w:type="dxa"/>
            <w:tcBorders>
              <w:top w:val="single" w:sz="4" w:space="0" w:color="014171"/>
              <w:bottom w:val="single" w:sz="4" w:space="0" w:color="014171"/>
            </w:tcBorders>
          </w:tcPr>
          <w:p w14:paraId="2787B2EE" w14:textId="54C16BF6"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12</w:t>
            </w:r>
          </w:p>
        </w:tc>
        <w:tc>
          <w:tcPr>
            <w:tcW w:w="4253" w:type="dxa"/>
            <w:tcBorders>
              <w:top w:val="single" w:sz="4" w:space="0" w:color="014171"/>
              <w:bottom w:val="single" w:sz="4" w:space="0" w:color="014171"/>
            </w:tcBorders>
          </w:tcPr>
          <w:p w14:paraId="1BE81EA4" w14:textId="59BC3445" w:rsidR="006775E5" w:rsidRPr="0040745F" w:rsidRDefault="00C531F4" w:rsidP="0074724B">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 GESAMTABZÜGE VOM HARTEN KERNKAPITAL</w:t>
            </w:r>
          </w:p>
        </w:tc>
        <w:tc>
          <w:tcPr>
            <w:tcW w:w="1129" w:type="dxa"/>
            <w:tcBorders>
              <w:top w:val="single" w:sz="4" w:space="0" w:color="014171"/>
              <w:bottom w:val="single" w:sz="4" w:space="0" w:color="014171"/>
            </w:tcBorders>
          </w:tcPr>
          <w:p w14:paraId="32EC4CAD" w14:textId="242E1535" w:rsidR="006775E5" w:rsidRPr="0040745F" w:rsidRDefault="006775E5" w:rsidP="0074724B">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-195</w:t>
            </w:r>
            <w:r w:rsidR="00C26D26"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43</w:t>
            </w:r>
          </w:p>
        </w:tc>
        <w:tc>
          <w:tcPr>
            <w:tcW w:w="3318" w:type="dxa"/>
            <w:tcBorders>
              <w:top w:val="single" w:sz="4" w:space="0" w:color="014171"/>
              <w:bottom w:val="single" w:sz="4" w:space="0" w:color="014171"/>
            </w:tcBorders>
          </w:tcPr>
          <w:p w14:paraId="2E464D2F" w14:textId="701FFE02"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6A0E3F2D" w14:textId="77777777" w:rsidTr="006775E5">
        <w:trPr>
          <w:trHeight w:val="148"/>
        </w:trPr>
        <w:tc>
          <w:tcPr>
            <w:tcW w:w="567" w:type="dxa"/>
            <w:tcBorders>
              <w:top w:val="single" w:sz="4" w:space="0" w:color="014171"/>
              <w:bottom w:val="single" w:sz="4" w:space="0" w:color="014171"/>
            </w:tcBorders>
          </w:tcPr>
          <w:p w14:paraId="12534272" w14:textId="166091E2"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13</w:t>
            </w:r>
          </w:p>
        </w:tc>
        <w:tc>
          <w:tcPr>
            <w:tcW w:w="4253" w:type="dxa"/>
            <w:tcBorders>
              <w:top w:val="single" w:sz="4" w:space="0" w:color="014171"/>
              <w:bottom w:val="single" w:sz="4" w:space="0" w:color="014171"/>
            </w:tcBorders>
          </w:tcPr>
          <w:p w14:paraId="1F28BED9" w14:textId="16F05970" w:rsidR="006775E5" w:rsidRPr="0040745F" w:rsidRDefault="00C531F4" w:rsidP="00A02BEA">
            <w:pPr>
              <w:autoSpaceDE w:val="0"/>
              <w:autoSpaceDN w:val="0"/>
              <w:adjustRightInd w:val="0"/>
              <w:spacing w:after="0"/>
              <w:ind w:left="113"/>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 Eigene Instrumente des harten Kernkapitals</w:t>
            </w:r>
          </w:p>
        </w:tc>
        <w:tc>
          <w:tcPr>
            <w:tcW w:w="1129" w:type="dxa"/>
            <w:tcBorders>
              <w:top w:val="single" w:sz="4" w:space="0" w:color="014171"/>
              <w:bottom w:val="single" w:sz="4" w:space="0" w:color="014171"/>
            </w:tcBorders>
          </w:tcPr>
          <w:p w14:paraId="792E3D7B" w14:textId="71DCB524" w:rsidR="006775E5" w:rsidRPr="0040745F" w:rsidRDefault="006775E5" w:rsidP="0074724B">
            <w:pPr>
              <w:autoSpaceDE w:val="0"/>
              <w:autoSpaceDN w:val="0"/>
              <w:adjustRightInd w:val="0"/>
              <w:spacing w:after="0"/>
              <w:jc w:val="right"/>
              <w:rPr>
                <w:rFonts w:ascii="Segoe UI" w:hAnsi="Segoe UI" w:cs="Segoe UI"/>
                <w:b/>
                <w:bCs/>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7DF98FCA" w14:textId="77777777" w:rsidR="006775E5" w:rsidRPr="0040745F" w:rsidRDefault="006775E5" w:rsidP="006775E5">
            <w:pPr>
              <w:autoSpaceDE w:val="0"/>
              <w:autoSpaceDN w:val="0"/>
              <w:adjustRightInd w:val="0"/>
              <w:spacing w:after="0"/>
              <w:jc w:val="both"/>
              <w:rPr>
                <w:rFonts w:ascii="Segoe UI" w:hAnsi="Segoe UI" w:cs="Segoe UI"/>
                <w:b/>
                <w:bCs/>
                <w:color w:val="014171"/>
                <w:sz w:val="18"/>
                <w:szCs w:val="18"/>
                <w:lang w:val="de-DE" w:eastAsia="en-GB"/>
              </w:rPr>
            </w:pPr>
          </w:p>
        </w:tc>
      </w:tr>
      <w:tr w:rsidR="006775E5" w:rsidRPr="0040745F" w14:paraId="73D05701" w14:textId="77777777" w:rsidTr="006775E5">
        <w:trPr>
          <w:trHeight w:val="142"/>
        </w:trPr>
        <w:tc>
          <w:tcPr>
            <w:tcW w:w="567" w:type="dxa"/>
            <w:tcBorders>
              <w:top w:val="single" w:sz="4" w:space="0" w:color="014171"/>
              <w:bottom w:val="single" w:sz="4" w:space="0" w:color="014171"/>
            </w:tcBorders>
          </w:tcPr>
          <w:p w14:paraId="3F9A98DC" w14:textId="3B1E114D"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14</w:t>
            </w:r>
          </w:p>
        </w:tc>
        <w:tc>
          <w:tcPr>
            <w:tcW w:w="4253" w:type="dxa"/>
            <w:tcBorders>
              <w:top w:val="single" w:sz="4" w:space="0" w:color="014171"/>
              <w:bottom w:val="single" w:sz="4" w:space="0" w:color="014171"/>
            </w:tcBorders>
          </w:tcPr>
          <w:p w14:paraId="28E6FEE6" w14:textId="33D224F2" w:rsidR="006775E5" w:rsidRPr="0040745F" w:rsidRDefault="00C531F4" w:rsidP="00A02BEA">
            <w:pPr>
              <w:autoSpaceDE w:val="0"/>
              <w:autoSpaceDN w:val="0"/>
              <w:adjustRightInd w:val="0"/>
              <w:spacing w:after="0"/>
              <w:ind w:left="227"/>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 Direkte Positionen in Instrumenten des harten Kernkapitals</w:t>
            </w:r>
          </w:p>
        </w:tc>
        <w:tc>
          <w:tcPr>
            <w:tcW w:w="1129" w:type="dxa"/>
            <w:tcBorders>
              <w:top w:val="single" w:sz="4" w:space="0" w:color="014171"/>
              <w:bottom w:val="single" w:sz="4" w:space="0" w:color="014171"/>
            </w:tcBorders>
          </w:tcPr>
          <w:p w14:paraId="40CD8244" w14:textId="504DF5CF" w:rsidR="006775E5" w:rsidRPr="0040745F" w:rsidRDefault="006775E5" w:rsidP="0074724B">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270B33D6"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5359E7C8" w14:textId="77777777" w:rsidTr="006775E5">
        <w:trPr>
          <w:trHeight w:val="142"/>
        </w:trPr>
        <w:tc>
          <w:tcPr>
            <w:tcW w:w="567" w:type="dxa"/>
            <w:tcBorders>
              <w:top w:val="single" w:sz="4" w:space="0" w:color="014171"/>
              <w:bottom w:val="single" w:sz="4" w:space="0" w:color="014171"/>
            </w:tcBorders>
          </w:tcPr>
          <w:p w14:paraId="1AA6BF65" w14:textId="5D7AD1E3"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15</w:t>
            </w:r>
          </w:p>
        </w:tc>
        <w:tc>
          <w:tcPr>
            <w:tcW w:w="4253" w:type="dxa"/>
            <w:tcBorders>
              <w:top w:val="single" w:sz="4" w:space="0" w:color="014171"/>
              <w:bottom w:val="single" w:sz="4" w:space="0" w:color="014171"/>
            </w:tcBorders>
          </w:tcPr>
          <w:p w14:paraId="0A094D40" w14:textId="1FE01595" w:rsidR="006775E5" w:rsidRPr="0040745F" w:rsidRDefault="00C531F4" w:rsidP="00A02BEA">
            <w:pPr>
              <w:autoSpaceDE w:val="0"/>
              <w:autoSpaceDN w:val="0"/>
              <w:adjustRightInd w:val="0"/>
              <w:spacing w:after="0"/>
              <w:ind w:left="227"/>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 Indirekte Positionen in Instrumenten des harten Kernkapitals</w:t>
            </w:r>
          </w:p>
        </w:tc>
        <w:tc>
          <w:tcPr>
            <w:tcW w:w="1129" w:type="dxa"/>
            <w:tcBorders>
              <w:top w:val="single" w:sz="4" w:space="0" w:color="014171"/>
              <w:bottom w:val="single" w:sz="4" w:space="0" w:color="014171"/>
            </w:tcBorders>
          </w:tcPr>
          <w:p w14:paraId="21E555A3" w14:textId="59DBEE33" w:rsidR="006775E5" w:rsidRPr="0040745F" w:rsidRDefault="006775E5" w:rsidP="0074724B">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76130955"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1C4A723C" w14:textId="77777777" w:rsidTr="006775E5">
        <w:trPr>
          <w:trHeight w:val="142"/>
        </w:trPr>
        <w:tc>
          <w:tcPr>
            <w:tcW w:w="567" w:type="dxa"/>
            <w:tcBorders>
              <w:top w:val="single" w:sz="4" w:space="0" w:color="014171"/>
              <w:bottom w:val="single" w:sz="4" w:space="0" w:color="014171"/>
            </w:tcBorders>
          </w:tcPr>
          <w:p w14:paraId="3B1DBEB2" w14:textId="75B9485C"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16</w:t>
            </w:r>
          </w:p>
        </w:tc>
        <w:tc>
          <w:tcPr>
            <w:tcW w:w="4253" w:type="dxa"/>
            <w:tcBorders>
              <w:top w:val="single" w:sz="4" w:space="0" w:color="014171"/>
              <w:bottom w:val="single" w:sz="4" w:space="0" w:color="014171"/>
            </w:tcBorders>
          </w:tcPr>
          <w:p w14:paraId="7F2980BC" w14:textId="4E2A9385" w:rsidR="006775E5" w:rsidRPr="0040745F" w:rsidRDefault="00C531F4" w:rsidP="00A02BEA">
            <w:pPr>
              <w:autoSpaceDE w:val="0"/>
              <w:autoSpaceDN w:val="0"/>
              <w:adjustRightInd w:val="0"/>
              <w:spacing w:after="0"/>
              <w:ind w:left="227"/>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 Synthetische Positionen in Instrumenten des harten Kernkapitals</w:t>
            </w:r>
          </w:p>
        </w:tc>
        <w:tc>
          <w:tcPr>
            <w:tcW w:w="1129" w:type="dxa"/>
            <w:tcBorders>
              <w:top w:val="single" w:sz="4" w:space="0" w:color="014171"/>
              <w:bottom w:val="single" w:sz="4" w:space="0" w:color="014171"/>
            </w:tcBorders>
          </w:tcPr>
          <w:p w14:paraId="763CB6D6" w14:textId="654DF8DC" w:rsidR="006775E5" w:rsidRPr="0040745F" w:rsidRDefault="006775E5" w:rsidP="0074724B">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123F2A67"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2E5A783F" w14:textId="77777777" w:rsidTr="006775E5">
        <w:trPr>
          <w:trHeight w:val="274"/>
        </w:trPr>
        <w:tc>
          <w:tcPr>
            <w:tcW w:w="567" w:type="dxa"/>
            <w:tcBorders>
              <w:top w:val="single" w:sz="4" w:space="0" w:color="014171"/>
              <w:bottom w:val="single" w:sz="4" w:space="0" w:color="014171"/>
            </w:tcBorders>
          </w:tcPr>
          <w:p w14:paraId="6F0D1FD7" w14:textId="5DFB5D02"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17</w:t>
            </w:r>
          </w:p>
        </w:tc>
        <w:tc>
          <w:tcPr>
            <w:tcW w:w="4253" w:type="dxa"/>
            <w:tcBorders>
              <w:top w:val="single" w:sz="4" w:space="0" w:color="014171"/>
              <w:bottom w:val="single" w:sz="4" w:space="0" w:color="014171"/>
            </w:tcBorders>
          </w:tcPr>
          <w:p w14:paraId="658B7636" w14:textId="526A3034" w:rsidR="006775E5" w:rsidRPr="0040745F" w:rsidRDefault="00C531F4" w:rsidP="00A02BEA">
            <w:pPr>
              <w:autoSpaceDE w:val="0"/>
              <w:autoSpaceDN w:val="0"/>
              <w:adjustRightInd w:val="0"/>
              <w:spacing w:after="0"/>
              <w:ind w:left="113"/>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 Verlust des laufenden Geschäftsjahrs</w:t>
            </w:r>
          </w:p>
        </w:tc>
        <w:tc>
          <w:tcPr>
            <w:tcW w:w="1129" w:type="dxa"/>
            <w:tcBorders>
              <w:top w:val="single" w:sz="4" w:space="0" w:color="014171"/>
              <w:bottom w:val="single" w:sz="4" w:space="0" w:color="014171"/>
            </w:tcBorders>
          </w:tcPr>
          <w:p w14:paraId="3242E03E" w14:textId="7B51040F" w:rsidR="006775E5" w:rsidRPr="0040745F" w:rsidRDefault="006775E5" w:rsidP="0074724B">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4AA17035"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3CAD5B85" w14:textId="77777777" w:rsidTr="006775E5">
        <w:trPr>
          <w:trHeight w:val="148"/>
        </w:trPr>
        <w:tc>
          <w:tcPr>
            <w:tcW w:w="567" w:type="dxa"/>
            <w:tcBorders>
              <w:top w:val="single" w:sz="4" w:space="0" w:color="014171"/>
            </w:tcBorders>
          </w:tcPr>
          <w:p w14:paraId="5FC3DE4E" w14:textId="27105721"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18</w:t>
            </w:r>
          </w:p>
        </w:tc>
        <w:tc>
          <w:tcPr>
            <w:tcW w:w="4253" w:type="dxa"/>
            <w:tcBorders>
              <w:top w:val="single" w:sz="4" w:space="0" w:color="014171"/>
            </w:tcBorders>
          </w:tcPr>
          <w:p w14:paraId="783432DF" w14:textId="4EC82164" w:rsidR="006775E5" w:rsidRPr="0040745F" w:rsidRDefault="00C531F4" w:rsidP="00A02BEA">
            <w:pPr>
              <w:autoSpaceDE w:val="0"/>
              <w:autoSpaceDN w:val="0"/>
              <w:adjustRightInd w:val="0"/>
              <w:spacing w:after="0"/>
              <w:ind w:left="113"/>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 Geschäfts- oder Firmenwert</w:t>
            </w:r>
          </w:p>
        </w:tc>
        <w:tc>
          <w:tcPr>
            <w:tcW w:w="1129" w:type="dxa"/>
            <w:tcBorders>
              <w:top w:val="single" w:sz="4" w:space="0" w:color="014171"/>
            </w:tcBorders>
          </w:tcPr>
          <w:p w14:paraId="05907B5E" w14:textId="376AA07E" w:rsidR="006775E5" w:rsidRPr="0040745F" w:rsidRDefault="006775E5" w:rsidP="0074724B">
            <w:pPr>
              <w:autoSpaceDE w:val="0"/>
              <w:autoSpaceDN w:val="0"/>
              <w:adjustRightInd w:val="0"/>
              <w:spacing w:after="0"/>
              <w:jc w:val="right"/>
              <w:rPr>
                <w:rFonts w:ascii="Segoe UI" w:hAnsi="Segoe UI" w:cs="Segoe UI"/>
                <w:b/>
                <w:bCs/>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tcBorders>
          </w:tcPr>
          <w:p w14:paraId="12D97D6C" w14:textId="77777777" w:rsidR="006775E5" w:rsidRPr="0040745F" w:rsidRDefault="006775E5" w:rsidP="006775E5">
            <w:pPr>
              <w:autoSpaceDE w:val="0"/>
              <w:autoSpaceDN w:val="0"/>
              <w:adjustRightInd w:val="0"/>
              <w:spacing w:after="0"/>
              <w:jc w:val="both"/>
              <w:rPr>
                <w:rFonts w:ascii="Segoe UI" w:hAnsi="Segoe UI" w:cs="Segoe UI"/>
                <w:b/>
                <w:bCs/>
                <w:color w:val="014171"/>
                <w:sz w:val="18"/>
                <w:szCs w:val="18"/>
                <w:lang w:val="de-DE" w:eastAsia="en-GB"/>
              </w:rPr>
            </w:pPr>
          </w:p>
        </w:tc>
      </w:tr>
      <w:tr w:rsidR="006775E5" w:rsidRPr="0040745F" w14:paraId="2561D9C2" w14:textId="77777777" w:rsidTr="006775E5">
        <w:trPr>
          <w:trHeight w:val="142"/>
        </w:trPr>
        <w:tc>
          <w:tcPr>
            <w:tcW w:w="567" w:type="dxa"/>
            <w:tcBorders>
              <w:top w:val="single" w:sz="4" w:space="0" w:color="014171"/>
              <w:bottom w:val="single" w:sz="4" w:space="0" w:color="014171"/>
            </w:tcBorders>
          </w:tcPr>
          <w:p w14:paraId="619CDB80" w14:textId="109BDED6"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19</w:t>
            </w:r>
          </w:p>
        </w:tc>
        <w:tc>
          <w:tcPr>
            <w:tcW w:w="4253" w:type="dxa"/>
            <w:tcBorders>
              <w:top w:val="single" w:sz="4" w:space="0" w:color="014171"/>
              <w:bottom w:val="single" w:sz="4" w:space="0" w:color="014171"/>
            </w:tcBorders>
          </w:tcPr>
          <w:p w14:paraId="599DA3B3" w14:textId="6EB5E5BF" w:rsidR="006775E5" w:rsidRPr="0040745F" w:rsidRDefault="00C531F4" w:rsidP="00A02BEA">
            <w:pPr>
              <w:autoSpaceDE w:val="0"/>
              <w:autoSpaceDN w:val="0"/>
              <w:adjustRightInd w:val="0"/>
              <w:spacing w:after="0"/>
              <w:ind w:left="113"/>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 Sonstige immaterielle Vermögensgegenstände</w:t>
            </w:r>
          </w:p>
        </w:tc>
        <w:tc>
          <w:tcPr>
            <w:tcW w:w="1129" w:type="dxa"/>
            <w:tcBorders>
              <w:top w:val="single" w:sz="4" w:space="0" w:color="014171"/>
              <w:bottom w:val="single" w:sz="4" w:space="0" w:color="014171"/>
            </w:tcBorders>
          </w:tcPr>
          <w:p w14:paraId="0F9E00F1" w14:textId="533BCA38" w:rsidR="006775E5" w:rsidRPr="0040745F" w:rsidRDefault="006775E5" w:rsidP="00A02BEA">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-195</w:t>
            </w:r>
            <w:r w:rsidR="00C26D26"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43</w:t>
            </w:r>
          </w:p>
        </w:tc>
        <w:tc>
          <w:tcPr>
            <w:tcW w:w="3318" w:type="dxa"/>
            <w:tcBorders>
              <w:top w:val="single" w:sz="4" w:space="0" w:color="014171"/>
              <w:bottom w:val="single" w:sz="4" w:space="0" w:color="014171"/>
            </w:tcBorders>
          </w:tcPr>
          <w:p w14:paraId="3B96DB24"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1BF776C9" w14:textId="77777777" w:rsidTr="006775E5">
        <w:trPr>
          <w:trHeight w:val="142"/>
        </w:trPr>
        <w:tc>
          <w:tcPr>
            <w:tcW w:w="567" w:type="dxa"/>
            <w:tcBorders>
              <w:top w:val="single" w:sz="4" w:space="0" w:color="014171"/>
              <w:bottom w:val="single" w:sz="4" w:space="0" w:color="014171"/>
            </w:tcBorders>
          </w:tcPr>
          <w:p w14:paraId="35EBAD9C" w14:textId="624DAD71"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20</w:t>
            </w:r>
          </w:p>
        </w:tc>
        <w:tc>
          <w:tcPr>
            <w:tcW w:w="4253" w:type="dxa"/>
            <w:tcBorders>
              <w:top w:val="single" w:sz="4" w:space="0" w:color="014171"/>
              <w:bottom w:val="single" w:sz="4" w:space="0" w:color="014171"/>
            </w:tcBorders>
          </w:tcPr>
          <w:p w14:paraId="2D70141D" w14:textId="4F186578" w:rsidR="006775E5" w:rsidRPr="0040745F" w:rsidRDefault="00C531F4" w:rsidP="00A02BEA">
            <w:pPr>
              <w:autoSpaceDE w:val="0"/>
              <w:autoSpaceDN w:val="0"/>
              <w:adjustRightInd w:val="0"/>
              <w:spacing w:after="0"/>
              <w:ind w:left="113"/>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 Von der künftigen Rentabilität abhängige, nicht aus temporären Differenzen resultierende latente Steueransprüche, abzüglich der verbundenen Steuerschulden</w:t>
            </w:r>
          </w:p>
        </w:tc>
        <w:tc>
          <w:tcPr>
            <w:tcW w:w="1129" w:type="dxa"/>
            <w:tcBorders>
              <w:top w:val="single" w:sz="4" w:space="0" w:color="014171"/>
              <w:bottom w:val="single" w:sz="4" w:space="0" w:color="014171"/>
            </w:tcBorders>
          </w:tcPr>
          <w:p w14:paraId="3FC0593A" w14:textId="4ABFFB86" w:rsidR="006775E5" w:rsidRPr="0040745F" w:rsidRDefault="006775E5" w:rsidP="00A02BEA">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512BE4DB"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56FC93F9" w14:textId="77777777" w:rsidTr="006775E5">
        <w:trPr>
          <w:trHeight w:val="142"/>
        </w:trPr>
        <w:tc>
          <w:tcPr>
            <w:tcW w:w="567" w:type="dxa"/>
            <w:tcBorders>
              <w:top w:val="single" w:sz="4" w:space="0" w:color="014171"/>
              <w:bottom w:val="single" w:sz="4" w:space="0" w:color="014171"/>
            </w:tcBorders>
          </w:tcPr>
          <w:p w14:paraId="7F94AC98" w14:textId="7C12F1BD"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lastRenderedPageBreak/>
              <w:t>21</w:t>
            </w:r>
          </w:p>
        </w:tc>
        <w:tc>
          <w:tcPr>
            <w:tcW w:w="4253" w:type="dxa"/>
            <w:tcBorders>
              <w:top w:val="single" w:sz="4" w:space="0" w:color="014171"/>
              <w:bottom w:val="single" w:sz="4" w:space="0" w:color="014171"/>
            </w:tcBorders>
          </w:tcPr>
          <w:p w14:paraId="05AE508A" w14:textId="75F97918" w:rsidR="006775E5" w:rsidRPr="0040745F" w:rsidRDefault="00C531F4" w:rsidP="00A02BEA">
            <w:pPr>
              <w:autoSpaceDE w:val="0"/>
              <w:autoSpaceDN w:val="0"/>
              <w:adjustRightInd w:val="0"/>
              <w:spacing w:after="0"/>
              <w:ind w:left="113"/>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 Qualifizierte Beteiligung außerhalb des Finanzsektors, deren Betrag 15% der Eigenmittel überschreitet</w:t>
            </w:r>
          </w:p>
        </w:tc>
        <w:tc>
          <w:tcPr>
            <w:tcW w:w="1129" w:type="dxa"/>
            <w:tcBorders>
              <w:top w:val="single" w:sz="4" w:space="0" w:color="014171"/>
              <w:bottom w:val="single" w:sz="4" w:space="0" w:color="014171"/>
            </w:tcBorders>
          </w:tcPr>
          <w:p w14:paraId="0B54616D" w14:textId="4221302D" w:rsidR="006775E5" w:rsidRPr="0040745F" w:rsidRDefault="006775E5" w:rsidP="00A02BEA">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3F2A5B47"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4BB2BBD0" w14:textId="77777777" w:rsidTr="006775E5">
        <w:trPr>
          <w:trHeight w:val="274"/>
        </w:trPr>
        <w:tc>
          <w:tcPr>
            <w:tcW w:w="567" w:type="dxa"/>
            <w:tcBorders>
              <w:top w:val="single" w:sz="4" w:space="0" w:color="014171"/>
              <w:bottom w:val="single" w:sz="4" w:space="0" w:color="014171"/>
            </w:tcBorders>
          </w:tcPr>
          <w:p w14:paraId="32C5A7DA" w14:textId="5EA38FEC"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22</w:t>
            </w:r>
          </w:p>
        </w:tc>
        <w:tc>
          <w:tcPr>
            <w:tcW w:w="4253" w:type="dxa"/>
            <w:tcBorders>
              <w:top w:val="single" w:sz="4" w:space="0" w:color="014171"/>
              <w:bottom w:val="single" w:sz="4" w:space="0" w:color="014171"/>
            </w:tcBorders>
          </w:tcPr>
          <w:p w14:paraId="63C51B5A" w14:textId="7EA77903" w:rsidR="006775E5" w:rsidRPr="0040745F" w:rsidRDefault="00C531F4" w:rsidP="00A02BEA">
            <w:pPr>
              <w:autoSpaceDE w:val="0"/>
              <w:autoSpaceDN w:val="0"/>
              <w:adjustRightInd w:val="0"/>
              <w:spacing w:after="0"/>
              <w:ind w:left="113"/>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 Gesamtbetrag der qualifizierten Beteiligungen an anderen Unternehmen der Finanzbranche, der 60% der Eigenmittel überschreitet</w:t>
            </w:r>
          </w:p>
        </w:tc>
        <w:tc>
          <w:tcPr>
            <w:tcW w:w="1129" w:type="dxa"/>
            <w:tcBorders>
              <w:top w:val="single" w:sz="4" w:space="0" w:color="014171"/>
              <w:bottom w:val="single" w:sz="4" w:space="0" w:color="014171"/>
            </w:tcBorders>
          </w:tcPr>
          <w:p w14:paraId="1BB73EA3" w14:textId="0E4208CA" w:rsidR="006775E5" w:rsidRPr="0040745F" w:rsidRDefault="006775E5" w:rsidP="00A02BEA">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5FEABF1E"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3B38C91C" w14:textId="77777777" w:rsidTr="006775E5">
        <w:trPr>
          <w:trHeight w:val="274"/>
        </w:trPr>
        <w:tc>
          <w:tcPr>
            <w:tcW w:w="567" w:type="dxa"/>
            <w:tcBorders>
              <w:top w:val="single" w:sz="4" w:space="0" w:color="014171"/>
            </w:tcBorders>
          </w:tcPr>
          <w:p w14:paraId="69F54FAD" w14:textId="6BF2610D"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23</w:t>
            </w:r>
          </w:p>
        </w:tc>
        <w:tc>
          <w:tcPr>
            <w:tcW w:w="4253" w:type="dxa"/>
            <w:tcBorders>
              <w:top w:val="single" w:sz="4" w:space="0" w:color="014171"/>
            </w:tcBorders>
          </w:tcPr>
          <w:p w14:paraId="02FE9F61" w14:textId="79DA6C7C" w:rsidR="006775E5" w:rsidRPr="0040745F" w:rsidRDefault="00C531F4" w:rsidP="00A02BEA">
            <w:pPr>
              <w:autoSpaceDE w:val="0"/>
              <w:autoSpaceDN w:val="0"/>
              <w:adjustRightInd w:val="0"/>
              <w:spacing w:after="0"/>
              <w:ind w:left="113"/>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 Instrumente des harten Kernkapitals von Unternehmen der Finanzbranche, an denen das Institut keine wesentliche Beteiligung hält</w:t>
            </w:r>
          </w:p>
        </w:tc>
        <w:tc>
          <w:tcPr>
            <w:tcW w:w="1129" w:type="dxa"/>
            <w:tcBorders>
              <w:top w:val="single" w:sz="4" w:space="0" w:color="014171"/>
            </w:tcBorders>
          </w:tcPr>
          <w:p w14:paraId="7D35058E" w14:textId="1657EA14" w:rsidR="006775E5" w:rsidRPr="0040745F" w:rsidRDefault="006775E5" w:rsidP="00A02BEA">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tcBorders>
          </w:tcPr>
          <w:p w14:paraId="76231710"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7334B96E" w14:textId="77777777" w:rsidTr="006775E5">
        <w:trPr>
          <w:trHeight w:val="274"/>
        </w:trPr>
        <w:tc>
          <w:tcPr>
            <w:tcW w:w="567" w:type="dxa"/>
            <w:tcBorders>
              <w:top w:val="single" w:sz="4" w:space="0" w:color="014171"/>
              <w:bottom w:val="single" w:sz="4" w:space="0" w:color="014171"/>
            </w:tcBorders>
          </w:tcPr>
          <w:p w14:paraId="552B90B6" w14:textId="7BD44EB2"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24</w:t>
            </w:r>
          </w:p>
        </w:tc>
        <w:tc>
          <w:tcPr>
            <w:tcW w:w="4253" w:type="dxa"/>
            <w:tcBorders>
              <w:top w:val="single" w:sz="4" w:space="0" w:color="014171"/>
              <w:bottom w:val="single" w:sz="4" w:space="0" w:color="014171"/>
            </w:tcBorders>
          </w:tcPr>
          <w:p w14:paraId="035B665F" w14:textId="4B80CFC0" w:rsidR="006775E5" w:rsidRPr="0040745F" w:rsidRDefault="00C531F4" w:rsidP="00A02BEA">
            <w:pPr>
              <w:autoSpaceDE w:val="0"/>
              <w:autoSpaceDN w:val="0"/>
              <w:adjustRightInd w:val="0"/>
              <w:spacing w:after="0"/>
              <w:ind w:left="113"/>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 Instrumente des harten Kernkapitals von Unternehmen der Finanzbranche, an denen das Institut eine wesentliche Beteiligung hält</w:t>
            </w:r>
          </w:p>
        </w:tc>
        <w:tc>
          <w:tcPr>
            <w:tcW w:w="1129" w:type="dxa"/>
            <w:tcBorders>
              <w:top w:val="single" w:sz="4" w:space="0" w:color="014171"/>
              <w:bottom w:val="single" w:sz="4" w:space="0" w:color="014171"/>
            </w:tcBorders>
          </w:tcPr>
          <w:p w14:paraId="6472EC3A" w14:textId="45BBB9B0" w:rsidR="006775E5" w:rsidRPr="0040745F" w:rsidRDefault="006775E5" w:rsidP="00A02BEA">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27DD633C"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77DA33BC" w14:textId="77777777" w:rsidTr="006775E5">
        <w:trPr>
          <w:trHeight w:val="274"/>
        </w:trPr>
        <w:tc>
          <w:tcPr>
            <w:tcW w:w="567" w:type="dxa"/>
            <w:tcBorders>
              <w:top w:val="single" w:sz="4" w:space="0" w:color="014171"/>
              <w:bottom w:val="single" w:sz="4" w:space="0" w:color="014171"/>
            </w:tcBorders>
          </w:tcPr>
          <w:p w14:paraId="5ECAC199" w14:textId="6FFE839A"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25</w:t>
            </w:r>
          </w:p>
        </w:tc>
        <w:tc>
          <w:tcPr>
            <w:tcW w:w="4253" w:type="dxa"/>
            <w:tcBorders>
              <w:top w:val="single" w:sz="4" w:space="0" w:color="014171"/>
              <w:bottom w:val="single" w:sz="4" w:space="0" w:color="014171"/>
            </w:tcBorders>
          </w:tcPr>
          <w:p w14:paraId="2371E52C" w14:textId="27AED896" w:rsidR="006775E5" w:rsidRPr="0040745F" w:rsidRDefault="00C531F4" w:rsidP="00A02BEA">
            <w:pPr>
              <w:autoSpaceDE w:val="0"/>
              <w:autoSpaceDN w:val="0"/>
              <w:adjustRightInd w:val="0"/>
              <w:spacing w:after="0"/>
              <w:ind w:left="113"/>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 Vermögenswerte aus Pensionsfonds mit Leistungszusage</w:t>
            </w:r>
          </w:p>
        </w:tc>
        <w:tc>
          <w:tcPr>
            <w:tcW w:w="1129" w:type="dxa"/>
            <w:tcBorders>
              <w:top w:val="single" w:sz="4" w:space="0" w:color="014171"/>
              <w:bottom w:val="single" w:sz="4" w:space="0" w:color="014171"/>
            </w:tcBorders>
          </w:tcPr>
          <w:p w14:paraId="6371939C" w14:textId="4DCF6629" w:rsidR="006775E5" w:rsidRPr="0040745F" w:rsidRDefault="006775E5" w:rsidP="00A02BEA">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1738C495"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2F2AA249" w14:textId="77777777" w:rsidTr="006775E5">
        <w:trPr>
          <w:trHeight w:val="274"/>
        </w:trPr>
        <w:tc>
          <w:tcPr>
            <w:tcW w:w="567" w:type="dxa"/>
            <w:tcBorders>
              <w:top w:val="single" w:sz="4" w:space="0" w:color="014171"/>
              <w:bottom w:val="single" w:sz="4" w:space="0" w:color="014171"/>
            </w:tcBorders>
          </w:tcPr>
          <w:p w14:paraId="217F33A9" w14:textId="6962D0B6"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26</w:t>
            </w:r>
          </w:p>
        </w:tc>
        <w:tc>
          <w:tcPr>
            <w:tcW w:w="4253" w:type="dxa"/>
            <w:tcBorders>
              <w:top w:val="single" w:sz="4" w:space="0" w:color="014171"/>
              <w:bottom w:val="single" w:sz="4" w:space="0" w:color="014171"/>
            </w:tcBorders>
          </w:tcPr>
          <w:p w14:paraId="27ED9152" w14:textId="79B7B22E" w:rsidR="006775E5" w:rsidRPr="0040745F" w:rsidRDefault="00C531F4" w:rsidP="00A02BEA">
            <w:pPr>
              <w:autoSpaceDE w:val="0"/>
              <w:autoSpaceDN w:val="0"/>
              <w:adjustRightInd w:val="0"/>
              <w:spacing w:after="0"/>
              <w:ind w:left="113"/>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 Sonstige Abzüge</w:t>
            </w:r>
          </w:p>
        </w:tc>
        <w:tc>
          <w:tcPr>
            <w:tcW w:w="1129" w:type="dxa"/>
            <w:tcBorders>
              <w:top w:val="single" w:sz="4" w:space="0" w:color="014171"/>
              <w:bottom w:val="single" w:sz="4" w:space="0" w:color="014171"/>
            </w:tcBorders>
          </w:tcPr>
          <w:p w14:paraId="5FECAFBC" w14:textId="288F08D7" w:rsidR="006775E5" w:rsidRPr="0040745F" w:rsidRDefault="006775E5" w:rsidP="00A02BEA">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161E9AF0"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5DF4055F" w14:textId="77777777" w:rsidTr="007C1172">
        <w:trPr>
          <w:trHeight w:val="274"/>
        </w:trPr>
        <w:tc>
          <w:tcPr>
            <w:tcW w:w="567" w:type="dxa"/>
            <w:tcBorders>
              <w:top w:val="single" w:sz="4" w:space="0" w:color="014171"/>
              <w:bottom w:val="single" w:sz="12" w:space="0" w:color="014171"/>
            </w:tcBorders>
          </w:tcPr>
          <w:p w14:paraId="0C23DC80" w14:textId="1D9BBF2F"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27</w:t>
            </w:r>
          </w:p>
        </w:tc>
        <w:tc>
          <w:tcPr>
            <w:tcW w:w="4253" w:type="dxa"/>
            <w:tcBorders>
              <w:top w:val="single" w:sz="4" w:space="0" w:color="014171"/>
              <w:bottom w:val="single" w:sz="12" w:space="0" w:color="014171"/>
            </w:tcBorders>
          </w:tcPr>
          <w:p w14:paraId="56CEDB3D" w14:textId="173B77B0" w:rsidR="006775E5" w:rsidRPr="0040745F" w:rsidRDefault="00C531F4"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Hartes Kernkapital: Sonstige Bestandteile des Kapitals, Abzüge und Anpassungen</w:t>
            </w:r>
          </w:p>
        </w:tc>
        <w:tc>
          <w:tcPr>
            <w:tcW w:w="1129" w:type="dxa"/>
            <w:tcBorders>
              <w:top w:val="single" w:sz="4" w:space="0" w:color="014171"/>
              <w:bottom w:val="single" w:sz="12" w:space="0" w:color="014171"/>
            </w:tcBorders>
          </w:tcPr>
          <w:p w14:paraId="58BD8A9A" w14:textId="1252E0B2" w:rsidR="006775E5" w:rsidRPr="0040745F" w:rsidRDefault="006775E5" w:rsidP="00A02BEA">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12" w:space="0" w:color="014171"/>
            </w:tcBorders>
          </w:tcPr>
          <w:p w14:paraId="7A7B0ECF"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5870F955" w14:textId="77777777" w:rsidTr="00A02BEA">
        <w:trPr>
          <w:trHeight w:val="274"/>
        </w:trPr>
        <w:tc>
          <w:tcPr>
            <w:tcW w:w="567" w:type="dxa"/>
            <w:tcBorders>
              <w:top w:val="single" w:sz="12" w:space="0" w:color="014171"/>
              <w:bottom w:val="single" w:sz="12" w:space="0" w:color="014171"/>
            </w:tcBorders>
          </w:tcPr>
          <w:p w14:paraId="01E7447C" w14:textId="797BDEA2" w:rsidR="006775E5" w:rsidRPr="0040745F" w:rsidRDefault="006775E5" w:rsidP="006775E5">
            <w:pPr>
              <w:autoSpaceDE w:val="0"/>
              <w:autoSpaceDN w:val="0"/>
              <w:adjustRightInd w:val="0"/>
              <w:spacing w:after="0"/>
              <w:jc w:val="both"/>
              <w:rPr>
                <w:rFonts w:ascii="Segoe UI" w:hAnsi="Segoe UI" w:cs="Segoe UI"/>
                <w:b/>
                <w:color w:val="014171"/>
                <w:sz w:val="18"/>
                <w:szCs w:val="18"/>
                <w:lang w:val="de-DE" w:eastAsia="en-GB"/>
              </w:rPr>
            </w:pPr>
            <w:r w:rsidRPr="0040745F">
              <w:rPr>
                <w:rFonts w:ascii="Segoe UI" w:hAnsi="Segoe UI" w:cs="Segoe UI"/>
                <w:b/>
                <w:color w:val="014171"/>
                <w:sz w:val="18"/>
                <w:szCs w:val="18"/>
                <w:lang w:val="de-DE"/>
              </w:rPr>
              <w:t>28</w:t>
            </w:r>
          </w:p>
        </w:tc>
        <w:tc>
          <w:tcPr>
            <w:tcW w:w="4253" w:type="dxa"/>
            <w:tcBorders>
              <w:top w:val="single" w:sz="12" w:space="0" w:color="014171"/>
              <w:bottom w:val="single" w:sz="12" w:space="0" w:color="014171"/>
            </w:tcBorders>
          </w:tcPr>
          <w:p w14:paraId="203AE765" w14:textId="5F6B60D8" w:rsidR="006775E5" w:rsidRPr="0040745F" w:rsidRDefault="00C531F4" w:rsidP="006775E5">
            <w:pPr>
              <w:autoSpaceDE w:val="0"/>
              <w:autoSpaceDN w:val="0"/>
              <w:adjustRightInd w:val="0"/>
              <w:spacing w:after="0"/>
              <w:jc w:val="both"/>
              <w:rPr>
                <w:rFonts w:ascii="Segoe UI" w:hAnsi="Segoe UI" w:cs="Segoe UI"/>
                <w:b/>
                <w:color w:val="014171"/>
                <w:sz w:val="18"/>
                <w:szCs w:val="18"/>
                <w:lang w:val="de-DE" w:eastAsia="en-GB"/>
              </w:rPr>
            </w:pPr>
            <w:r w:rsidRPr="0040745F">
              <w:rPr>
                <w:rFonts w:ascii="Segoe UI" w:hAnsi="Segoe UI" w:cs="Segoe UI"/>
                <w:b/>
                <w:color w:val="014171"/>
                <w:sz w:val="18"/>
                <w:szCs w:val="18"/>
                <w:lang w:val="de-DE"/>
              </w:rPr>
              <w:t>ZUSÄTZLICHES KERNKAPITAL (AT1)</w:t>
            </w:r>
          </w:p>
        </w:tc>
        <w:tc>
          <w:tcPr>
            <w:tcW w:w="1129" w:type="dxa"/>
            <w:tcBorders>
              <w:top w:val="single" w:sz="12" w:space="0" w:color="014171"/>
              <w:bottom w:val="single" w:sz="12" w:space="0" w:color="014171"/>
            </w:tcBorders>
          </w:tcPr>
          <w:p w14:paraId="0ECBD6D4" w14:textId="1082D62C" w:rsidR="006775E5" w:rsidRPr="0040745F" w:rsidRDefault="006775E5" w:rsidP="00A02BEA">
            <w:pPr>
              <w:autoSpaceDE w:val="0"/>
              <w:autoSpaceDN w:val="0"/>
              <w:adjustRightInd w:val="0"/>
              <w:spacing w:after="0"/>
              <w:jc w:val="right"/>
              <w:rPr>
                <w:rFonts w:ascii="Segoe UI" w:hAnsi="Segoe UI" w:cs="Segoe UI"/>
                <w:b/>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12" w:space="0" w:color="014171"/>
              <w:bottom w:val="single" w:sz="12" w:space="0" w:color="014171"/>
            </w:tcBorders>
          </w:tcPr>
          <w:p w14:paraId="3CFD31EC" w14:textId="77777777" w:rsidR="006775E5" w:rsidRPr="0040745F" w:rsidRDefault="006775E5" w:rsidP="006775E5">
            <w:pPr>
              <w:autoSpaceDE w:val="0"/>
              <w:autoSpaceDN w:val="0"/>
              <w:adjustRightInd w:val="0"/>
              <w:spacing w:after="0"/>
              <w:jc w:val="both"/>
              <w:rPr>
                <w:rFonts w:ascii="Segoe UI" w:hAnsi="Segoe UI" w:cs="Segoe UI"/>
                <w:b/>
                <w:color w:val="014171"/>
                <w:sz w:val="18"/>
                <w:szCs w:val="18"/>
                <w:lang w:val="de-DE" w:eastAsia="en-GB"/>
              </w:rPr>
            </w:pPr>
          </w:p>
        </w:tc>
      </w:tr>
      <w:tr w:rsidR="006775E5" w:rsidRPr="0040745F" w14:paraId="083C1E3F" w14:textId="77777777" w:rsidTr="007C1172">
        <w:trPr>
          <w:trHeight w:val="274"/>
        </w:trPr>
        <w:tc>
          <w:tcPr>
            <w:tcW w:w="567" w:type="dxa"/>
            <w:tcBorders>
              <w:top w:val="single" w:sz="12" w:space="0" w:color="014171"/>
              <w:bottom w:val="single" w:sz="4" w:space="0" w:color="014171"/>
            </w:tcBorders>
          </w:tcPr>
          <w:p w14:paraId="50F1792F" w14:textId="4144ACFF"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29</w:t>
            </w:r>
          </w:p>
        </w:tc>
        <w:tc>
          <w:tcPr>
            <w:tcW w:w="4253" w:type="dxa"/>
            <w:tcBorders>
              <w:top w:val="single" w:sz="12" w:space="0" w:color="014171"/>
              <w:bottom w:val="single" w:sz="4" w:space="0" w:color="014171"/>
            </w:tcBorders>
          </w:tcPr>
          <w:p w14:paraId="5AC2EC0B" w14:textId="356F2A5E" w:rsidR="006775E5" w:rsidRPr="0040745F" w:rsidRDefault="00C531F4"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Voll eingezahlte, unmittelbar ausgegebene Kapitalinstrumente</w:t>
            </w:r>
          </w:p>
        </w:tc>
        <w:tc>
          <w:tcPr>
            <w:tcW w:w="1129" w:type="dxa"/>
            <w:tcBorders>
              <w:top w:val="single" w:sz="12" w:space="0" w:color="014171"/>
              <w:bottom w:val="single" w:sz="4" w:space="0" w:color="014171"/>
            </w:tcBorders>
          </w:tcPr>
          <w:p w14:paraId="02E65863" w14:textId="065F10BB" w:rsidR="006775E5" w:rsidRPr="0040745F" w:rsidRDefault="006775E5" w:rsidP="00A02BEA">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12" w:space="0" w:color="014171"/>
              <w:bottom w:val="single" w:sz="4" w:space="0" w:color="014171"/>
            </w:tcBorders>
          </w:tcPr>
          <w:p w14:paraId="59D98124"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09E248DD" w14:textId="77777777" w:rsidTr="006775E5">
        <w:trPr>
          <w:trHeight w:val="274"/>
        </w:trPr>
        <w:tc>
          <w:tcPr>
            <w:tcW w:w="567" w:type="dxa"/>
            <w:tcBorders>
              <w:top w:val="single" w:sz="4" w:space="0" w:color="014171"/>
              <w:bottom w:val="single" w:sz="4" w:space="0" w:color="014171"/>
            </w:tcBorders>
          </w:tcPr>
          <w:p w14:paraId="26482632" w14:textId="755AE518"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30</w:t>
            </w:r>
          </w:p>
        </w:tc>
        <w:tc>
          <w:tcPr>
            <w:tcW w:w="4253" w:type="dxa"/>
            <w:tcBorders>
              <w:top w:val="single" w:sz="4" w:space="0" w:color="014171"/>
              <w:bottom w:val="single" w:sz="4" w:space="0" w:color="014171"/>
            </w:tcBorders>
          </w:tcPr>
          <w:p w14:paraId="38EE1D8A" w14:textId="04B92135" w:rsidR="006775E5" w:rsidRPr="0040745F" w:rsidRDefault="00C531F4"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Agio</w:t>
            </w:r>
          </w:p>
        </w:tc>
        <w:tc>
          <w:tcPr>
            <w:tcW w:w="1129" w:type="dxa"/>
            <w:tcBorders>
              <w:top w:val="single" w:sz="4" w:space="0" w:color="014171"/>
              <w:bottom w:val="single" w:sz="4" w:space="0" w:color="014171"/>
            </w:tcBorders>
          </w:tcPr>
          <w:p w14:paraId="21F00027" w14:textId="08119900" w:rsidR="006775E5" w:rsidRPr="0040745F" w:rsidRDefault="006775E5" w:rsidP="00A02BEA">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0F429F34"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519DC162" w14:textId="77777777" w:rsidTr="006775E5">
        <w:trPr>
          <w:trHeight w:val="274"/>
        </w:trPr>
        <w:tc>
          <w:tcPr>
            <w:tcW w:w="567" w:type="dxa"/>
            <w:tcBorders>
              <w:top w:val="single" w:sz="4" w:space="0" w:color="014171"/>
              <w:bottom w:val="single" w:sz="4" w:space="0" w:color="014171"/>
            </w:tcBorders>
          </w:tcPr>
          <w:p w14:paraId="413D150D" w14:textId="2FA9B9E0"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31</w:t>
            </w:r>
          </w:p>
        </w:tc>
        <w:tc>
          <w:tcPr>
            <w:tcW w:w="4253" w:type="dxa"/>
            <w:tcBorders>
              <w:top w:val="single" w:sz="4" w:space="0" w:color="014171"/>
              <w:bottom w:val="single" w:sz="4" w:space="0" w:color="014171"/>
            </w:tcBorders>
          </w:tcPr>
          <w:p w14:paraId="5F5D5C8D" w14:textId="044AEE04" w:rsidR="006775E5" w:rsidRPr="0040745F" w:rsidRDefault="00C531F4"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 GESAMTABZÜGE VOM ZUSÄTZLICHEN KERNKAPITAL</w:t>
            </w:r>
          </w:p>
        </w:tc>
        <w:tc>
          <w:tcPr>
            <w:tcW w:w="1129" w:type="dxa"/>
            <w:tcBorders>
              <w:top w:val="single" w:sz="4" w:space="0" w:color="014171"/>
              <w:bottom w:val="single" w:sz="4" w:space="0" w:color="014171"/>
            </w:tcBorders>
          </w:tcPr>
          <w:p w14:paraId="1BB47C58" w14:textId="262737EB" w:rsidR="006775E5" w:rsidRPr="0040745F" w:rsidRDefault="006775E5" w:rsidP="00A02BEA">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7612FDC1"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38E5AEEE" w14:textId="77777777" w:rsidTr="006775E5">
        <w:trPr>
          <w:trHeight w:val="274"/>
        </w:trPr>
        <w:tc>
          <w:tcPr>
            <w:tcW w:w="567" w:type="dxa"/>
            <w:tcBorders>
              <w:top w:val="single" w:sz="4" w:space="0" w:color="014171"/>
              <w:bottom w:val="single" w:sz="4" w:space="0" w:color="014171"/>
            </w:tcBorders>
          </w:tcPr>
          <w:p w14:paraId="25B25859" w14:textId="4D6A0AF6"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32</w:t>
            </w:r>
          </w:p>
        </w:tc>
        <w:tc>
          <w:tcPr>
            <w:tcW w:w="4253" w:type="dxa"/>
            <w:tcBorders>
              <w:top w:val="single" w:sz="4" w:space="0" w:color="014171"/>
              <w:bottom w:val="single" w:sz="4" w:space="0" w:color="014171"/>
            </w:tcBorders>
          </w:tcPr>
          <w:p w14:paraId="45F41464" w14:textId="4999B01F" w:rsidR="006775E5" w:rsidRPr="0040745F" w:rsidRDefault="00C531F4" w:rsidP="00A02BEA">
            <w:pPr>
              <w:autoSpaceDE w:val="0"/>
              <w:autoSpaceDN w:val="0"/>
              <w:adjustRightInd w:val="0"/>
              <w:spacing w:after="0"/>
              <w:ind w:left="113"/>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 Eigene Instrumente des zusätzlichen Kernkapitals</w:t>
            </w:r>
          </w:p>
        </w:tc>
        <w:tc>
          <w:tcPr>
            <w:tcW w:w="1129" w:type="dxa"/>
            <w:tcBorders>
              <w:top w:val="single" w:sz="4" w:space="0" w:color="014171"/>
              <w:bottom w:val="single" w:sz="4" w:space="0" w:color="014171"/>
            </w:tcBorders>
          </w:tcPr>
          <w:p w14:paraId="3FBF13CC" w14:textId="4998FE93" w:rsidR="006775E5" w:rsidRPr="0040745F" w:rsidRDefault="006775E5" w:rsidP="00A02BEA">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2067604A"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0666887D" w14:textId="77777777" w:rsidTr="006775E5">
        <w:trPr>
          <w:trHeight w:val="274"/>
        </w:trPr>
        <w:tc>
          <w:tcPr>
            <w:tcW w:w="567" w:type="dxa"/>
            <w:tcBorders>
              <w:top w:val="single" w:sz="4" w:space="0" w:color="014171"/>
              <w:bottom w:val="single" w:sz="4" w:space="0" w:color="014171"/>
            </w:tcBorders>
          </w:tcPr>
          <w:p w14:paraId="65DEF47A" w14:textId="68131B6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33</w:t>
            </w:r>
          </w:p>
        </w:tc>
        <w:tc>
          <w:tcPr>
            <w:tcW w:w="4253" w:type="dxa"/>
            <w:tcBorders>
              <w:top w:val="single" w:sz="4" w:space="0" w:color="014171"/>
              <w:bottom w:val="single" w:sz="4" w:space="0" w:color="014171"/>
            </w:tcBorders>
          </w:tcPr>
          <w:p w14:paraId="3555C868" w14:textId="28067698" w:rsidR="006775E5" w:rsidRPr="0040745F" w:rsidRDefault="00C531F4" w:rsidP="00A02BEA">
            <w:pPr>
              <w:autoSpaceDE w:val="0"/>
              <w:autoSpaceDN w:val="0"/>
              <w:adjustRightInd w:val="0"/>
              <w:spacing w:after="0"/>
              <w:ind w:left="227"/>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 Direkte Positionen in Instrumenten des zusätzlichen Kernkapitals</w:t>
            </w:r>
          </w:p>
        </w:tc>
        <w:tc>
          <w:tcPr>
            <w:tcW w:w="1129" w:type="dxa"/>
            <w:tcBorders>
              <w:top w:val="single" w:sz="4" w:space="0" w:color="014171"/>
              <w:bottom w:val="single" w:sz="4" w:space="0" w:color="014171"/>
            </w:tcBorders>
          </w:tcPr>
          <w:p w14:paraId="36F620B0" w14:textId="0D6B1CD4" w:rsidR="006775E5" w:rsidRPr="0040745F" w:rsidRDefault="006775E5" w:rsidP="00A02BEA">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1B50D0CA"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4766DDE4" w14:textId="77777777" w:rsidTr="006775E5">
        <w:trPr>
          <w:trHeight w:val="274"/>
        </w:trPr>
        <w:tc>
          <w:tcPr>
            <w:tcW w:w="567" w:type="dxa"/>
            <w:tcBorders>
              <w:top w:val="single" w:sz="4" w:space="0" w:color="014171"/>
              <w:bottom w:val="single" w:sz="4" w:space="0" w:color="014171"/>
            </w:tcBorders>
          </w:tcPr>
          <w:p w14:paraId="0C8BDD94" w14:textId="78E77C0A"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34</w:t>
            </w:r>
          </w:p>
        </w:tc>
        <w:tc>
          <w:tcPr>
            <w:tcW w:w="4253" w:type="dxa"/>
            <w:tcBorders>
              <w:top w:val="single" w:sz="4" w:space="0" w:color="014171"/>
              <w:bottom w:val="single" w:sz="4" w:space="0" w:color="014171"/>
            </w:tcBorders>
          </w:tcPr>
          <w:p w14:paraId="6CC02FDC" w14:textId="1B007D30" w:rsidR="006775E5" w:rsidRPr="0040745F" w:rsidRDefault="00C531F4" w:rsidP="00A02BEA">
            <w:pPr>
              <w:autoSpaceDE w:val="0"/>
              <w:autoSpaceDN w:val="0"/>
              <w:adjustRightInd w:val="0"/>
              <w:spacing w:after="0"/>
              <w:ind w:left="227"/>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 Indirekte Positionen in Instrumenten des zusätzlichen Kernkapitals</w:t>
            </w:r>
          </w:p>
        </w:tc>
        <w:tc>
          <w:tcPr>
            <w:tcW w:w="1129" w:type="dxa"/>
            <w:tcBorders>
              <w:top w:val="single" w:sz="4" w:space="0" w:color="014171"/>
              <w:bottom w:val="single" w:sz="4" w:space="0" w:color="014171"/>
            </w:tcBorders>
          </w:tcPr>
          <w:p w14:paraId="23F8F47F" w14:textId="613DB92B" w:rsidR="006775E5" w:rsidRPr="0040745F" w:rsidRDefault="006775E5" w:rsidP="00A02BEA">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20C8836E"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09E83D46" w14:textId="77777777" w:rsidTr="006775E5">
        <w:trPr>
          <w:trHeight w:val="274"/>
        </w:trPr>
        <w:tc>
          <w:tcPr>
            <w:tcW w:w="567" w:type="dxa"/>
            <w:tcBorders>
              <w:top w:val="single" w:sz="4" w:space="0" w:color="014171"/>
              <w:bottom w:val="single" w:sz="4" w:space="0" w:color="014171"/>
            </w:tcBorders>
          </w:tcPr>
          <w:p w14:paraId="490324A1" w14:textId="2597ADF2"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35</w:t>
            </w:r>
          </w:p>
        </w:tc>
        <w:tc>
          <w:tcPr>
            <w:tcW w:w="4253" w:type="dxa"/>
            <w:tcBorders>
              <w:top w:val="single" w:sz="4" w:space="0" w:color="014171"/>
              <w:bottom w:val="single" w:sz="4" w:space="0" w:color="014171"/>
            </w:tcBorders>
          </w:tcPr>
          <w:p w14:paraId="18A117EC" w14:textId="7CCF575A" w:rsidR="006775E5" w:rsidRPr="0040745F" w:rsidRDefault="00221BB2" w:rsidP="00A02BEA">
            <w:pPr>
              <w:autoSpaceDE w:val="0"/>
              <w:autoSpaceDN w:val="0"/>
              <w:adjustRightInd w:val="0"/>
              <w:spacing w:after="0"/>
              <w:ind w:left="227"/>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 Synthetische Positionen in Instrumenten des zusätzlichen Kernkapitals</w:t>
            </w:r>
          </w:p>
        </w:tc>
        <w:tc>
          <w:tcPr>
            <w:tcW w:w="1129" w:type="dxa"/>
            <w:tcBorders>
              <w:top w:val="single" w:sz="4" w:space="0" w:color="014171"/>
              <w:bottom w:val="single" w:sz="4" w:space="0" w:color="014171"/>
            </w:tcBorders>
          </w:tcPr>
          <w:p w14:paraId="771F6DA1" w14:textId="17F5A3C1" w:rsidR="006775E5" w:rsidRPr="0040745F" w:rsidRDefault="006775E5" w:rsidP="00A02BEA">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0BBDC2D6"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1C63332A" w14:textId="77777777" w:rsidTr="006775E5">
        <w:trPr>
          <w:trHeight w:val="274"/>
        </w:trPr>
        <w:tc>
          <w:tcPr>
            <w:tcW w:w="567" w:type="dxa"/>
            <w:tcBorders>
              <w:top w:val="single" w:sz="4" w:space="0" w:color="014171"/>
              <w:bottom w:val="single" w:sz="4" w:space="0" w:color="014171"/>
            </w:tcBorders>
          </w:tcPr>
          <w:p w14:paraId="44422A80" w14:textId="4C96F014"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36</w:t>
            </w:r>
          </w:p>
        </w:tc>
        <w:tc>
          <w:tcPr>
            <w:tcW w:w="4253" w:type="dxa"/>
            <w:tcBorders>
              <w:top w:val="single" w:sz="4" w:space="0" w:color="014171"/>
              <w:bottom w:val="single" w:sz="4" w:space="0" w:color="014171"/>
            </w:tcBorders>
          </w:tcPr>
          <w:p w14:paraId="39653E47" w14:textId="39570B63" w:rsidR="006775E5" w:rsidRPr="0040745F" w:rsidRDefault="00221BB2" w:rsidP="00A02BEA">
            <w:pPr>
              <w:autoSpaceDE w:val="0"/>
              <w:autoSpaceDN w:val="0"/>
              <w:adjustRightInd w:val="0"/>
              <w:spacing w:after="0"/>
              <w:ind w:left="113"/>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 Instrumente des zusätzlichen Kernkapitals von Unternehmen der Finanzbranche, an denen das Institut keine wesentliche Beteiligung hält</w:t>
            </w:r>
          </w:p>
        </w:tc>
        <w:tc>
          <w:tcPr>
            <w:tcW w:w="1129" w:type="dxa"/>
            <w:tcBorders>
              <w:top w:val="single" w:sz="4" w:space="0" w:color="014171"/>
              <w:bottom w:val="single" w:sz="4" w:space="0" w:color="014171"/>
            </w:tcBorders>
          </w:tcPr>
          <w:p w14:paraId="7C130919" w14:textId="4597E3A0" w:rsidR="006775E5" w:rsidRPr="0040745F" w:rsidRDefault="006775E5" w:rsidP="00A02BEA">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01510616"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39EF4D19" w14:textId="77777777" w:rsidTr="006775E5">
        <w:trPr>
          <w:trHeight w:val="274"/>
        </w:trPr>
        <w:tc>
          <w:tcPr>
            <w:tcW w:w="567" w:type="dxa"/>
            <w:tcBorders>
              <w:top w:val="single" w:sz="4" w:space="0" w:color="014171"/>
              <w:bottom w:val="single" w:sz="4" w:space="0" w:color="014171"/>
            </w:tcBorders>
          </w:tcPr>
          <w:p w14:paraId="2FB3F7D0" w14:textId="436E59ED"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37</w:t>
            </w:r>
          </w:p>
        </w:tc>
        <w:tc>
          <w:tcPr>
            <w:tcW w:w="4253" w:type="dxa"/>
            <w:tcBorders>
              <w:top w:val="single" w:sz="4" w:space="0" w:color="014171"/>
              <w:bottom w:val="single" w:sz="4" w:space="0" w:color="014171"/>
            </w:tcBorders>
          </w:tcPr>
          <w:p w14:paraId="2636BD42" w14:textId="5B5C99D3" w:rsidR="006775E5" w:rsidRPr="0040745F" w:rsidRDefault="00221BB2" w:rsidP="00A02BEA">
            <w:pPr>
              <w:autoSpaceDE w:val="0"/>
              <w:autoSpaceDN w:val="0"/>
              <w:adjustRightInd w:val="0"/>
              <w:spacing w:after="0"/>
              <w:ind w:left="113"/>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 Instrumente des zusätzlichen Kernkapitals von Unternehmen der Finanzbranche, an denen das Institut eine wesentliche Beteiligung hält</w:t>
            </w:r>
          </w:p>
        </w:tc>
        <w:tc>
          <w:tcPr>
            <w:tcW w:w="1129" w:type="dxa"/>
            <w:tcBorders>
              <w:top w:val="single" w:sz="4" w:space="0" w:color="014171"/>
              <w:bottom w:val="single" w:sz="4" w:space="0" w:color="014171"/>
            </w:tcBorders>
          </w:tcPr>
          <w:p w14:paraId="1D074686" w14:textId="6F045A06" w:rsidR="006775E5" w:rsidRPr="0040745F" w:rsidRDefault="006775E5" w:rsidP="00A02BEA">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3B294956"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4785AB3E" w14:textId="77777777" w:rsidTr="006775E5">
        <w:trPr>
          <w:trHeight w:val="274"/>
        </w:trPr>
        <w:tc>
          <w:tcPr>
            <w:tcW w:w="567" w:type="dxa"/>
            <w:tcBorders>
              <w:top w:val="single" w:sz="4" w:space="0" w:color="014171"/>
              <w:bottom w:val="single" w:sz="4" w:space="0" w:color="014171"/>
            </w:tcBorders>
          </w:tcPr>
          <w:p w14:paraId="4140919B" w14:textId="45026843"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38</w:t>
            </w:r>
          </w:p>
        </w:tc>
        <w:tc>
          <w:tcPr>
            <w:tcW w:w="4253" w:type="dxa"/>
            <w:tcBorders>
              <w:top w:val="single" w:sz="4" w:space="0" w:color="014171"/>
              <w:bottom w:val="single" w:sz="4" w:space="0" w:color="014171"/>
            </w:tcBorders>
          </w:tcPr>
          <w:p w14:paraId="651EC74A" w14:textId="5356113B" w:rsidR="006775E5" w:rsidRPr="0040745F" w:rsidRDefault="00221BB2" w:rsidP="00A02BEA">
            <w:pPr>
              <w:autoSpaceDE w:val="0"/>
              <w:autoSpaceDN w:val="0"/>
              <w:adjustRightInd w:val="0"/>
              <w:spacing w:after="0"/>
              <w:ind w:left="113"/>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 Sonstige Abzüge</w:t>
            </w:r>
          </w:p>
        </w:tc>
        <w:tc>
          <w:tcPr>
            <w:tcW w:w="1129" w:type="dxa"/>
            <w:tcBorders>
              <w:top w:val="single" w:sz="4" w:space="0" w:color="014171"/>
              <w:bottom w:val="single" w:sz="4" w:space="0" w:color="014171"/>
            </w:tcBorders>
          </w:tcPr>
          <w:p w14:paraId="68D06155" w14:textId="14FE7D69" w:rsidR="006775E5" w:rsidRPr="0040745F" w:rsidRDefault="006775E5" w:rsidP="00A02BEA">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1D32F8F6"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78D55627" w14:textId="77777777" w:rsidTr="007C1172">
        <w:trPr>
          <w:trHeight w:val="274"/>
        </w:trPr>
        <w:tc>
          <w:tcPr>
            <w:tcW w:w="567" w:type="dxa"/>
            <w:tcBorders>
              <w:top w:val="single" w:sz="4" w:space="0" w:color="014171"/>
              <w:bottom w:val="single" w:sz="12" w:space="0" w:color="014171"/>
            </w:tcBorders>
          </w:tcPr>
          <w:p w14:paraId="6EA528D6" w14:textId="286CD70B"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39</w:t>
            </w:r>
          </w:p>
        </w:tc>
        <w:tc>
          <w:tcPr>
            <w:tcW w:w="4253" w:type="dxa"/>
            <w:tcBorders>
              <w:top w:val="single" w:sz="4" w:space="0" w:color="014171"/>
              <w:bottom w:val="single" w:sz="12" w:space="0" w:color="014171"/>
            </w:tcBorders>
          </w:tcPr>
          <w:p w14:paraId="511C7FA5" w14:textId="27DFDCDA" w:rsidR="006775E5" w:rsidRPr="0040745F" w:rsidRDefault="00221BB2"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Zusätzliches Kernkapital: Sonstige Bestandteile des Kapitals, Abzüge und Anpassungen</w:t>
            </w:r>
          </w:p>
        </w:tc>
        <w:tc>
          <w:tcPr>
            <w:tcW w:w="1129" w:type="dxa"/>
            <w:tcBorders>
              <w:top w:val="single" w:sz="4" w:space="0" w:color="014171"/>
              <w:bottom w:val="single" w:sz="12" w:space="0" w:color="014171"/>
            </w:tcBorders>
          </w:tcPr>
          <w:p w14:paraId="4D59B7FB" w14:textId="021DE7E9" w:rsidR="006775E5" w:rsidRPr="0040745F" w:rsidRDefault="006775E5" w:rsidP="00A02BEA">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12" w:space="0" w:color="014171"/>
            </w:tcBorders>
          </w:tcPr>
          <w:p w14:paraId="05F3E643"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63E17DCB" w14:textId="77777777" w:rsidTr="00A02BEA">
        <w:trPr>
          <w:trHeight w:val="274"/>
        </w:trPr>
        <w:tc>
          <w:tcPr>
            <w:tcW w:w="567" w:type="dxa"/>
            <w:tcBorders>
              <w:top w:val="single" w:sz="12" w:space="0" w:color="014171"/>
              <w:bottom w:val="single" w:sz="12" w:space="0" w:color="014171"/>
            </w:tcBorders>
          </w:tcPr>
          <w:p w14:paraId="14C8DE3E" w14:textId="00482A9B" w:rsidR="006775E5" w:rsidRPr="0040745F" w:rsidRDefault="006775E5" w:rsidP="006775E5">
            <w:pPr>
              <w:autoSpaceDE w:val="0"/>
              <w:autoSpaceDN w:val="0"/>
              <w:adjustRightInd w:val="0"/>
              <w:spacing w:after="0"/>
              <w:jc w:val="both"/>
              <w:rPr>
                <w:rFonts w:ascii="Segoe UI" w:hAnsi="Segoe UI" w:cs="Segoe UI"/>
                <w:b/>
                <w:color w:val="014171"/>
                <w:sz w:val="18"/>
                <w:szCs w:val="18"/>
                <w:lang w:val="de-DE" w:eastAsia="en-GB"/>
              </w:rPr>
            </w:pPr>
            <w:r w:rsidRPr="0040745F">
              <w:rPr>
                <w:rFonts w:ascii="Segoe UI" w:hAnsi="Segoe UI" w:cs="Segoe UI"/>
                <w:b/>
                <w:color w:val="014171"/>
                <w:sz w:val="18"/>
                <w:szCs w:val="18"/>
                <w:lang w:val="de-DE"/>
              </w:rPr>
              <w:t>40</w:t>
            </w:r>
          </w:p>
        </w:tc>
        <w:tc>
          <w:tcPr>
            <w:tcW w:w="4253" w:type="dxa"/>
            <w:tcBorders>
              <w:top w:val="single" w:sz="12" w:space="0" w:color="014171"/>
              <w:bottom w:val="single" w:sz="12" w:space="0" w:color="014171"/>
            </w:tcBorders>
          </w:tcPr>
          <w:p w14:paraId="7902BB00" w14:textId="5228578F" w:rsidR="006775E5" w:rsidRPr="0040745F" w:rsidRDefault="00221BB2" w:rsidP="006775E5">
            <w:pPr>
              <w:autoSpaceDE w:val="0"/>
              <w:autoSpaceDN w:val="0"/>
              <w:adjustRightInd w:val="0"/>
              <w:spacing w:after="0"/>
              <w:jc w:val="both"/>
              <w:rPr>
                <w:rFonts w:ascii="Segoe UI" w:hAnsi="Segoe UI" w:cs="Segoe UI"/>
                <w:b/>
                <w:color w:val="014171"/>
                <w:sz w:val="18"/>
                <w:szCs w:val="18"/>
                <w:lang w:val="de-DE" w:eastAsia="en-GB"/>
              </w:rPr>
            </w:pPr>
            <w:r w:rsidRPr="0040745F">
              <w:rPr>
                <w:rFonts w:ascii="Segoe UI" w:hAnsi="Segoe UI" w:cs="Segoe UI"/>
                <w:b/>
                <w:color w:val="014171"/>
                <w:sz w:val="18"/>
                <w:szCs w:val="18"/>
                <w:lang w:val="de-DE"/>
              </w:rPr>
              <w:t>ERGÄNZUNGSKAPITAL (T2)</w:t>
            </w:r>
          </w:p>
        </w:tc>
        <w:tc>
          <w:tcPr>
            <w:tcW w:w="1129" w:type="dxa"/>
            <w:tcBorders>
              <w:top w:val="single" w:sz="12" w:space="0" w:color="014171"/>
              <w:bottom w:val="single" w:sz="12" w:space="0" w:color="014171"/>
            </w:tcBorders>
          </w:tcPr>
          <w:p w14:paraId="78CCDDF7" w14:textId="5056830D" w:rsidR="006775E5" w:rsidRPr="0040745F" w:rsidRDefault="006775E5" w:rsidP="00A02BEA">
            <w:pPr>
              <w:autoSpaceDE w:val="0"/>
              <w:autoSpaceDN w:val="0"/>
              <w:adjustRightInd w:val="0"/>
              <w:spacing w:after="0"/>
              <w:jc w:val="right"/>
              <w:rPr>
                <w:rFonts w:ascii="Segoe UI" w:hAnsi="Segoe UI" w:cs="Segoe UI"/>
                <w:b/>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12" w:space="0" w:color="014171"/>
              <w:bottom w:val="single" w:sz="12" w:space="0" w:color="014171"/>
            </w:tcBorders>
          </w:tcPr>
          <w:p w14:paraId="666C4D61" w14:textId="77777777" w:rsidR="006775E5" w:rsidRPr="0040745F" w:rsidRDefault="006775E5" w:rsidP="006775E5">
            <w:pPr>
              <w:autoSpaceDE w:val="0"/>
              <w:autoSpaceDN w:val="0"/>
              <w:adjustRightInd w:val="0"/>
              <w:spacing w:after="0"/>
              <w:jc w:val="both"/>
              <w:rPr>
                <w:rFonts w:ascii="Segoe UI" w:hAnsi="Segoe UI" w:cs="Segoe UI"/>
                <w:b/>
                <w:color w:val="014171"/>
                <w:sz w:val="18"/>
                <w:szCs w:val="18"/>
                <w:lang w:val="de-DE" w:eastAsia="en-GB"/>
              </w:rPr>
            </w:pPr>
          </w:p>
        </w:tc>
      </w:tr>
      <w:tr w:rsidR="006775E5" w:rsidRPr="0040745F" w14:paraId="1917A24F" w14:textId="77777777" w:rsidTr="007C1172">
        <w:trPr>
          <w:trHeight w:val="274"/>
        </w:trPr>
        <w:tc>
          <w:tcPr>
            <w:tcW w:w="567" w:type="dxa"/>
            <w:tcBorders>
              <w:top w:val="single" w:sz="12" w:space="0" w:color="014171"/>
              <w:bottom w:val="single" w:sz="4" w:space="0" w:color="014171"/>
            </w:tcBorders>
          </w:tcPr>
          <w:p w14:paraId="75D73EA4" w14:textId="1F76CD0D"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41</w:t>
            </w:r>
          </w:p>
        </w:tc>
        <w:tc>
          <w:tcPr>
            <w:tcW w:w="4253" w:type="dxa"/>
            <w:tcBorders>
              <w:top w:val="single" w:sz="12" w:space="0" w:color="014171"/>
              <w:bottom w:val="single" w:sz="4" w:space="0" w:color="014171"/>
            </w:tcBorders>
          </w:tcPr>
          <w:p w14:paraId="5D8B0C71" w14:textId="70B3E3E9" w:rsidR="006775E5" w:rsidRPr="0040745F" w:rsidRDefault="00221BB2"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Voll eingezahlte, unmittelbar ausgegebene Kapitalinstrumente</w:t>
            </w:r>
          </w:p>
        </w:tc>
        <w:tc>
          <w:tcPr>
            <w:tcW w:w="1129" w:type="dxa"/>
            <w:tcBorders>
              <w:top w:val="single" w:sz="12" w:space="0" w:color="014171"/>
              <w:bottom w:val="single" w:sz="4" w:space="0" w:color="014171"/>
            </w:tcBorders>
          </w:tcPr>
          <w:p w14:paraId="3A69366C" w14:textId="21EE666A" w:rsidR="006775E5" w:rsidRPr="0040745F" w:rsidRDefault="006775E5" w:rsidP="00A02BEA">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12" w:space="0" w:color="014171"/>
              <w:bottom w:val="single" w:sz="4" w:space="0" w:color="014171"/>
            </w:tcBorders>
          </w:tcPr>
          <w:p w14:paraId="7159B23C"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6ABDA114" w14:textId="77777777" w:rsidTr="006775E5">
        <w:trPr>
          <w:trHeight w:val="274"/>
        </w:trPr>
        <w:tc>
          <w:tcPr>
            <w:tcW w:w="567" w:type="dxa"/>
            <w:tcBorders>
              <w:top w:val="single" w:sz="4" w:space="0" w:color="014171"/>
              <w:bottom w:val="single" w:sz="4" w:space="0" w:color="014171"/>
            </w:tcBorders>
          </w:tcPr>
          <w:p w14:paraId="77402561" w14:textId="4F65C674"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42</w:t>
            </w:r>
          </w:p>
        </w:tc>
        <w:tc>
          <w:tcPr>
            <w:tcW w:w="4253" w:type="dxa"/>
            <w:tcBorders>
              <w:top w:val="single" w:sz="4" w:space="0" w:color="014171"/>
              <w:bottom w:val="single" w:sz="4" w:space="0" w:color="014171"/>
            </w:tcBorders>
          </w:tcPr>
          <w:p w14:paraId="72E6EAC7" w14:textId="403B4F1D" w:rsidR="006775E5" w:rsidRPr="0040745F" w:rsidRDefault="00221BB2"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Agio</w:t>
            </w:r>
          </w:p>
        </w:tc>
        <w:tc>
          <w:tcPr>
            <w:tcW w:w="1129" w:type="dxa"/>
            <w:tcBorders>
              <w:top w:val="single" w:sz="4" w:space="0" w:color="014171"/>
              <w:bottom w:val="single" w:sz="4" w:space="0" w:color="014171"/>
            </w:tcBorders>
          </w:tcPr>
          <w:p w14:paraId="1FC9CDE7" w14:textId="51DBAF12" w:rsidR="006775E5" w:rsidRPr="0040745F" w:rsidRDefault="006775E5" w:rsidP="00A02BEA">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1BECE944"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2CFB2B7A" w14:textId="77777777" w:rsidTr="00A02BEA">
        <w:trPr>
          <w:trHeight w:val="274"/>
        </w:trPr>
        <w:tc>
          <w:tcPr>
            <w:tcW w:w="567" w:type="dxa"/>
            <w:tcBorders>
              <w:top w:val="single" w:sz="4" w:space="0" w:color="014171"/>
              <w:bottom w:val="single" w:sz="4" w:space="0" w:color="014171"/>
            </w:tcBorders>
          </w:tcPr>
          <w:p w14:paraId="2CC42ED9" w14:textId="2C726C0C"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43</w:t>
            </w:r>
          </w:p>
        </w:tc>
        <w:tc>
          <w:tcPr>
            <w:tcW w:w="4253" w:type="dxa"/>
            <w:tcBorders>
              <w:top w:val="single" w:sz="4" w:space="0" w:color="014171"/>
              <w:bottom w:val="single" w:sz="4" w:space="0" w:color="014171"/>
            </w:tcBorders>
          </w:tcPr>
          <w:p w14:paraId="7D4617D1" w14:textId="3E56F3E9" w:rsidR="006775E5" w:rsidRPr="0040745F" w:rsidRDefault="00221BB2"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 GESAMTABZÜGE VOM ERGÄNZUNGSKAPITAL</w:t>
            </w:r>
          </w:p>
        </w:tc>
        <w:tc>
          <w:tcPr>
            <w:tcW w:w="1129" w:type="dxa"/>
            <w:tcBorders>
              <w:top w:val="single" w:sz="4" w:space="0" w:color="014171"/>
              <w:bottom w:val="single" w:sz="4" w:space="0" w:color="014171"/>
            </w:tcBorders>
          </w:tcPr>
          <w:p w14:paraId="050C96BA" w14:textId="73D83913" w:rsidR="006775E5" w:rsidRPr="0040745F" w:rsidRDefault="006775E5" w:rsidP="00A02BEA">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4EFF2354"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3969D90B" w14:textId="77777777" w:rsidTr="00A02BEA">
        <w:trPr>
          <w:trHeight w:val="274"/>
        </w:trPr>
        <w:tc>
          <w:tcPr>
            <w:tcW w:w="567" w:type="dxa"/>
            <w:tcBorders>
              <w:top w:val="single" w:sz="4" w:space="0" w:color="014171"/>
              <w:bottom w:val="single" w:sz="4" w:space="0" w:color="014171"/>
            </w:tcBorders>
          </w:tcPr>
          <w:p w14:paraId="7DAF1F90" w14:textId="502AFB4E"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44</w:t>
            </w:r>
          </w:p>
        </w:tc>
        <w:tc>
          <w:tcPr>
            <w:tcW w:w="4253" w:type="dxa"/>
            <w:tcBorders>
              <w:top w:val="single" w:sz="4" w:space="0" w:color="014171"/>
              <w:bottom w:val="single" w:sz="4" w:space="0" w:color="014171"/>
            </w:tcBorders>
          </w:tcPr>
          <w:p w14:paraId="425AD6C4" w14:textId="28D80C76" w:rsidR="006775E5" w:rsidRPr="0040745F" w:rsidRDefault="00221BB2" w:rsidP="00A02BEA">
            <w:pPr>
              <w:autoSpaceDE w:val="0"/>
              <w:autoSpaceDN w:val="0"/>
              <w:adjustRightInd w:val="0"/>
              <w:spacing w:after="0"/>
              <w:ind w:left="113"/>
              <w:jc w:val="both"/>
              <w:rPr>
                <w:rFonts w:ascii="Segoe UI" w:hAnsi="Segoe UI" w:cs="Segoe UI"/>
                <w:color w:val="014171"/>
                <w:sz w:val="18"/>
                <w:szCs w:val="18"/>
                <w:lang w:val="de-DE"/>
              </w:rPr>
            </w:pPr>
            <w:r w:rsidRPr="0040745F">
              <w:rPr>
                <w:rFonts w:ascii="Segoe UI" w:hAnsi="Segoe UI" w:cs="Segoe UI"/>
                <w:color w:val="014171"/>
                <w:sz w:val="18"/>
                <w:szCs w:val="18"/>
                <w:lang w:val="de-DE"/>
              </w:rPr>
              <w:t>(-) Eigene Instrumente des Ergänzungskapitals</w:t>
            </w:r>
          </w:p>
        </w:tc>
        <w:tc>
          <w:tcPr>
            <w:tcW w:w="1129" w:type="dxa"/>
            <w:tcBorders>
              <w:top w:val="single" w:sz="4" w:space="0" w:color="014171"/>
              <w:bottom w:val="single" w:sz="4" w:space="0" w:color="014171"/>
            </w:tcBorders>
          </w:tcPr>
          <w:p w14:paraId="31EDF5FF" w14:textId="4912918D" w:rsidR="006775E5" w:rsidRPr="0040745F" w:rsidRDefault="006775E5" w:rsidP="00A02BEA">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1102F47B"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1D4C375C" w14:textId="77777777" w:rsidTr="00A02BEA">
        <w:trPr>
          <w:trHeight w:val="274"/>
        </w:trPr>
        <w:tc>
          <w:tcPr>
            <w:tcW w:w="567" w:type="dxa"/>
            <w:tcBorders>
              <w:top w:val="single" w:sz="4" w:space="0" w:color="014171"/>
              <w:bottom w:val="single" w:sz="4" w:space="0" w:color="014171"/>
            </w:tcBorders>
          </w:tcPr>
          <w:p w14:paraId="08A45268" w14:textId="0BCC6AE6"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45</w:t>
            </w:r>
          </w:p>
        </w:tc>
        <w:tc>
          <w:tcPr>
            <w:tcW w:w="4253" w:type="dxa"/>
            <w:tcBorders>
              <w:top w:val="single" w:sz="4" w:space="0" w:color="014171"/>
              <w:bottom w:val="single" w:sz="4" w:space="0" w:color="014171"/>
            </w:tcBorders>
          </w:tcPr>
          <w:p w14:paraId="22FA234B" w14:textId="0362C40B" w:rsidR="006775E5" w:rsidRPr="0040745F" w:rsidRDefault="00221BB2" w:rsidP="00A02BEA">
            <w:pPr>
              <w:autoSpaceDE w:val="0"/>
              <w:autoSpaceDN w:val="0"/>
              <w:adjustRightInd w:val="0"/>
              <w:spacing w:after="0"/>
              <w:ind w:left="227"/>
              <w:jc w:val="both"/>
              <w:rPr>
                <w:rFonts w:ascii="Segoe UI" w:hAnsi="Segoe UI" w:cs="Segoe UI"/>
                <w:color w:val="014171"/>
                <w:sz w:val="18"/>
                <w:szCs w:val="18"/>
                <w:lang w:val="de-DE"/>
              </w:rPr>
            </w:pPr>
            <w:r w:rsidRPr="0040745F">
              <w:rPr>
                <w:rFonts w:ascii="Segoe UI" w:hAnsi="Segoe UI" w:cs="Segoe UI"/>
                <w:color w:val="014171"/>
                <w:sz w:val="18"/>
                <w:szCs w:val="18"/>
                <w:lang w:val="de-DE"/>
              </w:rPr>
              <w:t>(-) Direkte Positionen in Instrumenten des Ergänzungskapitals</w:t>
            </w:r>
          </w:p>
        </w:tc>
        <w:tc>
          <w:tcPr>
            <w:tcW w:w="1129" w:type="dxa"/>
            <w:tcBorders>
              <w:top w:val="single" w:sz="4" w:space="0" w:color="014171"/>
              <w:bottom w:val="single" w:sz="4" w:space="0" w:color="014171"/>
            </w:tcBorders>
          </w:tcPr>
          <w:p w14:paraId="7128C0F8" w14:textId="6866AD9B" w:rsidR="006775E5" w:rsidRPr="0040745F" w:rsidRDefault="006775E5" w:rsidP="00A02BEA">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437FEA4C"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4F115B6A" w14:textId="77777777" w:rsidTr="00A02BEA">
        <w:trPr>
          <w:trHeight w:val="274"/>
        </w:trPr>
        <w:tc>
          <w:tcPr>
            <w:tcW w:w="567" w:type="dxa"/>
            <w:tcBorders>
              <w:top w:val="single" w:sz="4" w:space="0" w:color="014171"/>
              <w:bottom w:val="single" w:sz="4" w:space="0" w:color="014171"/>
            </w:tcBorders>
          </w:tcPr>
          <w:p w14:paraId="53C6B8F6" w14:textId="40FD4A70"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lastRenderedPageBreak/>
              <w:t>46</w:t>
            </w:r>
          </w:p>
        </w:tc>
        <w:tc>
          <w:tcPr>
            <w:tcW w:w="4253" w:type="dxa"/>
            <w:tcBorders>
              <w:top w:val="single" w:sz="4" w:space="0" w:color="014171"/>
              <w:bottom w:val="single" w:sz="4" w:space="0" w:color="014171"/>
            </w:tcBorders>
          </w:tcPr>
          <w:p w14:paraId="09B2997A" w14:textId="7F077DCF" w:rsidR="006775E5" w:rsidRPr="0040745F" w:rsidRDefault="00221BB2" w:rsidP="00A02BEA">
            <w:pPr>
              <w:autoSpaceDE w:val="0"/>
              <w:autoSpaceDN w:val="0"/>
              <w:adjustRightInd w:val="0"/>
              <w:spacing w:after="0"/>
              <w:ind w:left="227"/>
              <w:jc w:val="both"/>
              <w:rPr>
                <w:rFonts w:ascii="Segoe UI" w:hAnsi="Segoe UI" w:cs="Segoe UI"/>
                <w:color w:val="014171"/>
                <w:sz w:val="18"/>
                <w:szCs w:val="18"/>
                <w:lang w:val="de-DE"/>
              </w:rPr>
            </w:pPr>
            <w:r w:rsidRPr="0040745F">
              <w:rPr>
                <w:rFonts w:ascii="Segoe UI" w:hAnsi="Segoe UI" w:cs="Segoe UI"/>
                <w:color w:val="014171"/>
                <w:sz w:val="18"/>
                <w:szCs w:val="18"/>
                <w:lang w:val="de-DE"/>
              </w:rPr>
              <w:t>(-) Indirekte Positionen in Instrumenten des Ergänzungskapitals</w:t>
            </w:r>
          </w:p>
        </w:tc>
        <w:tc>
          <w:tcPr>
            <w:tcW w:w="1129" w:type="dxa"/>
            <w:tcBorders>
              <w:top w:val="single" w:sz="4" w:space="0" w:color="014171"/>
              <w:bottom w:val="single" w:sz="4" w:space="0" w:color="014171"/>
            </w:tcBorders>
          </w:tcPr>
          <w:p w14:paraId="23B68436" w14:textId="461EF5EA" w:rsidR="006775E5" w:rsidRPr="0040745F" w:rsidRDefault="006775E5" w:rsidP="00A02BEA">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2BFAC982"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43480E07" w14:textId="77777777" w:rsidTr="00A02BEA">
        <w:trPr>
          <w:trHeight w:val="274"/>
        </w:trPr>
        <w:tc>
          <w:tcPr>
            <w:tcW w:w="567" w:type="dxa"/>
            <w:tcBorders>
              <w:top w:val="single" w:sz="4" w:space="0" w:color="014171"/>
              <w:bottom w:val="single" w:sz="4" w:space="0" w:color="014171"/>
            </w:tcBorders>
          </w:tcPr>
          <w:p w14:paraId="6B6AC2E1" w14:textId="17F63AC5"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47</w:t>
            </w:r>
          </w:p>
        </w:tc>
        <w:tc>
          <w:tcPr>
            <w:tcW w:w="4253" w:type="dxa"/>
            <w:tcBorders>
              <w:top w:val="single" w:sz="4" w:space="0" w:color="014171"/>
              <w:bottom w:val="single" w:sz="4" w:space="0" w:color="014171"/>
            </w:tcBorders>
          </w:tcPr>
          <w:p w14:paraId="79C3134B" w14:textId="5D7267A8" w:rsidR="006775E5" w:rsidRPr="0040745F" w:rsidRDefault="00221BB2" w:rsidP="00A02BEA">
            <w:pPr>
              <w:autoSpaceDE w:val="0"/>
              <w:autoSpaceDN w:val="0"/>
              <w:adjustRightInd w:val="0"/>
              <w:spacing w:after="0"/>
              <w:ind w:left="227"/>
              <w:jc w:val="both"/>
              <w:rPr>
                <w:rFonts w:ascii="Segoe UI" w:hAnsi="Segoe UI" w:cs="Segoe UI"/>
                <w:color w:val="014171"/>
                <w:sz w:val="18"/>
                <w:szCs w:val="18"/>
                <w:lang w:val="de-DE"/>
              </w:rPr>
            </w:pPr>
            <w:r w:rsidRPr="0040745F">
              <w:rPr>
                <w:rFonts w:ascii="Segoe UI" w:hAnsi="Segoe UI" w:cs="Segoe UI"/>
                <w:color w:val="014171"/>
                <w:sz w:val="18"/>
                <w:szCs w:val="18"/>
                <w:lang w:val="de-DE"/>
              </w:rPr>
              <w:t>(-) Synthetische Positionen in Instrumenten des Ergänzungskapitals</w:t>
            </w:r>
          </w:p>
        </w:tc>
        <w:tc>
          <w:tcPr>
            <w:tcW w:w="1129" w:type="dxa"/>
            <w:tcBorders>
              <w:top w:val="single" w:sz="4" w:space="0" w:color="014171"/>
              <w:bottom w:val="single" w:sz="4" w:space="0" w:color="014171"/>
            </w:tcBorders>
          </w:tcPr>
          <w:p w14:paraId="4BC81144" w14:textId="2CCCED59" w:rsidR="006775E5" w:rsidRPr="0040745F" w:rsidRDefault="006775E5" w:rsidP="00A02BEA">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554B42A1"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400E535D" w14:textId="77777777" w:rsidTr="00A02BEA">
        <w:trPr>
          <w:trHeight w:val="274"/>
        </w:trPr>
        <w:tc>
          <w:tcPr>
            <w:tcW w:w="567" w:type="dxa"/>
            <w:tcBorders>
              <w:top w:val="single" w:sz="4" w:space="0" w:color="014171"/>
              <w:bottom w:val="single" w:sz="4" w:space="0" w:color="014171"/>
            </w:tcBorders>
          </w:tcPr>
          <w:p w14:paraId="4A8B15A9" w14:textId="1D45B391"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48</w:t>
            </w:r>
          </w:p>
        </w:tc>
        <w:tc>
          <w:tcPr>
            <w:tcW w:w="4253" w:type="dxa"/>
            <w:tcBorders>
              <w:top w:val="single" w:sz="4" w:space="0" w:color="014171"/>
              <w:bottom w:val="single" w:sz="4" w:space="0" w:color="014171"/>
            </w:tcBorders>
          </w:tcPr>
          <w:p w14:paraId="54CAC88A" w14:textId="2A9D1341" w:rsidR="006775E5" w:rsidRPr="0040745F" w:rsidRDefault="005C2768" w:rsidP="00A02BEA">
            <w:pPr>
              <w:autoSpaceDE w:val="0"/>
              <w:autoSpaceDN w:val="0"/>
              <w:adjustRightInd w:val="0"/>
              <w:spacing w:after="0"/>
              <w:ind w:left="113"/>
              <w:jc w:val="both"/>
              <w:rPr>
                <w:rFonts w:ascii="Segoe UI" w:hAnsi="Segoe UI" w:cs="Segoe UI"/>
                <w:color w:val="014171"/>
                <w:sz w:val="18"/>
                <w:szCs w:val="18"/>
                <w:lang w:val="de-DE"/>
              </w:rPr>
            </w:pPr>
            <w:r>
              <w:rPr>
                <w:rFonts w:ascii="Segoe UI" w:hAnsi="Segoe UI" w:cs="Segoe UI"/>
                <w:color w:val="014171"/>
                <w:sz w:val="18"/>
                <w:szCs w:val="18"/>
                <w:lang w:val="de-DE"/>
              </w:rPr>
              <w:t>(-) Instrumente des Ergän</w:t>
            </w:r>
            <w:r w:rsidR="00221BB2" w:rsidRPr="0040745F">
              <w:rPr>
                <w:rFonts w:ascii="Segoe UI" w:hAnsi="Segoe UI" w:cs="Segoe UI"/>
                <w:color w:val="014171"/>
                <w:sz w:val="18"/>
                <w:szCs w:val="18"/>
                <w:lang w:val="de-DE"/>
              </w:rPr>
              <w:t>zungskapitals von Unternehmen der Finanzbranche, an denen das Institut keine wesentliche Beteiligung hält</w:t>
            </w:r>
          </w:p>
        </w:tc>
        <w:tc>
          <w:tcPr>
            <w:tcW w:w="1129" w:type="dxa"/>
            <w:tcBorders>
              <w:top w:val="single" w:sz="4" w:space="0" w:color="014171"/>
              <w:bottom w:val="single" w:sz="4" w:space="0" w:color="014171"/>
            </w:tcBorders>
          </w:tcPr>
          <w:p w14:paraId="027C2F4D" w14:textId="4CBA32EB" w:rsidR="006775E5" w:rsidRPr="0040745F" w:rsidRDefault="006775E5" w:rsidP="00A02BEA">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712F564A"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38A1537A" w14:textId="77777777" w:rsidTr="00A02BEA">
        <w:trPr>
          <w:trHeight w:val="274"/>
        </w:trPr>
        <w:tc>
          <w:tcPr>
            <w:tcW w:w="567" w:type="dxa"/>
            <w:tcBorders>
              <w:top w:val="single" w:sz="4" w:space="0" w:color="014171"/>
              <w:bottom w:val="single" w:sz="4" w:space="0" w:color="014171"/>
            </w:tcBorders>
          </w:tcPr>
          <w:p w14:paraId="70332BCE" w14:textId="1324CFAF"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49</w:t>
            </w:r>
          </w:p>
        </w:tc>
        <w:tc>
          <w:tcPr>
            <w:tcW w:w="4253" w:type="dxa"/>
            <w:tcBorders>
              <w:top w:val="single" w:sz="4" w:space="0" w:color="014171"/>
              <w:bottom w:val="single" w:sz="4" w:space="0" w:color="014171"/>
            </w:tcBorders>
          </w:tcPr>
          <w:p w14:paraId="7624775E" w14:textId="4C4C7AC8" w:rsidR="006775E5" w:rsidRPr="0040745F" w:rsidRDefault="00221BB2" w:rsidP="00A02BEA">
            <w:pPr>
              <w:autoSpaceDE w:val="0"/>
              <w:autoSpaceDN w:val="0"/>
              <w:adjustRightInd w:val="0"/>
              <w:spacing w:after="0"/>
              <w:ind w:left="113"/>
              <w:jc w:val="both"/>
              <w:rPr>
                <w:rFonts w:ascii="Segoe UI" w:hAnsi="Segoe UI" w:cs="Segoe UI"/>
                <w:color w:val="014171"/>
                <w:sz w:val="18"/>
                <w:szCs w:val="18"/>
                <w:lang w:val="de-DE"/>
              </w:rPr>
            </w:pPr>
            <w:r w:rsidRPr="0040745F">
              <w:rPr>
                <w:rFonts w:ascii="Segoe UI" w:hAnsi="Segoe UI" w:cs="Segoe UI"/>
                <w:color w:val="014171"/>
                <w:sz w:val="18"/>
                <w:szCs w:val="18"/>
                <w:lang w:val="de-DE"/>
              </w:rPr>
              <w:t>(-) Instrumente des Ergänzungskapitals von Unternehmen der Finanzbranche, an denen das Institut eine wesentliche Beteiligung hält</w:t>
            </w:r>
          </w:p>
        </w:tc>
        <w:tc>
          <w:tcPr>
            <w:tcW w:w="1129" w:type="dxa"/>
            <w:tcBorders>
              <w:top w:val="single" w:sz="4" w:space="0" w:color="014171"/>
              <w:bottom w:val="single" w:sz="4" w:space="0" w:color="014171"/>
            </w:tcBorders>
          </w:tcPr>
          <w:p w14:paraId="700442F6" w14:textId="1E403512" w:rsidR="006775E5" w:rsidRPr="0040745F" w:rsidRDefault="006775E5" w:rsidP="00A02BEA">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4" w:space="0" w:color="014171"/>
            </w:tcBorders>
          </w:tcPr>
          <w:p w14:paraId="6E89D445"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r w:rsidR="006775E5" w:rsidRPr="0040745F" w14:paraId="6EEF6E09" w14:textId="77777777" w:rsidTr="00A02BEA">
        <w:trPr>
          <w:trHeight w:val="274"/>
        </w:trPr>
        <w:tc>
          <w:tcPr>
            <w:tcW w:w="567" w:type="dxa"/>
            <w:tcBorders>
              <w:top w:val="single" w:sz="4" w:space="0" w:color="014171"/>
              <w:bottom w:val="single" w:sz="12" w:space="0" w:color="014171"/>
            </w:tcBorders>
          </w:tcPr>
          <w:p w14:paraId="6E60B5AB" w14:textId="6792C7F1"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50</w:t>
            </w:r>
          </w:p>
        </w:tc>
        <w:tc>
          <w:tcPr>
            <w:tcW w:w="4253" w:type="dxa"/>
            <w:tcBorders>
              <w:top w:val="single" w:sz="4" w:space="0" w:color="014171"/>
              <w:bottom w:val="single" w:sz="12" w:space="0" w:color="014171"/>
            </w:tcBorders>
          </w:tcPr>
          <w:p w14:paraId="0F2656E9" w14:textId="2D0F2027" w:rsidR="006775E5" w:rsidRPr="0040745F" w:rsidRDefault="00221BB2" w:rsidP="006775E5">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Ergänzungskapital: Sonstige Bestandteile des Kapitals, Abzüge und Anpassungen</w:t>
            </w:r>
          </w:p>
        </w:tc>
        <w:tc>
          <w:tcPr>
            <w:tcW w:w="1129" w:type="dxa"/>
            <w:tcBorders>
              <w:top w:val="single" w:sz="4" w:space="0" w:color="014171"/>
              <w:bottom w:val="single" w:sz="12" w:space="0" w:color="014171"/>
            </w:tcBorders>
          </w:tcPr>
          <w:p w14:paraId="4CE0F0CD" w14:textId="2040A2E5" w:rsidR="006775E5" w:rsidRPr="0040745F" w:rsidRDefault="006775E5" w:rsidP="00A02BEA">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w:t>
            </w:r>
          </w:p>
        </w:tc>
        <w:tc>
          <w:tcPr>
            <w:tcW w:w="3318" w:type="dxa"/>
            <w:tcBorders>
              <w:top w:val="single" w:sz="4" w:space="0" w:color="014171"/>
              <w:bottom w:val="single" w:sz="12" w:space="0" w:color="014171"/>
            </w:tcBorders>
          </w:tcPr>
          <w:p w14:paraId="6C82BF3D" w14:textId="77777777" w:rsidR="006775E5" w:rsidRPr="0040745F" w:rsidRDefault="006775E5" w:rsidP="006775E5">
            <w:pPr>
              <w:autoSpaceDE w:val="0"/>
              <w:autoSpaceDN w:val="0"/>
              <w:adjustRightInd w:val="0"/>
              <w:spacing w:after="0"/>
              <w:jc w:val="both"/>
              <w:rPr>
                <w:rFonts w:ascii="Segoe UI" w:hAnsi="Segoe UI" w:cs="Segoe UI"/>
                <w:color w:val="014171"/>
                <w:sz w:val="18"/>
                <w:szCs w:val="18"/>
                <w:lang w:val="de-DE" w:eastAsia="en-GB"/>
              </w:rPr>
            </w:pPr>
          </w:p>
        </w:tc>
      </w:tr>
    </w:tbl>
    <w:p w14:paraId="49BB91BD" w14:textId="163634EE" w:rsidR="006A0637" w:rsidRPr="0040745F" w:rsidRDefault="006A0637" w:rsidP="00FA2278">
      <w:pPr>
        <w:spacing w:after="0" w:line="240" w:lineRule="auto"/>
        <w:jc w:val="both"/>
        <w:rPr>
          <w:rFonts w:ascii="Times New Roman" w:hAnsi="Times New Roman"/>
          <w:color w:val="0F243E" w:themeColor="text2" w:themeShade="80"/>
          <w:sz w:val="24"/>
          <w:szCs w:val="24"/>
          <w:lang w:val="de-DE"/>
        </w:rPr>
      </w:pPr>
    </w:p>
    <w:p w14:paraId="38994E3A" w14:textId="1B68E82A" w:rsidR="007C1172" w:rsidRPr="0040745F" w:rsidRDefault="007C1172" w:rsidP="00FA2278">
      <w:pPr>
        <w:spacing w:after="0" w:line="240" w:lineRule="auto"/>
        <w:jc w:val="both"/>
        <w:rPr>
          <w:rFonts w:ascii="Times New Roman" w:hAnsi="Times New Roman"/>
          <w:color w:val="0F243E" w:themeColor="text2" w:themeShade="80"/>
          <w:sz w:val="24"/>
          <w:szCs w:val="24"/>
          <w:lang w:val="de-DE"/>
        </w:rPr>
      </w:pPr>
    </w:p>
    <w:p w14:paraId="69868E08" w14:textId="0F388F98" w:rsidR="003B05F3" w:rsidRPr="0040745F" w:rsidRDefault="00C26D26" w:rsidP="00A02BEA">
      <w:pPr>
        <w:pStyle w:val="Heading2"/>
        <w:rPr>
          <w:lang w:val="de-DE"/>
        </w:rPr>
      </w:pPr>
      <w:bookmarkStart w:id="57" w:name="_Toc123138021"/>
      <w:r w:rsidRPr="0040745F">
        <w:rPr>
          <w:lang w:val="de-DE"/>
        </w:rPr>
        <w:t>Abstimmung der Eigenmittel mit der</w:t>
      </w:r>
      <w:r w:rsidR="00642C09">
        <w:rPr>
          <w:lang w:val="de-DE"/>
        </w:rPr>
        <w:t xml:space="preserve"> testierten</w:t>
      </w:r>
      <w:r w:rsidRPr="0040745F">
        <w:rPr>
          <w:lang w:val="de-DE"/>
        </w:rPr>
        <w:t xml:space="preserve"> Bilanz</w:t>
      </w:r>
      <w:bookmarkEnd w:id="57"/>
    </w:p>
    <w:p w14:paraId="104E3E7A" w14:textId="5A63EDD4" w:rsidR="003B05F3" w:rsidRPr="0040745F" w:rsidRDefault="00145A26" w:rsidP="00A02BEA">
      <w:pPr>
        <w:spacing w:after="0"/>
        <w:jc w:val="both"/>
        <w:rPr>
          <w:rFonts w:ascii="Segoe UI" w:hAnsi="Segoe UI" w:cs="Segoe UI"/>
          <w:color w:val="014171"/>
          <w:lang w:val="de-DE"/>
        </w:rPr>
      </w:pPr>
      <w:r w:rsidRPr="0040745F">
        <w:rPr>
          <w:rFonts w:ascii="Segoe UI" w:hAnsi="Segoe UI" w:cs="Segoe UI"/>
          <w:color w:val="014171"/>
          <w:lang w:val="de-DE"/>
        </w:rPr>
        <w:t>Die unten aufgeführte Tabelle zeigt die Abstimmung der regulatorischen Eigenmittel mit der geprüften Jahresabschlussbilanz.</w:t>
      </w:r>
    </w:p>
    <w:p w14:paraId="3F379585" w14:textId="77777777" w:rsidR="003B05F3" w:rsidRPr="0040745F" w:rsidRDefault="003B05F3" w:rsidP="00A02BEA">
      <w:pPr>
        <w:spacing w:after="0"/>
        <w:jc w:val="both"/>
        <w:rPr>
          <w:rFonts w:ascii="Segoe UI" w:hAnsi="Segoe UI" w:cs="Segoe UI"/>
          <w:color w:val="014171"/>
          <w:lang w:val="de-DE"/>
        </w:rPr>
      </w:pPr>
    </w:p>
    <w:p w14:paraId="6BF0F6D9" w14:textId="38C8864C" w:rsidR="007C1172" w:rsidRPr="0040745F" w:rsidRDefault="007C1172" w:rsidP="007C1172">
      <w:pPr>
        <w:spacing w:after="0"/>
        <w:jc w:val="center"/>
        <w:rPr>
          <w:rFonts w:ascii="Segoe UI" w:hAnsi="Segoe UI" w:cs="Segoe UI"/>
          <w:color w:val="014171"/>
          <w:lang w:val="de-DE"/>
        </w:rPr>
      </w:pPr>
      <w:r w:rsidRPr="0040745F">
        <w:rPr>
          <w:rFonts w:ascii="Segoe UI" w:hAnsi="Segoe UI" w:cs="Segoe UI"/>
          <w:b/>
          <w:color w:val="014171"/>
          <w:lang w:val="de-DE"/>
        </w:rPr>
        <w:t>Tab</w:t>
      </w:r>
      <w:r w:rsidR="00C26D26" w:rsidRPr="0040745F">
        <w:rPr>
          <w:rFonts w:ascii="Segoe UI" w:hAnsi="Segoe UI" w:cs="Segoe UI"/>
          <w:b/>
          <w:color w:val="014171"/>
          <w:lang w:val="de-DE"/>
        </w:rPr>
        <w:t>elle</w:t>
      </w:r>
      <w:r w:rsidRPr="0040745F">
        <w:rPr>
          <w:rFonts w:ascii="Segoe UI" w:hAnsi="Segoe UI" w:cs="Segoe UI"/>
          <w:b/>
          <w:color w:val="014171"/>
          <w:lang w:val="de-DE"/>
        </w:rPr>
        <w:t xml:space="preserve"> 2 - </w:t>
      </w:r>
      <w:r w:rsidR="00C26D26" w:rsidRPr="0040745F">
        <w:rPr>
          <w:rFonts w:ascii="Segoe UI" w:hAnsi="Segoe UI" w:cs="Segoe UI"/>
          <w:b/>
          <w:color w:val="014171"/>
          <w:lang w:val="de-DE"/>
        </w:rPr>
        <w:t>Abstimmung der Eigenm</w:t>
      </w:r>
      <w:r w:rsidR="007E4D50" w:rsidRPr="0040745F">
        <w:rPr>
          <w:rFonts w:ascii="Segoe UI" w:hAnsi="Segoe UI" w:cs="Segoe UI"/>
          <w:b/>
          <w:color w:val="014171"/>
          <w:lang w:val="de-DE"/>
        </w:rPr>
        <w:t>ittel mit der</w:t>
      </w:r>
      <w:r w:rsidR="00642C09">
        <w:rPr>
          <w:rFonts w:ascii="Segoe UI" w:hAnsi="Segoe UI" w:cs="Segoe UI"/>
          <w:b/>
          <w:color w:val="014171"/>
          <w:lang w:val="de-DE"/>
        </w:rPr>
        <w:t xml:space="preserve"> testierten</w:t>
      </w:r>
      <w:r w:rsidR="007E4D50" w:rsidRPr="0040745F">
        <w:rPr>
          <w:rFonts w:ascii="Segoe UI" w:hAnsi="Segoe UI" w:cs="Segoe UI"/>
          <w:b/>
          <w:color w:val="014171"/>
          <w:lang w:val="de-DE"/>
        </w:rPr>
        <w:t xml:space="preserve"> Bilanz</w:t>
      </w:r>
      <w:r w:rsidRPr="0040745F">
        <w:rPr>
          <w:rFonts w:ascii="Segoe UI" w:hAnsi="Segoe UI" w:cs="Segoe UI"/>
          <w:b/>
          <w:color w:val="014171"/>
          <w:lang w:val="de-DE"/>
        </w:rPr>
        <w:t xml:space="preserve"> (EU IF CC2)</w:t>
      </w:r>
    </w:p>
    <w:p w14:paraId="163ACDE8" w14:textId="4BB6DDF9" w:rsidR="007C1172" w:rsidRPr="0040745F" w:rsidRDefault="00C26D26" w:rsidP="007C1172">
      <w:pPr>
        <w:spacing w:after="0"/>
        <w:jc w:val="center"/>
        <w:rPr>
          <w:rFonts w:ascii="Segoe UI" w:hAnsi="Segoe UI" w:cs="Segoe UI"/>
          <w:color w:val="014171"/>
          <w:lang w:val="de-DE"/>
        </w:rPr>
      </w:pPr>
      <w:r w:rsidRPr="0040745F">
        <w:rPr>
          <w:rFonts w:ascii="Segoe UI" w:hAnsi="Segoe UI" w:cs="Segoe UI"/>
          <w:color w:val="014171"/>
          <w:lang w:val="de-DE"/>
        </w:rPr>
        <w:t>Geprüfter und genehmigter Jahresabschluss zum 31. März 2022</w:t>
      </w:r>
    </w:p>
    <w:p w14:paraId="72675779" w14:textId="77777777" w:rsidR="007C1172" w:rsidRPr="0040745F" w:rsidRDefault="007C1172" w:rsidP="007C1172">
      <w:pPr>
        <w:spacing w:after="0"/>
        <w:jc w:val="center"/>
        <w:rPr>
          <w:rFonts w:ascii="Segoe UI" w:hAnsi="Segoe UI" w:cs="Segoe UI"/>
          <w:color w:val="014171"/>
          <w:lang w:val="de-DE"/>
        </w:rPr>
      </w:pPr>
    </w:p>
    <w:tbl>
      <w:tblPr>
        <w:tblW w:w="9267" w:type="dxa"/>
        <w:tblLayout w:type="fixed"/>
        <w:tblLook w:val="0000" w:firstRow="0" w:lastRow="0" w:firstColumn="0" w:lastColumn="0" w:noHBand="0" w:noVBand="0"/>
      </w:tblPr>
      <w:tblGrid>
        <w:gridCol w:w="567"/>
        <w:gridCol w:w="4111"/>
        <w:gridCol w:w="1701"/>
        <w:gridCol w:w="2888"/>
      </w:tblGrid>
      <w:tr w:rsidR="004938F1" w:rsidRPr="002800FC" w14:paraId="455FEAEE" w14:textId="77777777" w:rsidTr="00A02BEA">
        <w:trPr>
          <w:trHeight w:val="148"/>
        </w:trPr>
        <w:tc>
          <w:tcPr>
            <w:tcW w:w="567" w:type="dxa"/>
            <w:tcBorders>
              <w:top w:val="single" w:sz="4" w:space="0" w:color="014171"/>
              <w:bottom w:val="single" w:sz="4" w:space="0" w:color="014171"/>
            </w:tcBorders>
            <w:shd w:val="clear" w:color="auto" w:fill="002060"/>
          </w:tcPr>
          <w:p w14:paraId="5F10CA65" w14:textId="77777777" w:rsidR="007C1172" w:rsidRPr="0040745F" w:rsidRDefault="007C1172" w:rsidP="002F3D1B">
            <w:pPr>
              <w:autoSpaceDE w:val="0"/>
              <w:autoSpaceDN w:val="0"/>
              <w:adjustRightInd w:val="0"/>
              <w:spacing w:after="0"/>
              <w:jc w:val="both"/>
              <w:rPr>
                <w:rFonts w:ascii="Segoe UI" w:hAnsi="Segoe UI" w:cs="Segoe UI"/>
                <w:b/>
                <w:bCs/>
                <w:color w:val="FFFFFF" w:themeColor="background1"/>
                <w:sz w:val="18"/>
                <w:szCs w:val="18"/>
                <w:lang w:val="de-DE" w:eastAsia="en-GB"/>
              </w:rPr>
            </w:pPr>
          </w:p>
        </w:tc>
        <w:tc>
          <w:tcPr>
            <w:tcW w:w="4111" w:type="dxa"/>
            <w:tcBorders>
              <w:top w:val="single" w:sz="4" w:space="0" w:color="014171"/>
              <w:bottom w:val="single" w:sz="4" w:space="0" w:color="014171"/>
            </w:tcBorders>
            <w:shd w:val="clear" w:color="auto" w:fill="002060"/>
            <w:vAlign w:val="center"/>
          </w:tcPr>
          <w:p w14:paraId="22315B16" w14:textId="416E867A" w:rsidR="007C1172" w:rsidRPr="0040745F" w:rsidRDefault="00C26D26" w:rsidP="002F3D1B">
            <w:pPr>
              <w:autoSpaceDE w:val="0"/>
              <w:autoSpaceDN w:val="0"/>
              <w:adjustRightInd w:val="0"/>
              <w:spacing w:after="0"/>
              <w:jc w:val="both"/>
              <w:rPr>
                <w:rFonts w:ascii="Segoe UI" w:hAnsi="Segoe UI" w:cs="Segoe UI"/>
                <w:b/>
                <w:bCs/>
                <w:color w:val="FFFFFF" w:themeColor="background1"/>
                <w:sz w:val="18"/>
                <w:szCs w:val="18"/>
                <w:lang w:val="de-DE" w:eastAsia="en-GB"/>
              </w:rPr>
            </w:pPr>
            <w:r w:rsidRPr="0040745F">
              <w:rPr>
                <w:rFonts w:ascii="Segoe UI" w:hAnsi="Segoe UI" w:cs="Segoe UI"/>
                <w:b/>
                <w:bCs/>
                <w:color w:val="FFFFFF" w:themeColor="background1"/>
                <w:sz w:val="18"/>
                <w:szCs w:val="18"/>
                <w:lang w:val="de-DE" w:eastAsia="en-GB"/>
              </w:rPr>
              <w:t>Posten</w:t>
            </w:r>
          </w:p>
        </w:tc>
        <w:tc>
          <w:tcPr>
            <w:tcW w:w="1701" w:type="dxa"/>
            <w:tcBorders>
              <w:top w:val="single" w:sz="4" w:space="0" w:color="014171"/>
              <w:bottom w:val="single" w:sz="4" w:space="0" w:color="014171"/>
            </w:tcBorders>
            <w:shd w:val="clear" w:color="auto" w:fill="002060"/>
            <w:vAlign w:val="center"/>
          </w:tcPr>
          <w:p w14:paraId="5A801F07" w14:textId="08CA138F" w:rsidR="007C1172" w:rsidRPr="0040745F" w:rsidRDefault="00C26D26">
            <w:pPr>
              <w:autoSpaceDE w:val="0"/>
              <w:autoSpaceDN w:val="0"/>
              <w:adjustRightInd w:val="0"/>
              <w:spacing w:after="0"/>
              <w:jc w:val="both"/>
              <w:rPr>
                <w:rFonts w:ascii="Segoe UI" w:hAnsi="Segoe UI" w:cs="Segoe UI"/>
                <w:b/>
                <w:bCs/>
                <w:color w:val="FFFFFF" w:themeColor="background1"/>
                <w:sz w:val="18"/>
                <w:szCs w:val="18"/>
                <w:lang w:val="de-DE" w:eastAsia="en-GB"/>
              </w:rPr>
            </w:pPr>
            <w:r w:rsidRPr="0040745F">
              <w:rPr>
                <w:rFonts w:ascii="Segoe UI" w:hAnsi="Segoe UI" w:cs="Segoe UI"/>
                <w:b/>
                <w:bCs/>
                <w:color w:val="FFFFFF" w:themeColor="background1"/>
                <w:sz w:val="18"/>
                <w:szCs w:val="18"/>
                <w:lang w:val="de-DE" w:eastAsia="en-GB"/>
              </w:rPr>
              <w:t xml:space="preserve">Betrag </w:t>
            </w:r>
            <w:r w:rsidR="007C1172" w:rsidRPr="0040745F">
              <w:rPr>
                <w:rFonts w:ascii="Segoe UI" w:hAnsi="Segoe UI" w:cs="Segoe UI"/>
                <w:b/>
                <w:bCs/>
                <w:color w:val="FFFFFF" w:themeColor="background1"/>
                <w:sz w:val="18"/>
                <w:szCs w:val="18"/>
                <w:lang w:val="de-DE" w:eastAsia="en-GB"/>
              </w:rPr>
              <w:t xml:space="preserve">in </w:t>
            </w:r>
            <w:r w:rsidRPr="0040745F">
              <w:rPr>
                <w:rFonts w:ascii="Segoe UI" w:hAnsi="Segoe UI" w:cs="Segoe UI"/>
                <w:b/>
                <w:bCs/>
                <w:color w:val="FFFFFF" w:themeColor="background1"/>
                <w:sz w:val="18"/>
                <w:szCs w:val="18"/>
                <w:lang w:val="de-DE" w:eastAsia="en-GB"/>
              </w:rPr>
              <w:t xml:space="preserve">Tsd </w:t>
            </w:r>
            <w:r w:rsidR="007C1172" w:rsidRPr="0040745F">
              <w:rPr>
                <w:rFonts w:ascii="Segoe UI" w:hAnsi="Segoe UI" w:cs="Segoe UI"/>
                <w:b/>
                <w:bCs/>
                <w:color w:val="FFFFFF" w:themeColor="background1"/>
                <w:sz w:val="18"/>
                <w:szCs w:val="18"/>
                <w:lang w:val="de-DE" w:eastAsia="en-GB"/>
              </w:rPr>
              <w:t>EUR</w:t>
            </w:r>
          </w:p>
        </w:tc>
        <w:tc>
          <w:tcPr>
            <w:tcW w:w="2888" w:type="dxa"/>
            <w:tcBorders>
              <w:top w:val="single" w:sz="4" w:space="0" w:color="014171"/>
              <w:bottom w:val="single" w:sz="4" w:space="0" w:color="014171"/>
            </w:tcBorders>
            <w:shd w:val="clear" w:color="auto" w:fill="002060"/>
            <w:vAlign w:val="center"/>
          </w:tcPr>
          <w:p w14:paraId="003326B0" w14:textId="4B5D0FFE" w:rsidR="007C1172" w:rsidRPr="0040745F" w:rsidRDefault="00C26D26" w:rsidP="002F3D1B">
            <w:pPr>
              <w:autoSpaceDE w:val="0"/>
              <w:autoSpaceDN w:val="0"/>
              <w:adjustRightInd w:val="0"/>
              <w:spacing w:after="0"/>
              <w:jc w:val="both"/>
              <w:rPr>
                <w:rFonts w:ascii="Segoe UI" w:hAnsi="Segoe UI" w:cs="Segoe UI"/>
                <w:b/>
                <w:bCs/>
                <w:color w:val="FFFFFF" w:themeColor="background1"/>
                <w:sz w:val="18"/>
                <w:szCs w:val="18"/>
                <w:lang w:val="de-DE" w:eastAsia="en-GB"/>
              </w:rPr>
            </w:pPr>
            <w:r w:rsidRPr="0040745F">
              <w:rPr>
                <w:rFonts w:ascii="Segoe UI" w:hAnsi="Segoe UI" w:cs="Segoe UI"/>
                <w:b/>
                <w:bCs/>
                <w:color w:val="FFFFFF" w:themeColor="background1"/>
                <w:sz w:val="18"/>
                <w:szCs w:val="18"/>
                <w:lang w:val="de-DE" w:eastAsia="en-GB"/>
              </w:rPr>
              <w:t>Querverweis zu</w:t>
            </w:r>
            <w:r w:rsidR="00746F0A" w:rsidRPr="0040745F">
              <w:rPr>
                <w:rFonts w:ascii="Segoe UI" w:hAnsi="Segoe UI" w:cs="Segoe UI"/>
                <w:b/>
                <w:bCs/>
                <w:color w:val="FFFFFF" w:themeColor="background1"/>
                <w:sz w:val="18"/>
                <w:szCs w:val="18"/>
                <w:lang w:val="de-DE" w:eastAsia="en-GB"/>
              </w:rPr>
              <w:t xml:space="preserve"> EU IF CC1.01</w:t>
            </w:r>
          </w:p>
        </w:tc>
      </w:tr>
      <w:tr w:rsidR="004938F1" w:rsidRPr="002800FC" w14:paraId="04ACD431" w14:textId="77777777" w:rsidTr="002F3D1B">
        <w:trPr>
          <w:trHeight w:val="148"/>
        </w:trPr>
        <w:tc>
          <w:tcPr>
            <w:tcW w:w="9267" w:type="dxa"/>
            <w:gridSpan w:val="4"/>
            <w:tcBorders>
              <w:top w:val="single" w:sz="4" w:space="0" w:color="014171"/>
              <w:bottom w:val="single" w:sz="12" w:space="0" w:color="014171"/>
            </w:tcBorders>
          </w:tcPr>
          <w:p w14:paraId="28273F1C" w14:textId="6C1B3377" w:rsidR="004938F1" w:rsidRPr="0040745F" w:rsidRDefault="00853E00" w:rsidP="00853E00">
            <w:pPr>
              <w:autoSpaceDE w:val="0"/>
              <w:autoSpaceDN w:val="0"/>
              <w:adjustRightInd w:val="0"/>
              <w:spacing w:after="0"/>
              <w:jc w:val="both"/>
              <w:rPr>
                <w:rFonts w:ascii="Segoe UI" w:hAnsi="Segoe UI" w:cs="Segoe UI"/>
                <w:b/>
                <w:bCs/>
                <w:color w:val="014171"/>
                <w:sz w:val="18"/>
                <w:szCs w:val="18"/>
                <w:lang w:val="de-DE" w:eastAsia="en-GB"/>
              </w:rPr>
            </w:pPr>
            <w:r w:rsidRPr="0040745F">
              <w:rPr>
                <w:rFonts w:ascii="Segoe UI" w:hAnsi="Segoe UI" w:cs="Segoe UI"/>
                <w:b/>
                <w:color w:val="014171"/>
                <w:sz w:val="18"/>
                <w:szCs w:val="18"/>
                <w:lang w:val="de-DE"/>
              </w:rPr>
              <w:t>AKTIVA</w:t>
            </w:r>
            <w:r w:rsidRPr="0040745F">
              <w:rPr>
                <w:rFonts w:ascii="Segoe UI" w:hAnsi="Segoe UI" w:cs="Segoe UI"/>
                <w:b/>
                <w:i/>
                <w:color w:val="014171"/>
                <w:sz w:val="18"/>
                <w:szCs w:val="18"/>
                <w:lang w:val="de-DE"/>
              </w:rPr>
              <w:t xml:space="preserve"> </w:t>
            </w:r>
            <w:r w:rsidRPr="0040745F">
              <w:rPr>
                <w:rFonts w:ascii="Segoe UI" w:hAnsi="Segoe UI" w:cs="Segoe UI"/>
                <w:i/>
                <w:color w:val="014171"/>
                <w:sz w:val="18"/>
                <w:szCs w:val="18"/>
                <w:lang w:val="de-DE"/>
              </w:rPr>
              <w:t xml:space="preserve"> </w:t>
            </w:r>
            <w:r w:rsidR="004938F1" w:rsidRPr="0040745F">
              <w:rPr>
                <w:rFonts w:ascii="Segoe UI" w:hAnsi="Segoe UI" w:cs="Segoe UI"/>
                <w:i/>
                <w:color w:val="014171"/>
                <w:sz w:val="18"/>
                <w:szCs w:val="18"/>
                <w:lang w:val="de-DE"/>
              </w:rPr>
              <w:t xml:space="preserve">- </w:t>
            </w:r>
            <w:r w:rsidRPr="0040745F">
              <w:rPr>
                <w:rFonts w:ascii="Segoe UI" w:hAnsi="Segoe UI" w:cs="Segoe UI"/>
                <w:i/>
                <w:color w:val="014171"/>
                <w:sz w:val="18"/>
                <w:szCs w:val="18"/>
                <w:lang w:val="de-DE"/>
              </w:rPr>
              <w:t>Aufschlüsselung nach Aktiva-Klassen gemäß der im veröffentlichten/geprüften Jahresabschluss enthaltenen Bilanz</w:t>
            </w:r>
          </w:p>
        </w:tc>
      </w:tr>
      <w:tr w:rsidR="004938F1" w:rsidRPr="0040745F" w14:paraId="27CA54B2" w14:textId="77777777" w:rsidTr="00A02BEA">
        <w:trPr>
          <w:trHeight w:val="142"/>
        </w:trPr>
        <w:tc>
          <w:tcPr>
            <w:tcW w:w="567" w:type="dxa"/>
            <w:tcBorders>
              <w:top w:val="single" w:sz="12" w:space="0" w:color="014171"/>
              <w:bottom w:val="single" w:sz="4" w:space="0" w:color="014171"/>
            </w:tcBorders>
          </w:tcPr>
          <w:p w14:paraId="5D586757" w14:textId="58A9F9D5" w:rsidR="004938F1" w:rsidRPr="0040745F" w:rsidRDefault="004938F1" w:rsidP="004938F1">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1</w:t>
            </w:r>
          </w:p>
        </w:tc>
        <w:tc>
          <w:tcPr>
            <w:tcW w:w="4111" w:type="dxa"/>
            <w:tcBorders>
              <w:top w:val="single" w:sz="12" w:space="0" w:color="014171"/>
              <w:bottom w:val="single" w:sz="4" w:space="0" w:color="014171"/>
            </w:tcBorders>
          </w:tcPr>
          <w:p w14:paraId="23816081" w14:textId="6A923A7D" w:rsidR="004938F1" w:rsidRPr="0040745F" w:rsidRDefault="00853E00" w:rsidP="0074724B">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Forderungen an Kreditinstitute</w:t>
            </w:r>
          </w:p>
        </w:tc>
        <w:tc>
          <w:tcPr>
            <w:tcW w:w="1701" w:type="dxa"/>
            <w:tcBorders>
              <w:top w:val="single" w:sz="12" w:space="0" w:color="014171"/>
              <w:bottom w:val="single" w:sz="4" w:space="0" w:color="014171"/>
            </w:tcBorders>
          </w:tcPr>
          <w:p w14:paraId="355FFDEB" w14:textId="103A724D" w:rsidR="004938F1" w:rsidRPr="0040745F" w:rsidRDefault="004938F1" w:rsidP="004938F1">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305</w:t>
            </w:r>
            <w:r w:rsidR="00275EAC"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524</w:t>
            </w:r>
            <w:r w:rsidR="00275EAC"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 xml:space="preserve">20 </w:t>
            </w:r>
          </w:p>
        </w:tc>
        <w:tc>
          <w:tcPr>
            <w:tcW w:w="2888" w:type="dxa"/>
            <w:tcBorders>
              <w:top w:val="single" w:sz="12" w:space="0" w:color="014171"/>
              <w:bottom w:val="single" w:sz="4" w:space="0" w:color="014171"/>
            </w:tcBorders>
          </w:tcPr>
          <w:p w14:paraId="3E9CFE08" w14:textId="7B0573B0" w:rsidR="004938F1" w:rsidRPr="0040745F" w:rsidRDefault="004938F1" w:rsidP="004938F1">
            <w:pPr>
              <w:autoSpaceDE w:val="0"/>
              <w:autoSpaceDN w:val="0"/>
              <w:adjustRightInd w:val="0"/>
              <w:spacing w:after="0"/>
              <w:jc w:val="both"/>
              <w:rPr>
                <w:rFonts w:ascii="Segoe UI" w:hAnsi="Segoe UI" w:cs="Segoe UI"/>
                <w:color w:val="014171"/>
                <w:sz w:val="18"/>
                <w:szCs w:val="18"/>
                <w:lang w:val="de-DE" w:eastAsia="en-GB"/>
              </w:rPr>
            </w:pPr>
          </w:p>
        </w:tc>
      </w:tr>
      <w:tr w:rsidR="004938F1" w:rsidRPr="0040745F" w14:paraId="5FA39F65" w14:textId="77777777" w:rsidTr="00A02BEA">
        <w:trPr>
          <w:trHeight w:val="142"/>
        </w:trPr>
        <w:tc>
          <w:tcPr>
            <w:tcW w:w="567" w:type="dxa"/>
            <w:tcBorders>
              <w:top w:val="single" w:sz="4" w:space="0" w:color="014171"/>
              <w:bottom w:val="single" w:sz="4" w:space="0" w:color="014171"/>
            </w:tcBorders>
          </w:tcPr>
          <w:p w14:paraId="181FF7B3" w14:textId="2C3E29D0" w:rsidR="004938F1" w:rsidRPr="0040745F" w:rsidRDefault="004938F1" w:rsidP="004938F1">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1a</w:t>
            </w:r>
          </w:p>
        </w:tc>
        <w:tc>
          <w:tcPr>
            <w:tcW w:w="4111" w:type="dxa"/>
            <w:tcBorders>
              <w:top w:val="single" w:sz="4" w:space="0" w:color="014171"/>
              <w:bottom w:val="single" w:sz="4" w:space="0" w:color="014171"/>
            </w:tcBorders>
          </w:tcPr>
          <w:p w14:paraId="1D6E4900" w14:textId="2D3FA9B3" w:rsidR="004938F1" w:rsidRPr="0040745F" w:rsidRDefault="00853E00" w:rsidP="00A02BEA">
            <w:pPr>
              <w:autoSpaceDE w:val="0"/>
              <w:autoSpaceDN w:val="0"/>
              <w:adjustRightInd w:val="0"/>
              <w:spacing w:after="0"/>
              <w:ind w:left="113"/>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täglich fällig</w:t>
            </w:r>
          </w:p>
        </w:tc>
        <w:tc>
          <w:tcPr>
            <w:tcW w:w="1701" w:type="dxa"/>
            <w:tcBorders>
              <w:top w:val="single" w:sz="4" w:space="0" w:color="014171"/>
              <w:bottom w:val="single" w:sz="4" w:space="0" w:color="014171"/>
            </w:tcBorders>
          </w:tcPr>
          <w:p w14:paraId="2AF3369B" w14:textId="757C55E2" w:rsidR="004938F1" w:rsidRPr="0040745F" w:rsidRDefault="004938F1" w:rsidP="004938F1">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30</w:t>
            </w:r>
            <w:r w:rsidR="00275EAC"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948</w:t>
            </w:r>
            <w:r w:rsidR="00275EAC"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 xml:space="preserve">90 </w:t>
            </w:r>
          </w:p>
        </w:tc>
        <w:tc>
          <w:tcPr>
            <w:tcW w:w="2888" w:type="dxa"/>
            <w:tcBorders>
              <w:top w:val="single" w:sz="4" w:space="0" w:color="014171"/>
              <w:bottom w:val="single" w:sz="4" w:space="0" w:color="014171"/>
            </w:tcBorders>
          </w:tcPr>
          <w:p w14:paraId="4F82953A" w14:textId="77777777" w:rsidR="004938F1" w:rsidRPr="0040745F" w:rsidRDefault="004938F1" w:rsidP="004938F1">
            <w:pPr>
              <w:autoSpaceDE w:val="0"/>
              <w:autoSpaceDN w:val="0"/>
              <w:adjustRightInd w:val="0"/>
              <w:spacing w:after="0"/>
              <w:jc w:val="both"/>
              <w:rPr>
                <w:rFonts w:ascii="Segoe UI" w:hAnsi="Segoe UI" w:cs="Segoe UI"/>
                <w:color w:val="014171"/>
                <w:sz w:val="18"/>
                <w:szCs w:val="18"/>
                <w:lang w:val="de-DE" w:eastAsia="en-GB"/>
              </w:rPr>
            </w:pPr>
          </w:p>
        </w:tc>
      </w:tr>
      <w:tr w:rsidR="004938F1" w:rsidRPr="0040745F" w14:paraId="60C99256" w14:textId="77777777" w:rsidTr="00A02BEA">
        <w:trPr>
          <w:trHeight w:val="142"/>
        </w:trPr>
        <w:tc>
          <w:tcPr>
            <w:tcW w:w="567" w:type="dxa"/>
            <w:tcBorders>
              <w:top w:val="single" w:sz="4" w:space="0" w:color="014171"/>
              <w:bottom w:val="single" w:sz="4" w:space="0" w:color="014171"/>
            </w:tcBorders>
          </w:tcPr>
          <w:p w14:paraId="2326D0EA" w14:textId="351C3F0B" w:rsidR="004938F1" w:rsidRPr="0040745F" w:rsidRDefault="004938F1" w:rsidP="004938F1">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1b</w:t>
            </w:r>
          </w:p>
        </w:tc>
        <w:tc>
          <w:tcPr>
            <w:tcW w:w="4111" w:type="dxa"/>
            <w:tcBorders>
              <w:top w:val="single" w:sz="4" w:space="0" w:color="014171"/>
              <w:bottom w:val="single" w:sz="4" w:space="0" w:color="014171"/>
            </w:tcBorders>
          </w:tcPr>
          <w:p w14:paraId="23297814" w14:textId="3DF7BF01" w:rsidR="004938F1" w:rsidRPr="0040745F" w:rsidRDefault="00853E00" w:rsidP="00A02BEA">
            <w:pPr>
              <w:autoSpaceDE w:val="0"/>
              <w:autoSpaceDN w:val="0"/>
              <w:adjustRightInd w:val="0"/>
              <w:spacing w:after="0"/>
              <w:ind w:left="113"/>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andere Forderungen</w:t>
            </w:r>
          </w:p>
        </w:tc>
        <w:tc>
          <w:tcPr>
            <w:tcW w:w="1701" w:type="dxa"/>
            <w:tcBorders>
              <w:top w:val="single" w:sz="4" w:space="0" w:color="014171"/>
              <w:bottom w:val="single" w:sz="4" w:space="0" w:color="014171"/>
            </w:tcBorders>
          </w:tcPr>
          <w:p w14:paraId="08F04D4B" w14:textId="6DB18F6C" w:rsidR="004938F1" w:rsidRPr="0040745F" w:rsidRDefault="004938F1" w:rsidP="004938F1">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274</w:t>
            </w:r>
            <w:r w:rsidR="00275EAC"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575</w:t>
            </w:r>
            <w:r w:rsidR="00275EAC"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 xml:space="preserve">30 </w:t>
            </w:r>
          </w:p>
        </w:tc>
        <w:tc>
          <w:tcPr>
            <w:tcW w:w="2888" w:type="dxa"/>
            <w:tcBorders>
              <w:top w:val="single" w:sz="4" w:space="0" w:color="014171"/>
              <w:bottom w:val="single" w:sz="4" w:space="0" w:color="014171"/>
            </w:tcBorders>
          </w:tcPr>
          <w:p w14:paraId="05D1E84D" w14:textId="38FCB6C7" w:rsidR="004938F1" w:rsidRPr="0040745F" w:rsidRDefault="004938F1" w:rsidP="004938F1">
            <w:pPr>
              <w:autoSpaceDE w:val="0"/>
              <w:autoSpaceDN w:val="0"/>
              <w:adjustRightInd w:val="0"/>
              <w:spacing w:after="0"/>
              <w:jc w:val="both"/>
              <w:rPr>
                <w:rFonts w:ascii="Segoe UI" w:hAnsi="Segoe UI" w:cs="Segoe UI"/>
                <w:color w:val="014171"/>
                <w:sz w:val="18"/>
                <w:szCs w:val="18"/>
                <w:lang w:val="de-DE" w:eastAsia="en-GB"/>
              </w:rPr>
            </w:pPr>
          </w:p>
        </w:tc>
      </w:tr>
      <w:tr w:rsidR="004938F1" w:rsidRPr="0040745F" w14:paraId="01CBFF62" w14:textId="77777777" w:rsidTr="00A02BEA">
        <w:trPr>
          <w:trHeight w:val="142"/>
        </w:trPr>
        <w:tc>
          <w:tcPr>
            <w:tcW w:w="567" w:type="dxa"/>
            <w:tcBorders>
              <w:top w:val="single" w:sz="4" w:space="0" w:color="014171"/>
              <w:bottom w:val="single" w:sz="4" w:space="0" w:color="014171"/>
            </w:tcBorders>
          </w:tcPr>
          <w:p w14:paraId="2FFFC835" w14:textId="119B73ED" w:rsidR="004938F1" w:rsidRPr="0040745F" w:rsidRDefault="004938F1" w:rsidP="004938F1">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2</w:t>
            </w:r>
          </w:p>
        </w:tc>
        <w:tc>
          <w:tcPr>
            <w:tcW w:w="4111" w:type="dxa"/>
            <w:tcBorders>
              <w:top w:val="single" w:sz="4" w:space="0" w:color="014171"/>
              <w:bottom w:val="single" w:sz="4" w:space="0" w:color="014171"/>
            </w:tcBorders>
          </w:tcPr>
          <w:p w14:paraId="02B0605D" w14:textId="4FD81134" w:rsidR="004938F1" w:rsidRPr="0040745F" w:rsidRDefault="00853E00" w:rsidP="0074724B">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Forderungen an Kunden</w:t>
            </w:r>
          </w:p>
        </w:tc>
        <w:tc>
          <w:tcPr>
            <w:tcW w:w="1701" w:type="dxa"/>
            <w:tcBorders>
              <w:top w:val="single" w:sz="4" w:space="0" w:color="014171"/>
              <w:bottom w:val="single" w:sz="4" w:space="0" w:color="014171"/>
            </w:tcBorders>
          </w:tcPr>
          <w:p w14:paraId="436D91B9" w14:textId="664403D4" w:rsidR="004938F1" w:rsidRPr="0040745F" w:rsidRDefault="004938F1" w:rsidP="004938F1">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10</w:t>
            </w:r>
            <w:r w:rsidR="00275EAC"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414</w:t>
            </w:r>
            <w:r w:rsidR="00275EAC"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 xml:space="preserve">29 </w:t>
            </w:r>
          </w:p>
        </w:tc>
        <w:tc>
          <w:tcPr>
            <w:tcW w:w="2888" w:type="dxa"/>
            <w:tcBorders>
              <w:top w:val="single" w:sz="4" w:space="0" w:color="014171"/>
              <w:bottom w:val="single" w:sz="4" w:space="0" w:color="014171"/>
            </w:tcBorders>
          </w:tcPr>
          <w:p w14:paraId="5D7C3A0D" w14:textId="77777777" w:rsidR="004938F1" w:rsidRPr="0040745F" w:rsidRDefault="004938F1" w:rsidP="004938F1">
            <w:pPr>
              <w:autoSpaceDE w:val="0"/>
              <w:autoSpaceDN w:val="0"/>
              <w:adjustRightInd w:val="0"/>
              <w:spacing w:after="0"/>
              <w:jc w:val="both"/>
              <w:rPr>
                <w:rFonts w:ascii="Segoe UI" w:hAnsi="Segoe UI" w:cs="Segoe UI"/>
                <w:color w:val="014171"/>
                <w:sz w:val="18"/>
                <w:szCs w:val="18"/>
                <w:lang w:val="de-DE" w:eastAsia="en-GB"/>
              </w:rPr>
            </w:pPr>
          </w:p>
        </w:tc>
      </w:tr>
      <w:tr w:rsidR="004938F1" w:rsidRPr="0040745F" w14:paraId="24085496" w14:textId="77777777" w:rsidTr="00A02BEA">
        <w:trPr>
          <w:trHeight w:val="142"/>
        </w:trPr>
        <w:tc>
          <w:tcPr>
            <w:tcW w:w="567" w:type="dxa"/>
            <w:tcBorders>
              <w:top w:val="single" w:sz="4" w:space="0" w:color="014171"/>
              <w:bottom w:val="single" w:sz="4" w:space="0" w:color="014171"/>
            </w:tcBorders>
          </w:tcPr>
          <w:p w14:paraId="0A111358" w14:textId="114E332D" w:rsidR="004938F1" w:rsidRPr="0040745F" w:rsidRDefault="004938F1" w:rsidP="004938F1">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3</w:t>
            </w:r>
          </w:p>
        </w:tc>
        <w:tc>
          <w:tcPr>
            <w:tcW w:w="4111" w:type="dxa"/>
            <w:tcBorders>
              <w:top w:val="single" w:sz="4" w:space="0" w:color="014171"/>
              <w:bottom w:val="single" w:sz="4" w:space="0" w:color="014171"/>
            </w:tcBorders>
          </w:tcPr>
          <w:p w14:paraId="4C1FC80C" w14:textId="5A53C30A" w:rsidR="004938F1" w:rsidRPr="0040745F" w:rsidRDefault="00853E00" w:rsidP="0074724B">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Immaterielle Anlagewerte</w:t>
            </w:r>
          </w:p>
        </w:tc>
        <w:tc>
          <w:tcPr>
            <w:tcW w:w="1701" w:type="dxa"/>
            <w:tcBorders>
              <w:top w:val="single" w:sz="4" w:space="0" w:color="014171"/>
              <w:bottom w:val="single" w:sz="4" w:space="0" w:color="014171"/>
            </w:tcBorders>
          </w:tcPr>
          <w:p w14:paraId="7A4A6437" w14:textId="5A6E4D78" w:rsidR="004938F1" w:rsidRPr="0040745F" w:rsidRDefault="004938F1" w:rsidP="004938F1">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213</w:t>
            </w:r>
            <w:r w:rsidR="00275EAC"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 xml:space="preserve">79 </w:t>
            </w:r>
          </w:p>
        </w:tc>
        <w:tc>
          <w:tcPr>
            <w:tcW w:w="2888" w:type="dxa"/>
            <w:tcBorders>
              <w:top w:val="single" w:sz="4" w:space="0" w:color="014171"/>
              <w:bottom w:val="single" w:sz="4" w:space="0" w:color="014171"/>
            </w:tcBorders>
          </w:tcPr>
          <w:p w14:paraId="12F38A2B" w14:textId="77777777" w:rsidR="004938F1" w:rsidRPr="0040745F" w:rsidRDefault="004938F1" w:rsidP="004938F1">
            <w:pPr>
              <w:autoSpaceDE w:val="0"/>
              <w:autoSpaceDN w:val="0"/>
              <w:adjustRightInd w:val="0"/>
              <w:spacing w:after="0"/>
              <w:jc w:val="both"/>
              <w:rPr>
                <w:rFonts w:ascii="Segoe UI" w:hAnsi="Segoe UI" w:cs="Segoe UI"/>
                <w:color w:val="014171"/>
                <w:sz w:val="18"/>
                <w:szCs w:val="18"/>
                <w:lang w:val="de-DE" w:eastAsia="en-GB"/>
              </w:rPr>
            </w:pPr>
          </w:p>
        </w:tc>
      </w:tr>
      <w:tr w:rsidR="004938F1" w:rsidRPr="0040745F" w14:paraId="4F679833" w14:textId="77777777" w:rsidTr="00A02BEA">
        <w:trPr>
          <w:trHeight w:val="142"/>
        </w:trPr>
        <w:tc>
          <w:tcPr>
            <w:tcW w:w="567" w:type="dxa"/>
            <w:tcBorders>
              <w:top w:val="single" w:sz="4" w:space="0" w:color="014171"/>
              <w:bottom w:val="single" w:sz="4" w:space="0" w:color="014171"/>
            </w:tcBorders>
          </w:tcPr>
          <w:p w14:paraId="6EA1C479" w14:textId="0EB6A29D" w:rsidR="004938F1" w:rsidRPr="0040745F" w:rsidRDefault="004938F1" w:rsidP="004938F1">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4</w:t>
            </w:r>
          </w:p>
        </w:tc>
        <w:tc>
          <w:tcPr>
            <w:tcW w:w="4111" w:type="dxa"/>
            <w:tcBorders>
              <w:top w:val="single" w:sz="4" w:space="0" w:color="014171"/>
              <w:bottom w:val="single" w:sz="4" w:space="0" w:color="014171"/>
            </w:tcBorders>
          </w:tcPr>
          <w:p w14:paraId="4EFB48D2" w14:textId="549ED194" w:rsidR="004938F1" w:rsidRPr="0040745F" w:rsidRDefault="007503E3" w:rsidP="0074724B">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Sachanlagen</w:t>
            </w:r>
          </w:p>
        </w:tc>
        <w:tc>
          <w:tcPr>
            <w:tcW w:w="1701" w:type="dxa"/>
            <w:tcBorders>
              <w:top w:val="single" w:sz="4" w:space="0" w:color="014171"/>
              <w:bottom w:val="single" w:sz="4" w:space="0" w:color="014171"/>
            </w:tcBorders>
          </w:tcPr>
          <w:p w14:paraId="19258BAA" w14:textId="6BDB0490" w:rsidR="004938F1" w:rsidRPr="0040745F" w:rsidRDefault="004938F1" w:rsidP="004938F1">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122</w:t>
            </w:r>
            <w:r w:rsidR="00275EAC"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 xml:space="preserve">16 </w:t>
            </w:r>
          </w:p>
        </w:tc>
        <w:tc>
          <w:tcPr>
            <w:tcW w:w="2888" w:type="dxa"/>
            <w:tcBorders>
              <w:top w:val="single" w:sz="4" w:space="0" w:color="014171"/>
              <w:bottom w:val="single" w:sz="4" w:space="0" w:color="014171"/>
            </w:tcBorders>
          </w:tcPr>
          <w:p w14:paraId="506BB766" w14:textId="77777777" w:rsidR="004938F1" w:rsidRPr="0040745F" w:rsidRDefault="004938F1" w:rsidP="004938F1">
            <w:pPr>
              <w:autoSpaceDE w:val="0"/>
              <w:autoSpaceDN w:val="0"/>
              <w:adjustRightInd w:val="0"/>
              <w:spacing w:after="0"/>
              <w:jc w:val="both"/>
              <w:rPr>
                <w:rFonts w:ascii="Segoe UI" w:hAnsi="Segoe UI" w:cs="Segoe UI"/>
                <w:color w:val="014171"/>
                <w:sz w:val="18"/>
                <w:szCs w:val="18"/>
                <w:lang w:val="de-DE" w:eastAsia="en-GB"/>
              </w:rPr>
            </w:pPr>
          </w:p>
        </w:tc>
      </w:tr>
      <w:tr w:rsidR="004938F1" w:rsidRPr="0040745F" w14:paraId="7087711E" w14:textId="77777777" w:rsidTr="00A02BEA">
        <w:trPr>
          <w:trHeight w:val="142"/>
        </w:trPr>
        <w:tc>
          <w:tcPr>
            <w:tcW w:w="567" w:type="dxa"/>
            <w:tcBorders>
              <w:top w:val="single" w:sz="4" w:space="0" w:color="014171"/>
              <w:bottom w:val="single" w:sz="4" w:space="0" w:color="014171"/>
            </w:tcBorders>
          </w:tcPr>
          <w:p w14:paraId="5446B5B1" w14:textId="127137FB" w:rsidR="004938F1" w:rsidRPr="0040745F" w:rsidRDefault="004938F1" w:rsidP="004938F1">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5</w:t>
            </w:r>
          </w:p>
        </w:tc>
        <w:tc>
          <w:tcPr>
            <w:tcW w:w="4111" w:type="dxa"/>
            <w:tcBorders>
              <w:top w:val="single" w:sz="4" w:space="0" w:color="014171"/>
              <w:bottom w:val="single" w:sz="4" w:space="0" w:color="014171"/>
            </w:tcBorders>
          </w:tcPr>
          <w:p w14:paraId="37B526FC" w14:textId="4C4AF46F" w:rsidR="004938F1" w:rsidRPr="0040745F" w:rsidRDefault="007503E3" w:rsidP="0074724B">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Sonstige Vermögensgegenstände</w:t>
            </w:r>
          </w:p>
        </w:tc>
        <w:tc>
          <w:tcPr>
            <w:tcW w:w="1701" w:type="dxa"/>
            <w:tcBorders>
              <w:top w:val="single" w:sz="4" w:space="0" w:color="014171"/>
              <w:bottom w:val="single" w:sz="4" w:space="0" w:color="014171"/>
            </w:tcBorders>
          </w:tcPr>
          <w:p w14:paraId="3BA569AA" w14:textId="7290245B" w:rsidR="004938F1" w:rsidRPr="0040745F" w:rsidRDefault="004938F1" w:rsidP="004938F1">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547</w:t>
            </w:r>
            <w:r w:rsidR="00275EAC"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 xml:space="preserve">01 </w:t>
            </w:r>
          </w:p>
        </w:tc>
        <w:tc>
          <w:tcPr>
            <w:tcW w:w="2888" w:type="dxa"/>
            <w:tcBorders>
              <w:top w:val="single" w:sz="4" w:space="0" w:color="014171"/>
              <w:bottom w:val="single" w:sz="4" w:space="0" w:color="014171"/>
            </w:tcBorders>
          </w:tcPr>
          <w:p w14:paraId="53D3699C" w14:textId="77777777" w:rsidR="004938F1" w:rsidRPr="0040745F" w:rsidRDefault="004938F1" w:rsidP="004938F1">
            <w:pPr>
              <w:autoSpaceDE w:val="0"/>
              <w:autoSpaceDN w:val="0"/>
              <w:adjustRightInd w:val="0"/>
              <w:spacing w:after="0"/>
              <w:jc w:val="both"/>
              <w:rPr>
                <w:rFonts w:ascii="Segoe UI" w:hAnsi="Segoe UI" w:cs="Segoe UI"/>
                <w:color w:val="014171"/>
                <w:sz w:val="18"/>
                <w:szCs w:val="18"/>
                <w:lang w:val="de-DE" w:eastAsia="en-GB"/>
              </w:rPr>
            </w:pPr>
          </w:p>
        </w:tc>
      </w:tr>
      <w:tr w:rsidR="004938F1" w:rsidRPr="0040745F" w14:paraId="1C095080" w14:textId="77777777" w:rsidTr="00A02BEA">
        <w:trPr>
          <w:trHeight w:val="274"/>
        </w:trPr>
        <w:tc>
          <w:tcPr>
            <w:tcW w:w="567" w:type="dxa"/>
            <w:tcBorders>
              <w:top w:val="single" w:sz="4" w:space="0" w:color="014171"/>
              <w:bottom w:val="single" w:sz="4" w:space="0" w:color="014171"/>
            </w:tcBorders>
          </w:tcPr>
          <w:p w14:paraId="170B77DF" w14:textId="3074049E" w:rsidR="004938F1" w:rsidRPr="0040745F" w:rsidRDefault="004938F1" w:rsidP="004938F1">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6</w:t>
            </w:r>
          </w:p>
        </w:tc>
        <w:tc>
          <w:tcPr>
            <w:tcW w:w="4111" w:type="dxa"/>
            <w:tcBorders>
              <w:top w:val="single" w:sz="4" w:space="0" w:color="014171"/>
              <w:bottom w:val="single" w:sz="4" w:space="0" w:color="014171"/>
            </w:tcBorders>
          </w:tcPr>
          <w:p w14:paraId="2E02761D" w14:textId="1ECFB5B1" w:rsidR="004938F1" w:rsidRPr="0040745F" w:rsidRDefault="007503E3" w:rsidP="0074724B">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Rechnungsabgrenzungsposten</w:t>
            </w:r>
          </w:p>
        </w:tc>
        <w:tc>
          <w:tcPr>
            <w:tcW w:w="1701" w:type="dxa"/>
            <w:tcBorders>
              <w:top w:val="single" w:sz="4" w:space="0" w:color="014171"/>
              <w:bottom w:val="single" w:sz="4" w:space="0" w:color="014171"/>
            </w:tcBorders>
          </w:tcPr>
          <w:p w14:paraId="2F79F0AE" w14:textId="2179F9E1" w:rsidR="004938F1" w:rsidRPr="0040745F" w:rsidRDefault="004938F1" w:rsidP="004938F1">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85</w:t>
            </w:r>
            <w:r w:rsidR="00275EAC"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 xml:space="preserve">77 </w:t>
            </w:r>
          </w:p>
        </w:tc>
        <w:tc>
          <w:tcPr>
            <w:tcW w:w="2888" w:type="dxa"/>
            <w:tcBorders>
              <w:top w:val="single" w:sz="4" w:space="0" w:color="014171"/>
              <w:bottom w:val="single" w:sz="4" w:space="0" w:color="014171"/>
            </w:tcBorders>
          </w:tcPr>
          <w:p w14:paraId="74131B40" w14:textId="77777777" w:rsidR="004938F1" w:rsidRPr="0040745F" w:rsidRDefault="004938F1" w:rsidP="004938F1">
            <w:pPr>
              <w:autoSpaceDE w:val="0"/>
              <w:autoSpaceDN w:val="0"/>
              <w:adjustRightInd w:val="0"/>
              <w:spacing w:after="0"/>
              <w:jc w:val="both"/>
              <w:rPr>
                <w:rFonts w:ascii="Segoe UI" w:hAnsi="Segoe UI" w:cs="Segoe UI"/>
                <w:color w:val="014171"/>
                <w:sz w:val="18"/>
                <w:szCs w:val="18"/>
                <w:lang w:val="de-DE" w:eastAsia="en-GB"/>
              </w:rPr>
            </w:pPr>
          </w:p>
        </w:tc>
      </w:tr>
      <w:tr w:rsidR="004938F1" w:rsidRPr="0040745F" w14:paraId="005C198D" w14:textId="77777777" w:rsidTr="00A02BEA">
        <w:trPr>
          <w:trHeight w:val="274"/>
        </w:trPr>
        <w:tc>
          <w:tcPr>
            <w:tcW w:w="567" w:type="dxa"/>
            <w:tcBorders>
              <w:top w:val="single" w:sz="4" w:space="0" w:color="014171"/>
              <w:bottom w:val="single" w:sz="12" w:space="0" w:color="014171"/>
            </w:tcBorders>
          </w:tcPr>
          <w:p w14:paraId="2C6207DB" w14:textId="6EFABCDD" w:rsidR="004938F1" w:rsidRPr="0040745F" w:rsidRDefault="004938F1" w:rsidP="004938F1">
            <w:pPr>
              <w:autoSpaceDE w:val="0"/>
              <w:autoSpaceDN w:val="0"/>
              <w:adjustRightInd w:val="0"/>
              <w:spacing w:after="0"/>
              <w:jc w:val="both"/>
              <w:rPr>
                <w:rFonts w:ascii="Segoe UI" w:hAnsi="Segoe UI" w:cs="Segoe UI"/>
                <w:b/>
                <w:color w:val="014171"/>
                <w:sz w:val="18"/>
                <w:szCs w:val="18"/>
                <w:lang w:val="de-DE" w:eastAsia="en-GB"/>
              </w:rPr>
            </w:pPr>
            <w:r w:rsidRPr="0040745F">
              <w:rPr>
                <w:rFonts w:ascii="Segoe UI" w:hAnsi="Segoe UI" w:cs="Segoe UI"/>
                <w:b/>
                <w:color w:val="014171"/>
                <w:sz w:val="18"/>
                <w:szCs w:val="18"/>
                <w:lang w:val="de-DE"/>
              </w:rPr>
              <w:t>7</w:t>
            </w:r>
          </w:p>
        </w:tc>
        <w:tc>
          <w:tcPr>
            <w:tcW w:w="4111" w:type="dxa"/>
            <w:tcBorders>
              <w:top w:val="single" w:sz="4" w:space="0" w:color="014171"/>
              <w:bottom w:val="single" w:sz="12" w:space="0" w:color="014171"/>
            </w:tcBorders>
          </w:tcPr>
          <w:p w14:paraId="47D42FBB" w14:textId="7EEB676E" w:rsidR="004938F1" w:rsidRPr="0040745F" w:rsidRDefault="00853E00">
            <w:pPr>
              <w:autoSpaceDE w:val="0"/>
              <w:autoSpaceDN w:val="0"/>
              <w:adjustRightInd w:val="0"/>
              <w:spacing w:after="0"/>
              <w:jc w:val="both"/>
              <w:rPr>
                <w:rFonts w:ascii="Segoe UI" w:hAnsi="Segoe UI" w:cs="Segoe UI"/>
                <w:b/>
                <w:color w:val="014171"/>
                <w:sz w:val="18"/>
                <w:szCs w:val="18"/>
                <w:lang w:val="de-DE" w:eastAsia="en-GB"/>
              </w:rPr>
            </w:pPr>
            <w:r w:rsidRPr="0040745F">
              <w:rPr>
                <w:rFonts w:ascii="Segoe UI" w:hAnsi="Segoe UI" w:cs="Segoe UI"/>
                <w:b/>
                <w:color w:val="014171"/>
                <w:sz w:val="18"/>
                <w:szCs w:val="18"/>
                <w:lang w:val="de-DE"/>
              </w:rPr>
              <w:t>AKTIVA</w:t>
            </w:r>
            <w:r w:rsidR="004938F1" w:rsidRPr="0040745F">
              <w:rPr>
                <w:rFonts w:ascii="Segoe UI" w:hAnsi="Segoe UI" w:cs="Segoe UI"/>
                <w:b/>
                <w:color w:val="014171"/>
                <w:sz w:val="18"/>
                <w:szCs w:val="18"/>
                <w:lang w:val="de-DE"/>
              </w:rPr>
              <w:t xml:space="preserve"> </w:t>
            </w:r>
            <w:r w:rsidRPr="0040745F">
              <w:rPr>
                <w:rFonts w:ascii="Segoe UI" w:hAnsi="Segoe UI" w:cs="Segoe UI"/>
                <w:b/>
                <w:color w:val="014171"/>
                <w:sz w:val="18"/>
                <w:szCs w:val="18"/>
                <w:lang w:val="de-DE"/>
              </w:rPr>
              <w:t>GESAMT</w:t>
            </w:r>
          </w:p>
        </w:tc>
        <w:tc>
          <w:tcPr>
            <w:tcW w:w="1701" w:type="dxa"/>
            <w:tcBorders>
              <w:top w:val="single" w:sz="4" w:space="0" w:color="014171"/>
              <w:bottom w:val="single" w:sz="12" w:space="0" w:color="014171"/>
            </w:tcBorders>
          </w:tcPr>
          <w:p w14:paraId="3237E43D" w14:textId="1DA603BD" w:rsidR="004938F1" w:rsidRPr="0040745F" w:rsidRDefault="004938F1" w:rsidP="004938F1">
            <w:pPr>
              <w:autoSpaceDE w:val="0"/>
              <w:autoSpaceDN w:val="0"/>
              <w:adjustRightInd w:val="0"/>
              <w:spacing w:after="0"/>
              <w:jc w:val="right"/>
              <w:rPr>
                <w:rFonts w:ascii="Segoe UI" w:hAnsi="Segoe UI" w:cs="Segoe UI"/>
                <w:b/>
                <w:color w:val="014171"/>
                <w:sz w:val="18"/>
                <w:szCs w:val="18"/>
                <w:lang w:val="de-DE" w:eastAsia="en-GB"/>
              </w:rPr>
            </w:pPr>
            <w:r w:rsidRPr="0040745F">
              <w:rPr>
                <w:rFonts w:ascii="Segoe UI" w:hAnsi="Segoe UI" w:cs="Segoe UI"/>
                <w:b/>
                <w:color w:val="014171"/>
                <w:sz w:val="18"/>
                <w:szCs w:val="18"/>
                <w:lang w:val="de-DE"/>
              </w:rPr>
              <w:t>316</w:t>
            </w:r>
            <w:r w:rsidR="00275EAC" w:rsidRPr="0040745F">
              <w:rPr>
                <w:rFonts w:ascii="Segoe UI" w:hAnsi="Segoe UI" w:cs="Segoe UI"/>
                <w:b/>
                <w:color w:val="014171"/>
                <w:sz w:val="18"/>
                <w:szCs w:val="18"/>
                <w:lang w:val="de-DE"/>
              </w:rPr>
              <w:t>.</w:t>
            </w:r>
            <w:r w:rsidRPr="0040745F">
              <w:rPr>
                <w:rFonts w:ascii="Segoe UI" w:hAnsi="Segoe UI" w:cs="Segoe UI"/>
                <w:b/>
                <w:color w:val="014171"/>
                <w:sz w:val="18"/>
                <w:szCs w:val="18"/>
                <w:lang w:val="de-DE"/>
              </w:rPr>
              <w:t>907</w:t>
            </w:r>
            <w:r w:rsidR="00275EAC" w:rsidRPr="0040745F">
              <w:rPr>
                <w:rFonts w:ascii="Segoe UI" w:hAnsi="Segoe UI" w:cs="Segoe UI"/>
                <w:b/>
                <w:color w:val="014171"/>
                <w:sz w:val="18"/>
                <w:szCs w:val="18"/>
                <w:lang w:val="de-DE"/>
              </w:rPr>
              <w:t>,</w:t>
            </w:r>
            <w:r w:rsidRPr="0040745F">
              <w:rPr>
                <w:rFonts w:ascii="Segoe UI" w:hAnsi="Segoe UI" w:cs="Segoe UI"/>
                <w:b/>
                <w:color w:val="014171"/>
                <w:sz w:val="18"/>
                <w:szCs w:val="18"/>
                <w:lang w:val="de-DE"/>
              </w:rPr>
              <w:t xml:space="preserve">22 </w:t>
            </w:r>
          </w:p>
        </w:tc>
        <w:tc>
          <w:tcPr>
            <w:tcW w:w="2888" w:type="dxa"/>
            <w:tcBorders>
              <w:top w:val="single" w:sz="4" w:space="0" w:color="014171"/>
              <w:bottom w:val="single" w:sz="12" w:space="0" w:color="014171"/>
            </w:tcBorders>
          </w:tcPr>
          <w:p w14:paraId="253BC0B1" w14:textId="77777777" w:rsidR="004938F1" w:rsidRPr="0040745F" w:rsidRDefault="004938F1" w:rsidP="004938F1">
            <w:pPr>
              <w:autoSpaceDE w:val="0"/>
              <w:autoSpaceDN w:val="0"/>
              <w:adjustRightInd w:val="0"/>
              <w:spacing w:after="0"/>
              <w:jc w:val="both"/>
              <w:rPr>
                <w:rFonts w:ascii="Segoe UI" w:hAnsi="Segoe UI" w:cs="Segoe UI"/>
                <w:b/>
                <w:color w:val="014171"/>
                <w:sz w:val="18"/>
                <w:szCs w:val="18"/>
                <w:lang w:val="de-DE" w:eastAsia="en-GB"/>
              </w:rPr>
            </w:pPr>
          </w:p>
        </w:tc>
      </w:tr>
      <w:tr w:rsidR="004938F1" w:rsidRPr="002800FC" w14:paraId="28609193" w14:textId="77777777" w:rsidTr="000F358C">
        <w:trPr>
          <w:trHeight w:val="148"/>
        </w:trPr>
        <w:tc>
          <w:tcPr>
            <w:tcW w:w="9267" w:type="dxa"/>
            <w:gridSpan w:val="4"/>
            <w:tcBorders>
              <w:top w:val="single" w:sz="12" w:space="0" w:color="014171"/>
              <w:bottom w:val="single" w:sz="12" w:space="0" w:color="014171"/>
            </w:tcBorders>
          </w:tcPr>
          <w:p w14:paraId="2DD6E6CA" w14:textId="7B190DA6" w:rsidR="004938F1" w:rsidRPr="0040745F" w:rsidRDefault="00853E00" w:rsidP="00853E00">
            <w:pPr>
              <w:autoSpaceDE w:val="0"/>
              <w:autoSpaceDN w:val="0"/>
              <w:adjustRightInd w:val="0"/>
              <w:spacing w:after="0"/>
              <w:jc w:val="both"/>
              <w:rPr>
                <w:rFonts w:ascii="Segoe UI" w:hAnsi="Segoe UI" w:cs="Segoe UI"/>
                <w:b/>
                <w:bCs/>
                <w:color w:val="014171"/>
                <w:sz w:val="18"/>
                <w:szCs w:val="18"/>
                <w:lang w:val="de-DE" w:eastAsia="en-GB"/>
              </w:rPr>
            </w:pPr>
            <w:r w:rsidRPr="0040745F">
              <w:rPr>
                <w:rFonts w:ascii="Segoe UI" w:hAnsi="Segoe UI" w:cs="Segoe UI"/>
                <w:b/>
                <w:color w:val="014171"/>
                <w:sz w:val="18"/>
                <w:szCs w:val="18"/>
                <w:lang w:val="de-DE" w:eastAsia="en-GB"/>
              </w:rPr>
              <w:t>PASSIVA</w:t>
            </w:r>
            <w:r w:rsidR="004938F1" w:rsidRPr="0040745F">
              <w:rPr>
                <w:rFonts w:ascii="Segoe UI" w:hAnsi="Segoe UI" w:cs="Segoe UI"/>
                <w:i/>
                <w:color w:val="014171"/>
                <w:sz w:val="18"/>
                <w:szCs w:val="18"/>
                <w:lang w:val="de-DE" w:eastAsia="en-GB"/>
              </w:rPr>
              <w:t xml:space="preserve"> - </w:t>
            </w:r>
            <w:r w:rsidRPr="0040745F">
              <w:rPr>
                <w:rFonts w:ascii="Segoe UI" w:hAnsi="Segoe UI" w:cs="Segoe UI"/>
                <w:i/>
                <w:color w:val="014171"/>
                <w:sz w:val="18"/>
                <w:szCs w:val="18"/>
                <w:lang w:val="de-DE" w:eastAsia="en-GB"/>
              </w:rPr>
              <w:t>Aufschlüsselung nach Passiva-Klassen gemäß der im veröffentlichten/geprüften Jahresabschluss enthaltenen Bilanz</w:t>
            </w:r>
          </w:p>
        </w:tc>
      </w:tr>
      <w:tr w:rsidR="004938F1" w:rsidRPr="0040745F" w14:paraId="1869BE4D" w14:textId="77777777" w:rsidTr="00A02BEA">
        <w:trPr>
          <w:trHeight w:val="142"/>
        </w:trPr>
        <w:tc>
          <w:tcPr>
            <w:tcW w:w="567" w:type="dxa"/>
            <w:tcBorders>
              <w:top w:val="single" w:sz="12" w:space="0" w:color="014171"/>
              <w:bottom w:val="single" w:sz="4" w:space="0" w:color="014171"/>
            </w:tcBorders>
          </w:tcPr>
          <w:p w14:paraId="1BBD851A" w14:textId="40787404" w:rsidR="004938F1" w:rsidRPr="0040745F" w:rsidRDefault="004938F1" w:rsidP="004938F1">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1</w:t>
            </w:r>
          </w:p>
        </w:tc>
        <w:tc>
          <w:tcPr>
            <w:tcW w:w="4111" w:type="dxa"/>
            <w:tcBorders>
              <w:top w:val="single" w:sz="12" w:space="0" w:color="014171"/>
              <w:bottom w:val="single" w:sz="4" w:space="0" w:color="014171"/>
            </w:tcBorders>
          </w:tcPr>
          <w:p w14:paraId="50A801F9" w14:textId="0B2D9E02" w:rsidR="004938F1" w:rsidRPr="0040745F" w:rsidRDefault="007503E3" w:rsidP="00A02BEA">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Verbindlichkeiten gegenüber Kunden</w:t>
            </w:r>
          </w:p>
        </w:tc>
        <w:tc>
          <w:tcPr>
            <w:tcW w:w="1701" w:type="dxa"/>
            <w:tcBorders>
              <w:top w:val="single" w:sz="12" w:space="0" w:color="014171"/>
              <w:bottom w:val="single" w:sz="4" w:space="0" w:color="014171"/>
            </w:tcBorders>
          </w:tcPr>
          <w:p w14:paraId="58608AE4" w14:textId="3178BF41" w:rsidR="004938F1" w:rsidRPr="0040745F" w:rsidRDefault="004938F1" w:rsidP="004938F1">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283</w:t>
            </w:r>
            <w:r w:rsidR="00275EAC"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302</w:t>
            </w:r>
            <w:r w:rsidR="00275EAC"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 xml:space="preserve">09 </w:t>
            </w:r>
          </w:p>
        </w:tc>
        <w:tc>
          <w:tcPr>
            <w:tcW w:w="2888" w:type="dxa"/>
            <w:tcBorders>
              <w:top w:val="single" w:sz="12" w:space="0" w:color="014171"/>
              <w:bottom w:val="single" w:sz="4" w:space="0" w:color="014171"/>
            </w:tcBorders>
          </w:tcPr>
          <w:p w14:paraId="0ABD3A14" w14:textId="77777777" w:rsidR="004938F1" w:rsidRPr="0040745F" w:rsidRDefault="004938F1" w:rsidP="004938F1">
            <w:pPr>
              <w:autoSpaceDE w:val="0"/>
              <w:autoSpaceDN w:val="0"/>
              <w:adjustRightInd w:val="0"/>
              <w:spacing w:after="0"/>
              <w:jc w:val="both"/>
              <w:rPr>
                <w:rFonts w:ascii="Segoe UI" w:hAnsi="Segoe UI" w:cs="Segoe UI"/>
                <w:color w:val="014171"/>
                <w:sz w:val="18"/>
                <w:szCs w:val="18"/>
                <w:lang w:val="de-DE" w:eastAsia="en-GB"/>
              </w:rPr>
            </w:pPr>
          </w:p>
        </w:tc>
      </w:tr>
      <w:tr w:rsidR="004938F1" w:rsidRPr="0040745F" w14:paraId="488C26F3" w14:textId="77777777" w:rsidTr="00A02BEA">
        <w:trPr>
          <w:trHeight w:val="142"/>
        </w:trPr>
        <w:tc>
          <w:tcPr>
            <w:tcW w:w="567" w:type="dxa"/>
            <w:tcBorders>
              <w:top w:val="single" w:sz="4" w:space="0" w:color="014171"/>
              <w:bottom w:val="single" w:sz="4" w:space="0" w:color="014171"/>
            </w:tcBorders>
          </w:tcPr>
          <w:p w14:paraId="2BB649D2" w14:textId="5F908131" w:rsidR="004938F1" w:rsidRPr="0040745F" w:rsidRDefault="004938F1" w:rsidP="004938F1">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1a</w:t>
            </w:r>
          </w:p>
        </w:tc>
        <w:tc>
          <w:tcPr>
            <w:tcW w:w="4111" w:type="dxa"/>
            <w:tcBorders>
              <w:top w:val="single" w:sz="4" w:space="0" w:color="014171"/>
              <w:bottom w:val="single" w:sz="4" w:space="0" w:color="014171"/>
            </w:tcBorders>
          </w:tcPr>
          <w:p w14:paraId="0B3AB976" w14:textId="004E015A" w:rsidR="004938F1" w:rsidRPr="0040745F" w:rsidRDefault="007503E3" w:rsidP="00A02BEA">
            <w:pPr>
              <w:autoSpaceDE w:val="0"/>
              <w:autoSpaceDN w:val="0"/>
              <w:adjustRightInd w:val="0"/>
              <w:spacing w:after="0"/>
              <w:ind w:left="113"/>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andere Verbindlichkeiten</w:t>
            </w:r>
          </w:p>
        </w:tc>
        <w:tc>
          <w:tcPr>
            <w:tcW w:w="1701" w:type="dxa"/>
            <w:tcBorders>
              <w:top w:val="single" w:sz="4" w:space="0" w:color="014171"/>
              <w:bottom w:val="single" w:sz="4" w:space="0" w:color="014171"/>
            </w:tcBorders>
          </w:tcPr>
          <w:p w14:paraId="66E991DF" w14:textId="1BFBD8F6" w:rsidR="004938F1" w:rsidRPr="0040745F" w:rsidRDefault="004938F1" w:rsidP="004938F1">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 xml:space="preserve"> </w:t>
            </w:r>
          </w:p>
        </w:tc>
        <w:tc>
          <w:tcPr>
            <w:tcW w:w="2888" w:type="dxa"/>
            <w:tcBorders>
              <w:top w:val="single" w:sz="4" w:space="0" w:color="014171"/>
              <w:bottom w:val="single" w:sz="4" w:space="0" w:color="014171"/>
            </w:tcBorders>
          </w:tcPr>
          <w:p w14:paraId="298E0615" w14:textId="77777777" w:rsidR="004938F1" w:rsidRPr="0040745F" w:rsidRDefault="004938F1" w:rsidP="004938F1">
            <w:pPr>
              <w:autoSpaceDE w:val="0"/>
              <w:autoSpaceDN w:val="0"/>
              <w:adjustRightInd w:val="0"/>
              <w:spacing w:after="0"/>
              <w:jc w:val="both"/>
              <w:rPr>
                <w:rFonts w:ascii="Segoe UI" w:hAnsi="Segoe UI" w:cs="Segoe UI"/>
                <w:color w:val="014171"/>
                <w:sz w:val="18"/>
                <w:szCs w:val="18"/>
                <w:lang w:val="de-DE" w:eastAsia="en-GB"/>
              </w:rPr>
            </w:pPr>
          </w:p>
        </w:tc>
      </w:tr>
      <w:tr w:rsidR="004938F1" w:rsidRPr="0040745F" w14:paraId="3D55703D" w14:textId="77777777" w:rsidTr="00A02BEA">
        <w:trPr>
          <w:trHeight w:val="142"/>
        </w:trPr>
        <w:tc>
          <w:tcPr>
            <w:tcW w:w="567" w:type="dxa"/>
            <w:tcBorders>
              <w:top w:val="single" w:sz="4" w:space="0" w:color="014171"/>
              <w:bottom w:val="single" w:sz="4" w:space="0" w:color="014171"/>
            </w:tcBorders>
          </w:tcPr>
          <w:p w14:paraId="43BF1184" w14:textId="5800B2C1" w:rsidR="004938F1" w:rsidRPr="0040745F" w:rsidRDefault="004938F1" w:rsidP="004938F1">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1aa</w:t>
            </w:r>
          </w:p>
        </w:tc>
        <w:tc>
          <w:tcPr>
            <w:tcW w:w="4111" w:type="dxa"/>
            <w:tcBorders>
              <w:top w:val="single" w:sz="4" w:space="0" w:color="014171"/>
              <w:bottom w:val="single" w:sz="4" w:space="0" w:color="014171"/>
            </w:tcBorders>
          </w:tcPr>
          <w:p w14:paraId="140FDB9C" w14:textId="4B9679EA" w:rsidR="004938F1" w:rsidRPr="0040745F" w:rsidRDefault="007503E3" w:rsidP="0074724B">
            <w:pPr>
              <w:autoSpaceDE w:val="0"/>
              <w:autoSpaceDN w:val="0"/>
              <w:adjustRightInd w:val="0"/>
              <w:spacing w:after="0"/>
              <w:ind w:left="227"/>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täglich fällig</w:t>
            </w:r>
          </w:p>
        </w:tc>
        <w:tc>
          <w:tcPr>
            <w:tcW w:w="1701" w:type="dxa"/>
            <w:tcBorders>
              <w:top w:val="single" w:sz="4" w:space="0" w:color="014171"/>
              <w:bottom w:val="single" w:sz="4" w:space="0" w:color="014171"/>
            </w:tcBorders>
          </w:tcPr>
          <w:p w14:paraId="3F689D4E" w14:textId="5066A0E8" w:rsidR="004938F1" w:rsidRPr="0040745F" w:rsidRDefault="004938F1" w:rsidP="004938F1">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8</w:t>
            </w:r>
            <w:r w:rsidR="00275EAC"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726</w:t>
            </w:r>
            <w:r w:rsidR="00275EAC"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 xml:space="preserve">80 </w:t>
            </w:r>
          </w:p>
        </w:tc>
        <w:tc>
          <w:tcPr>
            <w:tcW w:w="2888" w:type="dxa"/>
            <w:tcBorders>
              <w:top w:val="single" w:sz="4" w:space="0" w:color="014171"/>
              <w:bottom w:val="single" w:sz="4" w:space="0" w:color="014171"/>
            </w:tcBorders>
          </w:tcPr>
          <w:p w14:paraId="2B678491" w14:textId="77777777" w:rsidR="004938F1" w:rsidRPr="0040745F" w:rsidRDefault="004938F1" w:rsidP="004938F1">
            <w:pPr>
              <w:autoSpaceDE w:val="0"/>
              <w:autoSpaceDN w:val="0"/>
              <w:adjustRightInd w:val="0"/>
              <w:spacing w:after="0"/>
              <w:jc w:val="both"/>
              <w:rPr>
                <w:rFonts w:ascii="Segoe UI" w:hAnsi="Segoe UI" w:cs="Segoe UI"/>
                <w:color w:val="014171"/>
                <w:sz w:val="18"/>
                <w:szCs w:val="18"/>
                <w:lang w:val="de-DE" w:eastAsia="en-GB"/>
              </w:rPr>
            </w:pPr>
          </w:p>
        </w:tc>
      </w:tr>
      <w:tr w:rsidR="004938F1" w:rsidRPr="0040745F" w14:paraId="2217A4FD" w14:textId="77777777" w:rsidTr="00A02BEA">
        <w:trPr>
          <w:trHeight w:val="274"/>
        </w:trPr>
        <w:tc>
          <w:tcPr>
            <w:tcW w:w="567" w:type="dxa"/>
            <w:tcBorders>
              <w:top w:val="single" w:sz="4" w:space="0" w:color="014171"/>
              <w:bottom w:val="single" w:sz="4" w:space="0" w:color="014171"/>
            </w:tcBorders>
          </w:tcPr>
          <w:p w14:paraId="11BFAB88" w14:textId="0FFCBF9A" w:rsidR="004938F1" w:rsidRPr="0040745F" w:rsidRDefault="004938F1" w:rsidP="004938F1">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1ab</w:t>
            </w:r>
          </w:p>
        </w:tc>
        <w:tc>
          <w:tcPr>
            <w:tcW w:w="4111" w:type="dxa"/>
            <w:tcBorders>
              <w:top w:val="single" w:sz="4" w:space="0" w:color="014171"/>
              <w:bottom w:val="single" w:sz="4" w:space="0" w:color="014171"/>
            </w:tcBorders>
          </w:tcPr>
          <w:p w14:paraId="01242BF2" w14:textId="51E178CB" w:rsidR="004938F1" w:rsidRPr="0040745F" w:rsidRDefault="007503E3" w:rsidP="00A02BEA">
            <w:pPr>
              <w:autoSpaceDE w:val="0"/>
              <w:autoSpaceDN w:val="0"/>
              <w:adjustRightInd w:val="0"/>
              <w:spacing w:after="0"/>
              <w:ind w:left="227"/>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mit vereinbarter Laufzeit oder Kündigungsfrist</w:t>
            </w:r>
          </w:p>
        </w:tc>
        <w:tc>
          <w:tcPr>
            <w:tcW w:w="1701" w:type="dxa"/>
            <w:tcBorders>
              <w:top w:val="single" w:sz="4" w:space="0" w:color="014171"/>
              <w:bottom w:val="single" w:sz="4" w:space="0" w:color="014171"/>
            </w:tcBorders>
          </w:tcPr>
          <w:p w14:paraId="63B6847B" w14:textId="30E330B2" w:rsidR="004938F1" w:rsidRPr="0040745F" w:rsidRDefault="004938F1" w:rsidP="004938F1">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274</w:t>
            </w:r>
            <w:r w:rsidR="00275EAC"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575</w:t>
            </w:r>
            <w:r w:rsidR="00275EAC"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 xml:space="preserve">30 </w:t>
            </w:r>
          </w:p>
        </w:tc>
        <w:tc>
          <w:tcPr>
            <w:tcW w:w="2888" w:type="dxa"/>
            <w:tcBorders>
              <w:top w:val="single" w:sz="4" w:space="0" w:color="014171"/>
              <w:bottom w:val="single" w:sz="4" w:space="0" w:color="014171"/>
            </w:tcBorders>
          </w:tcPr>
          <w:p w14:paraId="6C054AE8" w14:textId="77777777" w:rsidR="004938F1" w:rsidRPr="0040745F" w:rsidRDefault="004938F1" w:rsidP="004938F1">
            <w:pPr>
              <w:autoSpaceDE w:val="0"/>
              <w:autoSpaceDN w:val="0"/>
              <w:adjustRightInd w:val="0"/>
              <w:spacing w:after="0"/>
              <w:jc w:val="both"/>
              <w:rPr>
                <w:rFonts w:ascii="Segoe UI" w:hAnsi="Segoe UI" w:cs="Segoe UI"/>
                <w:color w:val="014171"/>
                <w:sz w:val="18"/>
                <w:szCs w:val="18"/>
                <w:lang w:val="de-DE" w:eastAsia="en-GB"/>
              </w:rPr>
            </w:pPr>
          </w:p>
        </w:tc>
      </w:tr>
      <w:tr w:rsidR="004938F1" w:rsidRPr="0040745F" w14:paraId="5096F243" w14:textId="77777777" w:rsidTr="00A02BEA">
        <w:trPr>
          <w:trHeight w:val="148"/>
        </w:trPr>
        <w:tc>
          <w:tcPr>
            <w:tcW w:w="567" w:type="dxa"/>
            <w:tcBorders>
              <w:top w:val="single" w:sz="4" w:space="0" w:color="014171"/>
            </w:tcBorders>
          </w:tcPr>
          <w:p w14:paraId="00213762" w14:textId="06D440AB" w:rsidR="004938F1" w:rsidRPr="0040745F" w:rsidRDefault="004938F1" w:rsidP="004938F1">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2</w:t>
            </w:r>
          </w:p>
        </w:tc>
        <w:tc>
          <w:tcPr>
            <w:tcW w:w="4111" w:type="dxa"/>
            <w:tcBorders>
              <w:top w:val="single" w:sz="4" w:space="0" w:color="014171"/>
            </w:tcBorders>
          </w:tcPr>
          <w:p w14:paraId="15566A4B" w14:textId="16CFEAD1" w:rsidR="004938F1" w:rsidRPr="0040745F" w:rsidRDefault="007503E3" w:rsidP="00A02BEA">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Sonstige Verbindlichkeiten</w:t>
            </w:r>
          </w:p>
        </w:tc>
        <w:tc>
          <w:tcPr>
            <w:tcW w:w="1701" w:type="dxa"/>
            <w:tcBorders>
              <w:top w:val="single" w:sz="4" w:space="0" w:color="014171"/>
            </w:tcBorders>
          </w:tcPr>
          <w:p w14:paraId="2F3881DC" w14:textId="417018B6" w:rsidR="004938F1" w:rsidRPr="0040745F" w:rsidRDefault="004938F1" w:rsidP="004938F1">
            <w:pPr>
              <w:autoSpaceDE w:val="0"/>
              <w:autoSpaceDN w:val="0"/>
              <w:adjustRightInd w:val="0"/>
              <w:spacing w:after="0"/>
              <w:jc w:val="right"/>
              <w:rPr>
                <w:rFonts w:ascii="Segoe UI" w:hAnsi="Segoe UI" w:cs="Segoe UI"/>
                <w:b/>
                <w:bCs/>
                <w:color w:val="014171"/>
                <w:sz w:val="18"/>
                <w:szCs w:val="18"/>
                <w:lang w:val="de-DE" w:eastAsia="en-GB"/>
              </w:rPr>
            </w:pPr>
            <w:r w:rsidRPr="0040745F">
              <w:rPr>
                <w:rFonts w:ascii="Segoe UI" w:hAnsi="Segoe UI" w:cs="Segoe UI"/>
                <w:color w:val="014171"/>
                <w:sz w:val="18"/>
                <w:szCs w:val="18"/>
                <w:lang w:val="de-DE"/>
              </w:rPr>
              <w:t>445</w:t>
            </w:r>
            <w:r w:rsidR="00275EAC"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 xml:space="preserve">25 </w:t>
            </w:r>
          </w:p>
        </w:tc>
        <w:tc>
          <w:tcPr>
            <w:tcW w:w="2888" w:type="dxa"/>
            <w:tcBorders>
              <w:top w:val="single" w:sz="4" w:space="0" w:color="014171"/>
            </w:tcBorders>
          </w:tcPr>
          <w:p w14:paraId="25DAA920" w14:textId="77777777" w:rsidR="004938F1" w:rsidRPr="0040745F" w:rsidRDefault="004938F1" w:rsidP="004938F1">
            <w:pPr>
              <w:autoSpaceDE w:val="0"/>
              <w:autoSpaceDN w:val="0"/>
              <w:adjustRightInd w:val="0"/>
              <w:spacing w:after="0"/>
              <w:jc w:val="both"/>
              <w:rPr>
                <w:rFonts w:ascii="Segoe UI" w:hAnsi="Segoe UI" w:cs="Segoe UI"/>
                <w:b/>
                <w:bCs/>
                <w:color w:val="014171"/>
                <w:sz w:val="18"/>
                <w:szCs w:val="18"/>
                <w:lang w:val="de-DE" w:eastAsia="en-GB"/>
              </w:rPr>
            </w:pPr>
          </w:p>
        </w:tc>
      </w:tr>
      <w:tr w:rsidR="004938F1" w:rsidRPr="0040745F" w14:paraId="5FBB9E64" w14:textId="77777777" w:rsidTr="00A02BEA">
        <w:trPr>
          <w:trHeight w:val="142"/>
        </w:trPr>
        <w:tc>
          <w:tcPr>
            <w:tcW w:w="567" w:type="dxa"/>
            <w:tcBorders>
              <w:top w:val="single" w:sz="4" w:space="0" w:color="014171"/>
              <w:bottom w:val="single" w:sz="4" w:space="0" w:color="014171"/>
            </w:tcBorders>
          </w:tcPr>
          <w:p w14:paraId="49D8D2AD" w14:textId="1B396FBE" w:rsidR="004938F1" w:rsidRPr="0040745F" w:rsidRDefault="004938F1" w:rsidP="004938F1">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3</w:t>
            </w:r>
          </w:p>
        </w:tc>
        <w:tc>
          <w:tcPr>
            <w:tcW w:w="4111" w:type="dxa"/>
            <w:tcBorders>
              <w:top w:val="single" w:sz="4" w:space="0" w:color="014171"/>
              <w:bottom w:val="single" w:sz="4" w:space="0" w:color="014171"/>
            </w:tcBorders>
          </w:tcPr>
          <w:p w14:paraId="1E1704A0" w14:textId="0470CE38" w:rsidR="004938F1" w:rsidRPr="0040745F" w:rsidRDefault="007503E3" w:rsidP="00A02BEA">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Rückstellungen</w:t>
            </w:r>
          </w:p>
        </w:tc>
        <w:tc>
          <w:tcPr>
            <w:tcW w:w="1701" w:type="dxa"/>
            <w:tcBorders>
              <w:top w:val="single" w:sz="4" w:space="0" w:color="014171"/>
              <w:bottom w:val="single" w:sz="4" w:space="0" w:color="014171"/>
            </w:tcBorders>
          </w:tcPr>
          <w:p w14:paraId="7419366E" w14:textId="41475D58" w:rsidR="004938F1" w:rsidRPr="0040745F" w:rsidRDefault="004938F1" w:rsidP="004938F1">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 xml:space="preserve"> </w:t>
            </w:r>
          </w:p>
        </w:tc>
        <w:tc>
          <w:tcPr>
            <w:tcW w:w="2888" w:type="dxa"/>
            <w:tcBorders>
              <w:top w:val="single" w:sz="4" w:space="0" w:color="014171"/>
              <w:bottom w:val="single" w:sz="4" w:space="0" w:color="014171"/>
            </w:tcBorders>
          </w:tcPr>
          <w:p w14:paraId="0649FEAB" w14:textId="77777777" w:rsidR="004938F1" w:rsidRPr="0040745F" w:rsidRDefault="004938F1" w:rsidP="004938F1">
            <w:pPr>
              <w:autoSpaceDE w:val="0"/>
              <w:autoSpaceDN w:val="0"/>
              <w:adjustRightInd w:val="0"/>
              <w:spacing w:after="0"/>
              <w:jc w:val="both"/>
              <w:rPr>
                <w:rFonts w:ascii="Segoe UI" w:hAnsi="Segoe UI" w:cs="Segoe UI"/>
                <w:color w:val="014171"/>
                <w:sz w:val="18"/>
                <w:szCs w:val="18"/>
                <w:lang w:val="de-DE" w:eastAsia="en-GB"/>
              </w:rPr>
            </w:pPr>
          </w:p>
        </w:tc>
      </w:tr>
      <w:tr w:rsidR="004938F1" w:rsidRPr="0040745F" w14:paraId="1B643DAA" w14:textId="77777777" w:rsidTr="00A02BEA">
        <w:trPr>
          <w:trHeight w:val="142"/>
        </w:trPr>
        <w:tc>
          <w:tcPr>
            <w:tcW w:w="567" w:type="dxa"/>
            <w:tcBorders>
              <w:top w:val="single" w:sz="4" w:space="0" w:color="014171"/>
              <w:bottom w:val="single" w:sz="4" w:space="0" w:color="014171"/>
            </w:tcBorders>
          </w:tcPr>
          <w:p w14:paraId="3BB84BFA" w14:textId="1DA47440" w:rsidR="004938F1" w:rsidRPr="0040745F" w:rsidRDefault="004938F1" w:rsidP="004938F1">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3a</w:t>
            </w:r>
          </w:p>
        </w:tc>
        <w:tc>
          <w:tcPr>
            <w:tcW w:w="4111" w:type="dxa"/>
            <w:tcBorders>
              <w:top w:val="single" w:sz="4" w:space="0" w:color="014171"/>
              <w:bottom w:val="single" w:sz="4" w:space="0" w:color="014171"/>
            </w:tcBorders>
          </w:tcPr>
          <w:p w14:paraId="28479402" w14:textId="76A3F47C" w:rsidR="004938F1" w:rsidRPr="0040745F" w:rsidRDefault="007503E3" w:rsidP="0074724B">
            <w:pPr>
              <w:autoSpaceDE w:val="0"/>
              <w:autoSpaceDN w:val="0"/>
              <w:adjustRightInd w:val="0"/>
              <w:spacing w:after="0"/>
              <w:ind w:left="113"/>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andere Rückstellungen</w:t>
            </w:r>
          </w:p>
        </w:tc>
        <w:tc>
          <w:tcPr>
            <w:tcW w:w="1701" w:type="dxa"/>
            <w:tcBorders>
              <w:top w:val="single" w:sz="4" w:space="0" w:color="014171"/>
              <w:bottom w:val="single" w:sz="4" w:space="0" w:color="014171"/>
            </w:tcBorders>
          </w:tcPr>
          <w:p w14:paraId="5D05D090" w14:textId="63472119" w:rsidR="004938F1" w:rsidRPr="0040745F" w:rsidRDefault="004938F1" w:rsidP="004938F1">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1</w:t>
            </w:r>
            <w:r w:rsidR="00275EAC"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476</w:t>
            </w:r>
            <w:r w:rsidR="00275EAC"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 xml:space="preserve">40 </w:t>
            </w:r>
          </w:p>
        </w:tc>
        <w:tc>
          <w:tcPr>
            <w:tcW w:w="2888" w:type="dxa"/>
            <w:tcBorders>
              <w:top w:val="single" w:sz="4" w:space="0" w:color="014171"/>
              <w:bottom w:val="single" w:sz="4" w:space="0" w:color="014171"/>
            </w:tcBorders>
          </w:tcPr>
          <w:p w14:paraId="431F1B39" w14:textId="77777777" w:rsidR="004938F1" w:rsidRPr="0040745F" w:rsidRDefault="004938F1" w:rsidP="004938F1">
            <w:pPr>
              <w:autoSpaceDE w:val="0"/>
              <w:autoSpaceDN w:val="0"/>
              <w:adjustRightInd w:val="0"/>
              <w:spacing w:after="0"/>
              <w:jc w:val="both"/>
              <w:rPr>
                <w:rFonts w:ascii="Segoe UI" w:hAnsi="Segoe UI" w:cs="Segoe UI"/>
                <w:color w:val="014171"/>
                <w:sz w:val="18"/>
                <w:szCs w:val="18"/>
                <w:lang w:val="de-DE" w:eastAsia="en-GB"/>
              </w:rPr>
            </w:pPr>
          </w:p>
        </w:tc>
      </w:tr>
      <w:tr w:rsidR="004938F1" w:rsidRPr="0040745F" w14:paraId="120FC623" w14:textId="77777777" w:rsidTr="00A02BEA">
        <w:trPr>
          <w:trHeight w:val="142"/>
        </w:trPr>
        <w:tc>
          <w:tcPr>
            <w:tcW w:w="567" w:type="dxa"/>
            <w:tcBorders>
              <w:top w:val="single" w:sz="4" w:space="0" w:color="014171"/>
              <w:bottom w:val="single" w:sz="4" w:space="0" w:color="014171"/>
            </w:tcBorders>
          </w:tcPr>
          <w:p w14:paraId="6F9E6212" w14:textId="486CD783" w:rsidR="004938F1" w:rsidRPr="0040745F" w:rsidRDefault="004938F1" w:rsidP="004938F1">
            <w:pPr>
              <w:autoSpaceDE w:val="0"/>
              <w:autoSpaceDN w:val="0"/>
              <w:adjustRightInd w:val="0"/>
              <w:spacing w:after="0"/>
              <w:jc w:val="both"/>
              <w:rPr>
                <w:rFonts w:ascii="Segoe UI" w:hAnsi="Segoe UI" w:cs="Segoe UI"/>
                <w:b/>
                <w:color w:val="014171"/>
                <w:sz w:val="18"/>
                <w:szCs w:val="18"/>
                <w:lang w:val="de-DE" w:eastAsia="en-GB"/>
              </w:rPr>
            </w:pPr>
            <w:r w:rsidRPr="0040745F">
              <w:rPr>
                <w:rFonts w:ascii="Segoe UI" w:hAnsi="Segoe UI" w:cs="Segoe UI"/>
                <w:b/>
                <w:color w:val="014171"/>
                <w:sz w:val="18"/>
                <w:szCs w:val="18"/>
                <w:lang w:val="de-DE"/>
              </w:rPr>
              <w:t>4</w:t>
            </w:r>
          </w:p>
        </w:tc>
        <w:tc>
          <w:tcPr>
            <w:tcW w:w="4111" w:type="dxa"/>
            <w:tcBorders>
              <w:top w:val="single" w:sz="4" w:space="0" w:color="014171"/>
              <w:bottom w:val="single" w:sz="4" w:space="0" w:color="014171"/>
            </w:tcBorders>
          </w:tcPr>
          <w:p w14:paraId="2A253909" w14:textId="3ACDB29F" w:rsidR="004938F1" w:rsidRPr="0040745F" w:rsidRDefault="007503E3" w:rsidP="00A02BEA">
            <w:pPr>
              <w:autoSpaceDE w:val="0"/>
              <w:autoSpaceDN w:val="0"/>
              <w:adjustRightInd w:val="0"/>
              <w:spacing w:after="0"/>
              <w:jc w:val="both"/>
              <w:rPr>
                <w:rFonts w:ascii="Segoe UI" w:hAnsi="Segoe UI" w:cs="Segoe UI"/>
                <w:b/>
                <w:color w:val="014171"/>
                <w:sz w:val="18"/>
                <w:szCs w:val="18"/>
                <w:lang w:val="de-DE" w:eastAsia="en-GB"/>
              </w:rPr>
            </w:pPr>
            <w:r w:rsidRPr="0040745F">
              <w:rPr>
                <w:rFonts w:ascii="Segoe UI" w:hAnsi="Segoe UI" w:cs="Segoe UI"/>
                <w:b/>
                <w:color w:val="014171"/>
                <w:sz w:val="18"/>
                <w:szCs w:val="18"/>
                <w:lang w:val="de-DE"/>
              </w:rPr>
              <w:t>Eigenkapital</w:t>
            </w:r>
          </w:p>
        </w:tc>
        <w:tc>
          <w:tcPr>
            <w:tcW w:w="1701" w:type="dxa"/>
            <w:tcBorders>
              <w:top w:val="single" w:sz="4" w:space="0" w:color="014171"/>
              <w:bottom w:val="single" w:sz="4" w:space="0" w:color="014171"/>
            </w:tcBorders>
          </w:tcPr>
          <w:p w14:paraId="7109E8B5" w14:textId="3B5AEB4C" w:rsidR="004938F1" w:rsidRPr="0040745F" w:rsidRDefault="004938F1" w:rsidP="004938F1">
            <w:pPr>
              <w:autoSpaceDE w:val="0"/>
              <w:autoSpaceDN w:val="0"/>
              <w:adjustRightInd w:val="0"/>
              <w:spacing w:after="0"/>
              <w:jc w:val="right"/>
              <w:rPr>
                <w:rFonts w:ascii="Segoe UI" w:hAnsi="Segoe UI" w:cs="Segoe UI"/>
                <w:b/>
                <w:color w:val="014171"/>
                <w:sz w:val="18"/>
                <w:szCs w:val="18"/>
                <w:lang w:val="de-DE" w:eastAsia="en-GB"/>
              </w:rPr>
            </w:pPr>
            <w:r w:rsidRPr="0040745F">
              <w:rPr>
                <w:rFonts w:ascii="Segoe UI" w:hAnsi="Segoe UI" w:cs="Segoe UI"/>
                <w:b/>
                <w:color w:val="014171"/>
                <w:sz w:val="18"/>
                <w:szCs w:val="18"/>
                <w:lang w:val="de-DE"/>
              </w:rPr>
              <w:t>31</w:t>
            </w:r>
            <w:r w:rsidR="00275EAC" w:rsidRPr="0040745F">
              <w:rPr>
                <w:rFonts w:ascii="Segoe UI" w:hAnsi="Segoe UI" w:cs="Segoe UI"/>
                <w:b/>
                <w:color w:val="014171"/>
                <w:sz w:val="18"/>
                <w:szCs w:val="18"/>
                <w:lang w:val="de-DE"/>
              </w:rPr>
              <w:t>.</w:t>
            </w:r>
            <w:r w:rsidRPr="0040745F">
              <w:rPr>
                <w:rFonts w:ascii="Segoe UI" w:hAnsi="Segoe UI" w:cs="Segoe UI"/>
                <w:b/>
                <w:color w:val="014171"/>
                <w:sz w:val="18"/>
                <w:szCs w:val="18"/>
                <w:lang w:val="de-DE"/>
              </w:rPr>
              <w:t>683</w:t>
            </w:r>
            <w:r w:rsidR="00275EAC" w:rsidRPr="0040745F">
              <w:rPr>
                <w:rFonts w:ascii="Segoe UI" w:hAnsi="Segoe UI" w:cs="Segoe UI"/>
                <w:b/>
                <w:color w:val="014171"/>
                <w:sz w:val="18"/>
                <w:szCs w:val="18"/>
                <w:lang w:val="de-DE"/>
              </w:rPr>
              <w:t>,</w:t>
            </w:r>
            <w:r w:rsidRPr="0040745F">
              <w:rPr>
                <w:rFonts w:ascii="Segoe UI" w:hAnsi="Segoe UI" w:cs="Segoe UI"/>
                <w:b/>
                <w:color w:val="014171"/>
                <w:sz w:val="18"/>
                <w:szCs w:val="18"/>
                <w:lang w:val="de-DE"/>
              </w:rPr>
              <w:t xml:space="preserve">48 </w:t>
            </w:r>
          </w:p>
        </w:tc>
        <w:tc>
          <w:tcPr>
            <w:tcW w:w="2888" w:type="dxa"/>
            <w:tcBorders>
              <w:top w:val="single" w:sz="4" w:space="0" w:color="014171"/>
              <w:bottom w:val="single" w:sz="4" w:space="0" w:color="014171"/>
            </w:tcBorders>
          </w:tcPr>
          <w:p w14:paraId="24314AD0" w14:textId="77777777" w:rsidR="004938F1" w:rsidRPr="0040745F" w:rsidRDefault="004938F1" w:rsidP="004938F1">
            <w:pPr>
              <w:autoSpaceDE w:val="0"/>
              <w:autoSpaceDN w:val="0"/>
              <w:adjustRightInd w:val="0"/>
              <w:spacing w:after="0"/>
              <w:jc w:val="both"/>
              <w:rPr>
                <w:rFonts w:ascii="Segoe UI" w:hAnsi="Segoe UI" w:cs="Segoe UI"/>
                <w:b/>
                <w:color w:val="014171"/>
                <w:sz w:val="18"/>
                <w:szCs w:val="18"/>
                <w:lang w:val="de-DE" w:eastAsia="en-GB"/>
              </w:rPr>
            </w:pPr>
          </w:p>
        </w:tc>
      </w:tr>
      <w:tr w:rsidR="004938F1" w:rsidRPr="0040745F" w14:paraId="251D4159" w14:textId="77777777" w:rsidTr="00A02BEA">
        <w:trPr>
          <w:trHeight w:val="274"/>
        </w:trPr>
        <w:tc>
          <w:tcPr>
            <w:tcW w:w="567" w:type="dxa"/>
            <w:tcBorders>
              <w:top w:val="single" w:sz="4" w:space="0" w:color="014171"/>
              <w:bottom w:val="single" w:sz="4" w:space="0" w:color="014171"/>
            </w:tcBorders>
          </w:tcPr>
          <w:p w14:paraId="0230E584" w14:textId="7804B3DC" w:rsidR="004938F1" w:rsidRPr="0040745F" w:rsidRDefault="004938F1" w:rsidP="004938F1">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4a</w:t>
            </w:r>
          </w:p>
        </w:tc>
        <w:tc>
          <w:tcPr>
            <w:tcW w:w="4111" w:type="dxa"/>
            <w:tcBorders>
              <w:top w:val="single" w:sz="4" w:space="0" w:color="014171"/>
              <w:bottom w:val="single" w:sz="4" w:space="0" w:color="014171"/>
            </w:tcBorders>
          </w:tcPr>
          <w:p w14:paraId="28E1A04B" w14:textId="179FED16" w:rsidR="004938F1" w:rsidRPr="0040745F" w:rsidRDefault="007503E3" w:rsidP="0074724B">
            <w:pPr>
              <w:autoSpaceDE w:val="0"/>
              <w:autoSpaceDN w:val="0"/>
              <w:adjustRightInd w:val="0"/>
              <w:spacing w:after="0"/>
              <w:ind w:left="113"/>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gezeichnetes Kapital</w:t>
            </w:r>
          </w:p>
        </w:tc>
        <w:tc>
          <w:tcPr>
            <w:tcW w:w="1701" w:type="dxa"/>
            <w:tcBorders>
              <w:top w:val="single" w:sz="4" w:space="0" w:color="014171"/>
              <w:bottom w:val="single" w:sz="4" w:space="0" w:color="014171"/>
            </w:tcBorders>
          </w:tcPr>
          <w:p w14:paraId="72CF1E95" w14:textId="402D5275" w:rsidR="004938F1" w:rsidRPr="0040745F" w:rsidRDefault="004938F1" w:rsidP="004938F1">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35</w:t>
            </w:r>
            <w:r w:rsidR="00275EAC"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000</w:t>
            </w:r>
            <w:r w:rsidR="00275EAC"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 xml:space="preserve">00 </w:t>
            </w:r>
          </w:p>
        </w:tc>
        <w:tc>
          <w:tcPr>
            <w:tcW w:w="2888" w:type="dxa"/>
            <w:tcBorders>
              <w:top w:val="single" w:sz="4" w:space="0" w:color="014171"/>
              <w:bottom w:val="single" w:sz="4" w:space="0" w:color="014171"/>
            </w:tcBorders>
          </w:tcPr>
          <w:p w14:paraId="0ED539F6" w14:textId="25C12A3F" w:rsidR="004938F1" w:rsidRPr="0040745F" w:rsidRDefault="00275EAC" w:rsidP="004938F1">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Zeile</w:t>
            </w:r>
            <w:r w:rsidR="004938F1" w:rsidRPr="0040745F">
              <w:rPr>
                <w:rFonts w:ascii="Segoe UI" w:hAnsi="Segoe UI" w:cs="Segoe UI"/>
                <w:color w:val="014171"/>
                <w:sz w:val="18"/>
                <w:szCs w:val="18"/>
                <w:lang w:val="de-DE" w:eastAsia="en-GB"/>
              </w:rPr>
              <w:t xml:space="preserve"> 4</w:t>
            </w:r>
          </w:p>
        </w:tc>
      </w:tr>
      <w:tr w:rsidR="004938F1" w:rsidRPr="0040745F" w14:paraId="7FDEF979" w14:textId="77777777" w:rsidTr="00A02BEA">
        <w:trPr>
          <w:trHeight w:val="274"/>
        </w:trPr>
        <w:tc>
          <w:tcPr>
            <w:tcW w:w="567" w:type="dxa"/>
            <w:tcBorders>
              <w:top w:val="single" w:sz="4" w:space="0" w:color="014171"/>
            </w:tcBorders>
          </w:tcPr>
          <w:p w14:paraId="6E60C8E6" w14:textId="47DAD4FB" w:rsidR="004938F1" w:rsidRPr="0040745F" w:rsidRDefault="004938F1" w:rsidP="004938F1">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4b</w:t>
            </w:r>
          </w:p>
        </w:tc>
        <w:tc>
          <w:tcPr>
            <w:tcW w:w="4111" w:type="dxa"/>
            <w:tcBorders>
              <w:top w:val="single" w:sz="4" w:space="0" w:color="014171"/>
            </w:tcBorders>
          </w:tcPr>
          <w:p w14:paraId="12080A08" w14:textId="7E7E8142" w:rsidR="004938F1" w:rsidRPr="0040745F" w:rsidRDefault="007503E3" w:rsidP="0074724B">
            <w:pPr>
              <w:autoSpaceDE w:val="0"/>
              <w:autoSpaceDN w:val="0"/>
              <w:adjustRightInd w:val="0"/>
              <w:spacing w:after="0"/>
              <w:ind w:left="113"/>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rPr>
              <w:t>Bilanzgewinn/-verlust</w:t>
            </w:r>
          </w:p>
        </w:tc>
        <w:tc>
          <w:tcPr>
            <w:tcW w:w="1701" w:type="dxa"/>
            <w:tcBorders>
              <w:top w:val="single" w:sz="4" w:space="0" w:color="014171"/>
            </w:tcBorders>
          </w:tcPr>
          <w:p w14:paraId="59758CBA" w14:textId="4DC713B7" w:rsidR="004938F1" w:rsidRPr="0040745F" w:rsidRDefault="004938F1" w:rsidP="004938F1">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rPr>
              <w:t>-3</w:t>
            </w:r>
            <w:r w:rsidR="00275EAC"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316</w:t>
            </w:r>
            <w:r w:rsidR="00275EAC" w:rsidRPr="0040745F">
              <w:rPr>
                <w:rFonts w:ascii="Segoe UI" w:hAnsi="Segoe UI" w:cs="Segoe UI"/>
                <w:color w:val="014171"/>
                <w:sz w:val="18"/>
                <w:szCs w:val="18"/>
                <w:lang w:val="de-DE"/>
              </w:rPr>
              <w:t>,</w:t>
            </w:r>
            <w:r w:rsidRPr="0040745F">
              <w:rPr>
                <w:rFonts w:ascii="Segoe UI" w:hAnsi="Segoe UI" w:cs="Segoe UI"/>
                <w:color w:val="014171"/>
                <w:sz w:val="18"/>
                <w:szCs w:val="18"/>
                <w:lang w:val="de-DE"/>
              </w:rPr>
              <w:t xml:space="preserve">52 </w:t>
            </w:r>
          </w:p>
        </w:tc>
        <w:tc>
          <w:tcPr>
            <w:tcW w:w="2888" w:type="dxa"/>
            <w:tcBorders>
              <w:top w:val="single" w:sz="4" w:space="0" w:color="014171"/>
            </w:tcBorders>
          </w:tcPr>
          <w:p w14:paraId="0DA4A1C7" w14:textId="694C3C14" w:rsidR="004938F1" w:rsidRPr="0040745F" w:rsidRDefault="00275EAC" w:rsidP="004938F1">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Zeile</w:t>
            </w:r>
            <w:r w:rsidR="004938F1" w:rsidRPr="0040745F">
              <w:rPr>
                <w:rFonts w:ascii="Segoe UI" w:hAnsi="Segoe UI" w:cs="Segoe UI"/>
                <w:color w:val="014171"/>
                <w:sz w:val="18"/>
                <w:szCs w:val="18"/>
                <w:lang w:val="de-DE" w:eastAsia="en-GB"/>
              </w:rPr>
              <w:t xml:space="preserve"> 6</w:t>
            </w:r>
          </w:p>
        </w:tc>
      </w:tr>
      <w:tr w:rsidR="004938F1" w:rsidRPr="0040745F" w14:paraId="6680D5D3" w14:textId="77777777" w:rsidTr="00A02BEA">
        <w:trPr>
          <w:trHeight w:val="274"/>
        </w:trPr>
        <w:tc>
          <w:tcPr>
            <w:tcW w:w="567" w:type="dxa"/>
            <w:tcBorders>
              <w:top w:val="single" w:sz="4" w:space="0" w:color="014171"/>
              <w:bottom w:val="single" w:sz="12" w:space="0" w:color="014171"/>
            </w:tcBorders>
          </w:tcPr>
          <w:p w14:paraId="1798F24F" w14:textId="0842C5EE" w:rsidR="007C1172" w:rsidRPr="0040745F" w:rsidRDefault="004938F1" w:rsidP="002F3D1B">
            <w:pPr>
              <w:autoSpaceDE w:val="0"/>
              <w:autoSpaceDN w:val="0"/>
              <w:adjustRightInd w:val="0"/>
              <w:spacing w:after="0"/>
              <w:jc w:val="both"/>
              <w:rPr>
                <w:rFonts w:ascii="Segoe UI" w:hAnsi="Segoe UI" w:cs="Segoe UI"/>
                <w:b/>
                <w:color w:val="014171"/>
                <w:sz w:val="18"/>
                <w:szCs w:val="18"/>
                <w:lang w:val="de-DE" w:eastAsia="en-GB"/>
              </w:rPr>
            </w:pPr>
            <w:r w:rsidRPr="0040745F">
              <w:rPr>
                <w:rFonts w:ascii="Segoe UI" w:hAnsi="Segoe UI" w:cs="Segoe UI"/>
                <w:b/>
                <w:color w:val="014171"/>
                <w:sz w:val="18"/>
                <w:szCs w:val="18"/>
                <w:lang w:val="de-DE"/>
              </w:rPr>
              <w:t>5</w:t>
            </w:r>
          </w:p>
        </w:tc>
        <w:tc>
          <w:tcPr>
            <w:tcW w:w="4111" w:type="dxa"/>
            <w:tcBorders>
              <w:top w:val="single" w:sz="4" w:space="0" w:color="014171"/>
              <w:bottom w:val="single" w:sz="12" w:space="0" w:color="014171"/>
            </w:tcBorders>
          </w:tcPr>
          <w:p w14:paraId="61946D48" w14:textId="2CA9BAFC" w:rsidR="007C1172" w:rsidRPr="0040745F" w:rsidRDefault="007503E3">
            <w:pPr>
              <w:autoSpaceDE w:val="0"/>
              <w:autoSpaceDN w:val="0"/>
              <w:adjustRightInd w:val="0"/>
              <w:spacing w:after="0"/>
              <w:jc w:val="both"/>
              <w:rPr>
                <w:rFonts w:ascii="Segoe UI" w:hAnsi="Segoe UI" w:cs="Segoe UI"/>
                <w:b/>
                <w:color w:val="014171"/>
                <w:sz w:val="18"/>
                <w:szCs w:val="18"/>
                <w:lang w:val="de-DE" w:eastAsia="en-GB"/>
              </w:rPr>
            </w:pPr>
            <w:r w:rsidRPr="0040745F">
              <w:rPr>
                <w:rFonts w:ascii="Segoe UI" w:hAnsi="Segoe UI" w:cs="Segoe UI"/>
                <w:b/>
                <w:color w:val="014171"/>
                <w:sz w:val="18"/>
                <w:szCs w:val="18"/>
                <w:lang w:val="de-DE"/>
              </w:rPr>
              <w:t>PASSIVA GESAMT</w:t>
            </w:r>
          </w:p>
        </w:tc>
        <w:tc>
          <w:tcPr>
            <w:tcW w:w="1701" w:type="dxa"/>
            <w:tcBorders>
              <w:top w:val="single" w:sz="4" w:space="0" w:color="014171"/>
              <w:bottom w:val="single" w:sz="12" w:space="0" w:color="014171"/>
            </w:tcBorders>
          </w:tcPr>
          <w:p w14:paraId="16313FEC" w14:textId="2461E626" w:rsidR="007C1172" w:rsidRPr="0040745F" w:rsidRDefault="004938F1" w:rsidP="002F3D1B">
            <w:pPr>
              <w:autoSpaceDE w:val="0"/>
              <w:autoSpaceDN w:val="0"/>
              <w:adjustRightInd w:val="0"/>
              <w:spacing w:after="0"/>
              <w:jc w:val="right"/>
              <w:rPr>
                <w:rFonts w:ascii="Segoe UI" w:hAnsi="Segoe UI" w:cs="Segoe UI"/>
                <w:b/>
                <w:color w:val="014171"/>
                <w:sz w:val="18"/>
                <w:szCs w:val="18"/>
                <w:lang w:val="de-DE" w:eastAsia="en-GB"/>
              </w:rPr>
            </w:pPr>
            <w:r w:rsidRPr="0040745F">
              <w:rPr>
                <w:rFonts w:ascii="Segoe UI" w:hAnsi="Segoe UI" w:cs="Segoe UI"/>
                <w:b/>
                <w:color w:val="014171"/>
                <w:sz w:val="18"/>
                <w:szCs w:val="18"/>
                <w:lang w:val="de-DE"/>
              </w:rPr>
              <w:t>316</w:t>
            </w:r>
            <w:r w:rsidR="00275EAC" w:rsidRPr="0040745F">
              <w:rPr>
                <w:rFonts w:ascii="Segoe UI" w:hAnsi="Segoe UI" w:cs="Segoe UI"/>
                <w:b/>
                <w:color w:val="014171"/>
                <w:sz w:val="18"/>
                <w:szCs w:val="18"/>
                <w:lang w:val="de-DE"/>
              </w:rPr>
              <w:t>.</w:t>
            </w:r>
            <w:r w:rsidRPr="0040745F">
              <w:rPr>
                <w:rFonts w:ascii="Segoe UI" w:hAnsi="Segoe UI" w:cs="Segoe UI"/>
                <w:b/>
                <w:color w:val="014171"/>
                <w:sz w:val="18"/>
                <w:szCs w:val="18"/>
                <w:lang w:val="de-DE"/>
              </w:rPr>
              <w:t>907</w:t>
            </w:r>
            <w:r w:rsidR="00275EAC" w:rsidRPr="0040745F">
              <w:rPr>
                <w:rFonts w:ascii="Segoe UI" w:hAnsi="Segoe UI" w:cs="Segoe UI"/>
                <w:b/>
                <w:color w:val="014171"/>
                <w:sz w:val="18"/>
                <w:szCs w:val="18"/>
                <w:lang w:val="de-DE"/>
              </w:rPr>
              <w:t>,</w:t>
            </w:r>
            <w:r w:rsidRPr="0040745F">
              <w:rPr>
                <w:rFonts w:ascii="Segoe UI" w:hAnsi="Segoe UI" w:cs="Segoe UI"/>
                <w:b/>
                <w:color w:val="014171"/>
                <w:sz w:val="18"/>
                <w:szCs w:val="18"/>
                <w:lang w:val="de-DE"/>
              </w:rPr>
              <w:t>22</w:t>
            </w:r>
          </w:p>
        </w:tc>
        <w:tc>
          <w:tcPr>
            <w:tcW w:w="2888" w:type="dxa"/>
            <w:tcBorders>
              <w:top w:val="single" w:sz="4" w:space="0" w:color="014171"/>
              <w:bottom w:val="single" w:sz="12" w:space="0" w:color="014171"/>
            </w:tcBorders>
          </w:tcPr>
          <w:p w14:paraId="7A6DEF43" w14:textId="77777777" w:rsidR="007C1172" w:rsidRPr="0040745F" w:rsidRDefault="007C1172" w:rsidP="002F3D1B">
            <w:pPr>
              <w:autoSpaceDE w:val="0"/>
              <w:autoSpaceDN w:val="0"/>
              <w:adjustRightInd w:val="0"/>
              <w:spacing w:after="0"/>
              <w:jc w:val="both"/>
              <w:rPr>
                <w:rFonts w:ascii="Segoe UI" w:hAnsi="Segoe UI" w:cs="Segoe UI"/>
                <w:b/>
                <w:color w:val="014171"/>
                <w:sz w:val="18"/>
                <w:szCs w:val="18"/>
                <w:lang w:val="de-DE" w:eastAsia="en-GB"/>
              </w:rPr>
            </w:pPr>
          </w:p>
        </w:tc>
      </w:tr>
    </w:tbl>
    <w:p w14:paraId="41186F96" w14:textId="5AC70855" w:rsidR="002034F4" w:rsidRPr="0040745F" w:rsidRDefault="00C573D9" w:rsidP="00A02BEA">
      <w:pPr>
        <w:pStyle w:val="Heading2"/>
        <w:rPr>
          <w:lang w:val="de-DE"/>
        </w:rPr>
      </w:pPr>
      <w:bookmarkStart w:id="58" w:name="_Toc120891006"/>
      <w:bookmarkStart w:id="59" w:name="_Toc123138022"/>
      <w:bookmarkEnd w:id="58"/>
      <w:r w:rsidRPr="0040745F">
        <w:rPr>
          <w:lang w:val="de-DE"/>
        </w:rPr>
        <w:lastRenderedPageBreak/>
        <w:t>Hauptmerkmale der Eigenmittel der DCMD</w:t>
      </w:r>
      <w:bookmarkEnd w:id="59"/>
    </w:p>
    <w:p w14:paraId="61A10638" w14:textId="387D5312" w:rsidR="00261A48" w:rsidRPr="0040745F" w:rsidRDefault="008D7060" w:rsidP="00A02BEA">
      <w:pPr>
        <w:spacing w:after="0"/>
        <w:jc w:val="both"/>
        <w:rPr>
          <w:rFonts w:ascii="Segoe UI" w:hAnsi="Segoe UI" w:cs="Segoe UI"/>
          <w:color w:val="014171"/>
          <w:lang w:val="de-DE"/>
        </w:rPr>
      </w:pPr>
      <w:r w:rsidRPr="0040745F">
        <w:rPr>
          <w:rFonts w:ascii="Segoe UI" w:hAnsi="Segoe UI" w:cs="Segoe UI"/>
          <w:color w:val="014171"/>
          <w:lang w:val="de-DE"/>
        </w:rPr>
        <w:t xml:space="preserve">Die </w:t>
      </w:r>
      <w:r w:rsidR="00313E3A" w:rsidRPr="0040745F">
        <w:rPr>
          <w:rFonts w:ascii="Segoe UI" w:hAnsi="Segoe UI" w:cs="Segoe UI"/>
          <w:color w:val="014171"/>
          <w:lang w:val="de-DE"/>
        </w:rPr>
        <w:t xml:space="preserve">untenstehende </w:t>
      </w:r>
      <w:r w:rsidRPr="0040745F">
        <w:rPr>
          <w:rFonts w:ascii="Segoe UI" w:hAnsi="Segoe UI" w:cs="Segoe UI"/>
          <w:color w:val="014171"/>
          <w:lang w:val="de-DE"/>
        </w:rPr>
        <w:t xml:space="preserve">Tabelle zeigt die </w:t>
      </w:r>
      <w:r w:rsidR="004C568B" w:rsidRPr="0040745F">
        <w:rPr>
          <w:rFonts w:ascii="Segoe UI" w:hAnsi="Segoe UI" w:cs="Segoe UI"/>
          <w:color w:val="014171"/>
          <w:lang w:val="de-DE"/>
        </w:rPr>
        <w:t>Struktur</w:t>
      </w:r>
      <w:r w:rsidRPr="0040745F">
        <w:rPr>
          <w:rFonts w:ascii="Segoe UI" w:hAnsi="Segoe UI" w:cs="Segoe UI"/>
          <w:color w:val="014171"/>
          <w:lang w:val="de-DE"/>
        </w:rPr>
        <w:t xml:space="preserve"> der ausgegebenen Kapitalanteile von DCMD zum 31. März 2022.</w:t>
      </w:r>
    </w:p>
    <w:p w14:paraId="6097ACDB" w14:textId="77777777" w:rsidR="00261A48" w:rsidRPr="0040745F" w:rsidRDefault="00261A48" w:rsidP="00A02BEA">
      <w:pPr>
        <w:spacing w:after="0"/>
        <w:jc w:val="both"/>
        <w:rPr>
          <w:rFonts w:ascii="Segoe UI" w:hAnsi="Segoe UI" w:cs="Segoe UI"/>
          <w:color w:val="014171"/>
          <w:lang w:val="de-DE"/>
        </w:rPr>
      </w:pPr>
    </w:p>
    <w:p w14:paraId="04117AA7" w14:textId="790A813F" w:rsidR="002F3D1B" w:rsidRPr="0040745F" w:rsidRDefault="002F3D1B" w:rsidP="0074724B">
      <w:pPr>
        <w:spacing w:after="0"/>
        <w:jc w:val="center"/>
        <w:rPr>
          <w:rFonts w:ascii="Segoe UI" w:hAnsi="Segoe UI" w:cs="Segoe UI"/>
          <w:b/>
          <w:color w:val="014171"/>
          <w:lang w:val="de-DE"/>
        </w:rPr>
      </w:pPr>
      <w:r w:rsidRPr="0040745F">
        <w:rPr>
          <w:rFonts w:ascii="Segoe UI" w:hAnsi="Segoe UI" w:cs="Segoe UI"/>
          <w:b/>
          <w:color w:val="014171"/>
          <w:lang w:val="de-DE"/>
        </w:rPr>
        <w:t>Tab</w:t>
      </w:r>
      <w:r w:rsidR="00C573D9" w:rsidRPr="0040745F">
        <w:rPr>
          <w:rFonts w:ascii="Segoe UI" w:hAnsi="Segoe UI" w:cs="Segoe UI"/>
          <w:b/>
          <w:color w:val="014171"/>
          <w:lang w:val="de-DE"/>
        </w:rPr>
        <w:t>elle</w:t>
      </w:r>
      <w:r w:rsidRPr="0040745F">
        <w:rPr>
          <w:rFonts w:ascii="Segoe UI" w:hAnsi="Segoe UI" w:cs="Segoe UI"/>
          <w:b/>
          <w:color w:val="014171"/>
          <w:lang w:val="de-DE"/>
        </w:rPr>
        <w:t xml:space="preserve"> 3 </w:t>
      </w:r>
      <w:r w:rsidR="00C573D9" w:rsidRPr="0040745F">
        <w:rPr>
          <w:rFonts w:ascii="Segoe UI" w:hAnsi="Segoe UI" w:cs="Segoe UI"/>
          <w:b/>
          <w:color w:val="014171"/>
          <w:lang w:val="de-DE"/>
        </w:rPr>
        <w:t>–</w:t>
      </w:r>
      <w:r w:rsidRPr="0040745F">
        <w:rPr>
          <w:rFonts w:ascii="Segoe UI" w:hAnsi="Segoe UI" w:cs="Segoe UI"/>
          <w:b/>
          <w:color w:val="014171"/>
          <w:lang w:val="de-DE"/>
        </w:rPr>
        <w:t xml:space="preserve"> </w:t>
      </w:r>
      <w:r w:rsidR="00C573D9" w:rsidRPr="0040745F">
        <w:rPr>
          <w:rFonts w:ascii="Segoe UI" w:hAnsi="Segoe UI" w:cs="Segoe UI"/>
          <w:b/>
          <w:color w:val="014171"/>
          <w:lang w:val="de-DE"/>
        </w:rPr>
        <w:t>Hauptmerkmale der Eigenmittel der DCMD</w:t>
      </w:r>
      <w:r w:rsidRPr="0040745F">
        <w:rPr>
          <w:rFonts w:ascii="Segoe UI" w:hAnsi="Segoe UI" w:cs="Segoe UI"/>
          <w:b/>
          <w:color w:val="014171"/>
          <w:lang w:val="de-DE"/>
        </w:rPr>
        <w:t xml:space="preserve"> (EU IF CC</w:t>
      </w:r>
      <w:r w:rsidR="00261A48" w:rsidRPr="0040745F">
        <w:rPr>
          <w:rFonts w:ascii="Segoe UI" w:hAnsi="Segoe UI" w:cs="Segoe UI"/>
          <w:b/>
          <w:color w:val="014171"/>
          <w:lang w:val="de-DE"/>
        </w:rPr>
        <w:t>A</w:t>
      </w:r>
      <w:r w:rsidRPr="0040745F">
        <w:rPr>
          <w:rFonts w:ascii="Segoe UI" w:hAnsi="Segoe UI" w:cs="Segoe UI"/>
          <w:b/>
          <w:color w:val="014171"/>
          <w:lang w:val="de-DE"/>
        </w:rPr>
        <w:t>)</w:t>
      </w:r>
    </w:p>
    <w:p w14:paraId="30FCAFCE" w14:textId="77777777" w:rsidR="002F3D1B" w:rsidRPr="0040745F" w:rsidRDefault="002F3D1B" w:rsidP="002F3D1B">
      <w:pPr>
        <w:spacing w:after="0"/>
        <w:jc w:val="center"/>
        <w:rPr>
          <w:rFonts w:ascii="Segoe UI" w:hAnsi="Segoe UI" w:cs="Segoe UI"/>
          <w:color w:val="014171"/>
          <w:lang w:val="de-DE"/>
        </w:rPr>
      </w:pPr>
    </w:p>
    <w:tbl>
      <w:tblPr>
        <w:tblW w:w="9267" w:type="dxa"/>
        <w:tblLayout w:type="fixed"/>
        <w:tblLook w:val="0000" w:firstRow="0" w:lastRow="0" w:firstColumn="0" w:lastColumn="0" w:noHBand="0" w:noVBand="0"/>
      </w:tblPr>
      <w:tblGrid>
        <w:gridCol w:w="567"/>
        <w:gridCol w:w="5103"/>
        <w:gridCol w:w="3597"/>
      </w:tblGrid>
      <w:tr w:rsidR="00261A48" w:rsidRPr="0040745F" w14:paraId="02E452FC" w14:textId="77777777" w:rsidTr="00A02BEA">
        <w:trPr>
          <w:trHeight w:val="148"/>
        </w:trPr>
        <w:tc>
          <w:tcPr>
            <w:tcW w:w="567" w:type="dxa"/>
            <w:tcBorders>
              <w:top w:val="single" w:sz="4" w:space="0" w:color="014171"/>
              <w:bottom w:val="single" w:sz="4" w:space="0" w:color="014171"/>
            </w:tcBorders>
            <w:shd w:val="clear" w:color="auto" w:fill="002060"/>
          </w:tcPr>
          <w:p w14:paraId="68F12F0D" w14:textId="77777777" w:rsidR="00261A48" w:rsidRPr="0040745F" w:rsidRDefault="00261A48" w:rsidP="002F3D1B">
            <w:pPr>
              <w:autoSpaceDE w:val="0"/>
              <w:autoSpaceDN w:val="0"/>
              <w:adjustRightInd w:val="0"/>
              <w:spacing w:after="0"/>
              <w:jc w:val="both"/>
              <w:rPr>
                <w:rFonts w:ascii="Segoe UI" w:hAnsi="Segoe UI" w:cs="Segoe UI"/>
                <w:b/>
                <w:bCs/>
                <w:color w:val="FFFFFF" w:themeColor="background1"/>
                <w:sz w:val="18"/>
                <w:szCs w:val="18"/>
                <w:lang w:val="de-DE" w:eastAsia="en-GB"/>
              </w:rPr>
            </w:pPr>
          </w:p>
        </w:tc>
        <w:tc>
          <w:tcPr>
            <w:tcW w:w="5103" w:type="dxa"/>
            <w:tcBorders>
              <w:top w:val="single" w:sz="4" w:space="0" w:color="014171"/>
              <w:bottom w:val="single" w:sz="4" w:space="0" w:color="014171"/>
            </w:tcBorders>
            <w:shd w:val="clear" w:color="auto" w:fill="002060"/>
            <w:vAlign w:val="center"/>
          </w:tcPr>
          <w:p w14:paraId="2A28AE79" w14:textId="230D51FD" w:rsidR="00261A48" w:rsidRPr="0040745F" w:rsidRDefault="00C573D9" w:rsidP="002F3D1B">
            <w:pPr>
              <w:autoSpaceDE w:val="0"/>
              <w:autoSpaceDN w:val="0"/>
              <w:adjustRightInd w:val="0"/>
              <w:spacing w:after="0"/>
              <w:jc w:val="both"/>
              <w:rPr>
                <w:rFonts w:ascii="Segoe UI" w:hAnsi="Segoe UI" w:cs="Segoe UI"/>
                <w:b/>
                <w:bCs/>
                <w:color w:val="FFFFFF" w:themeColor="background1"/>
                <w:sz w:val="18"/>
                <w:szCs w:val="18"/>
                <w:lang w:val="de-DE" w:eastAsia="en-GB"/>
              </w:rPr>
            </w:pPr>
            <w:r w:rsidRPr="0040745F">
              <w:rPr>
                <w:rFonts w:ascii="Segoe UI" w:hAnsi="Segoe UI" w:cs="Segoe UI"/>
                <w:b/>
                <w:bCs/>
                <w:color w:val="FFFFFF" w:themeColor="background1"/>
                <w:sz w:val="18"/>
                <w:szCs w:val="18"/>
                <w:lang w:val="de-DE" w:eastAsia="en-GB"/>
              </w:rPr>
              <w:t>Posten</w:t>
            </w:r>
          </w:p>
        </w:tc>
        <w:tc>
          <w:tcPr>
            <w:tcW w:w="3597" w:type="dxa"/>
            <w:tcBorders>
              <w:top w:val="single" w:sz="4" w:space="0" w:color="014171"/>
              <w:bottom w:val="single" w:sz="4" w:space="0" w:color="014171"/>
            </w:tcBorders>
            <w:shd w:val="clear" w:color="auto" w:fill="002060"/>
            <w:vAlign w:val="center"/>
          </w:tcPr>
          <w:p w14:paraId="75BA3085" w14:textId="510F1360" w:rsidR="00261A48" w:rsidRPr="0040745F" w:rsidRDefault="00C573D9" w:rsidP="002F3D1B">
            <w:pPr>
              <w:autoSpaceDE w:val="0"/>
              <w:autoSpaceDN w:val="0"/>
              <w:adjustRightInd w:val="0"/>
              <w:spacing w:after="0"/>
              <w:jc w:val="both"/>
              <w:rPr>
                <w:rFonts w:ascii="Segoe UI" w:hAnsi="Segoe UI" w:cs="Segoe UI"/>
                <w:b/>
                <w:bCs/>
                <w:color w:val="FFFFFF" w:themeColor="background1"/>
                <w:sz w:val="18"/>
                <w:szCs w:val="18"/>
                <w:lang w:val="de-DE" w:eastAsia="en-GB"/>
              </w:rPr>
            </w:pPr>
            <w:r w:rsidRPr="0040745F">
              <w:rPr>
                <w:rFonts w:ascii="Segoe UI" w:hAnsi="Segoe UI" w:cs="Segoe UI"/>
                <w:b/>
                <w:bCs/>
                <w:color w:val="FFFFFF" w:themeColor="background1"/>
                <w:sz w:val="18"/>
                <w:szCs w:val="18"/>
                <w:lang w:val="de-DE" w:eastAsia="en-GB"/>
              </w:rPr>
              <w:t>Beschreibung</w:t>
            </w:r>
          </w:p>
        </w:tc>
      </w:tr>
      <w:tr w:rsidR="00485F00" w:rsidRPr="002800FC" w14:paraId="1A6DA0D2" w14:textId="77777777" w:rsidTr="00A02BEA">
        <w:trPr>
          <w:trHeight w:val="142"/>
        </w:trPr>
        <w:tc>
          <w:tcPr>
            <w:tcW w:w="567" w:type="dxa"/>
            <w:tcBorders>
              <w:top w:val="single" w:sz="12" w:space="0" w:color="014171"/>
              <w:bottom w:val="single" w:sz="4" w:space="0" w:color="014171"/>
            </w:tcBorders>
          </w:tcPr>
          <w:p w14:paraId="64783DDB" w14:textId="77777777" w:rsidR="00485F00" w:rsidRPr="0040745F" w:rsidRDefault="00485F00" w:rsidP="00485F00">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1</w:t>
            </w:r>
          </w:p>
        </w:tc>
        <w:tc>
          <w:tcPr>
            <w:tcW w:w="5103" w:type="dxa"/>
            <w:tcBorders>
              <w:top w:val="single" w:sz="12" w:space="0" w:color="014171"/>
              <w:bottom w:val="single" w:sz="4" w:space="0" w:color="014171"/>
            </w:tcBorders>
          </w:tcPr>
          <w:p w14:paraId="6D6094E5" w14:textId="4A673A1E" w:rsidR="00485F00" w:rsidRPr="0040745F" w:rsidRDefault="00485F00" w:rsidP="00485F00">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Emittent</w:t>
            </w:r>
          </w:p>
        </w:tc>
        <w:tc>
          <w:tcPr>
            <w:tcW w:w="3597" w:type="dxa"/>
            <w:tcBorders>
              <w:top w:val="single" w:sz="12" w:space="0" w:color="014171"/>
              <w:bottom w:val="single" w:sz="4" w:space="0" w:color="014171"/>
            </w:tcBorders>
          </w:tcPr>
          <w:p w14:paraId="2D3D0ECD" w14:textId="752D6E7B" w:rsidR="00485F00" w:rsidRPr="0040745F" w:rsidRDefault="00485F00" w:rsidP="00485F00">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Daiwa Capital Markets Deutschland GmbH</w:t>
            </w:r>
          </w:p>
        </w:tc>
      </w:tr>
      <w:tr w:rsidR="00485F00" w:rsidRPr="0040745F" w14:paraId="20198E13" w14:textId="77777777" w:rsidTr="00A02BEA">
        <w:trPr>
          <w:trHeight w:val="142"/>
        </w:trPr>
        <w:tc>
          <w:tcPr>
            <w:tcW w:w="567" w:type="dxa"/>
            <w:tcBorders>
              <w:top w:val="single" w:sz="4" w:space="0" w:color="014171"/>
              <w:bottom w:val="single" w:sz="4" w:space="0" w:color="014171"/>
            </w:tcBorders>
          </w:tcPr>
          <w:p w14:paraId="57DD549D" w14:textId="76B5203A" w:rsidR="00485F00" w:rsidRPr="0040745F" w:rsidRDefault="00485F00" w:rsidP="00485F00">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2</w:t>
            </w:r>
          </w:p>
        </w:tc>
        <w:tc>
          <w:tcPr>
            <w:tcW w:w="5103" w:type="dxa"/>
            <w:tcBorders>
              <w:top w:val="single" w:sz="4" w:space="0" w:color="014171"/>
              <w:bottom w:val="single" w:sz="4" w:space="0" w:color="014171"/>
            </w:tcBorders>
          </w:tcPr>
          <w:p w14:paraId="6103F728" w14:textId="6AF45FDD" w:rsidR="00485F00" w:rsidRPr="0040745F" w:rsidRDefault="00485F00" w:rsidP="00485F00">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Einheitliche Kennung (z.B. CUSIP, ISIN oder Bloomberg-Kennung für Privatplatzierungen)</w:t>
            </w:r>
          </w:p>
        </w:tc>
        <w:tc>
          <w:tcPr>
            <w:tcW w:w="3597" w:type="dxa"/>
            <w:tcBorders>
              <w:top w:val="single" w:sz="4" w:space="0" w:color="014171"/>
              <w:bottom w:val="single" w:sz="4" w:space="0" w:color="014171"/>
            </w:tcBorders>
          </w:tcPr>
          <w:p w14:paraId="702D977D" w14:textId="3C0E92CD" w:rsidR="00485F00" w:rsidRPr="0040745F" w:rsidRDefault="00485F00" w:rsidP="00485F00">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k.A.</w:t>
            </w:r>
          </w:p>
        </w:tc>
      </w:tr>
      <w:tr w:rsidR="00485F00" w:rsidRPr="0040745F" w14:paraId="04D4458D" w14:textId="77777777" w:rsidTr="00A02BEA">
        <w:trPr>
          <w:trHeight w:val="142"/>
        </w:trPr>
        <w:tc>
          <w:tcPr>
            <w:tcW w:w="567" w:type="dxa"/>
            <w:tcBorders>
              <w:top w:val="single" w:sz="4" w:space="0" w:color="014171"/>
              <w:bottom w:val="single" w:sz="4" w:space="0" w:color="014171"/>
            </w:tcBorders>
          </w:tcPr>
          <w:p w14:paraId="2BC32D6F" w14:textId="179D461A" w:rsidR="00485F00" w:rsidRPr="0040745F" w:rsidRDefault="00485F00" w:rsidP="00485F00">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3</w:t>
            </w:r>
          </w:p>
        </w:tc>
        <w:tc>
          <w:tcPr>
            <w:tcW w:w="5103" w:type="dxa"/>
            <w:tcBorders>
              <w:top w:val="single" w:sz="4" w:space="0" w:color="014171"/>
              <w:bottom w:val="single" w:sz="4" w:space="0" w:color="014171"/>
            </w:tcBorders>
          </w:tcPr>
          <w:p w14:paraId="79B2B3E4" w14:textId="1622A382" w:rsidR="00485F00" w:rsidRPr="0040745F" w:rsidRDefault="00485F00" w:rsidP="00485F00">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Öffentliche Platzierung oder Privatplatzierung</w:t>
            </w:r>
          </w:p>
        </w:tc>
        <w:tc>
          <w:tcPr>
            <w:tcW w:w="3597" w:type="dxa"/>
            <w:tcBorders>
              <w:top w:val="single" w:sz="4" w:space="0" w:color="014171"/>
              <w:bottom w:val="single" w:sz="4" w:space="0" w:color="014171"/>
            </w:tcBorders>
          </w:tcPr>
          <w:p w14:paraId="57AC3759" w14:textId="49E76E52" w:rsidR="00485F00" w:rsidRPr="0040745F" w:rsidRDefault="00485F00" w:rsidP="00485F00">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Privat</w:t>
            </w:r>
          </w:p>
        </w:tc>
      </w:tr>
      <w:tr w:rsidR="00485F00" w:rsidRPr="0040745F" w14:paraId="6F454423" w14:textId="77777777" w:rsidTr="00A02BEA">
        <w:trPr>
          <w:trHeight w:val="142"/>
        </w:trPr>
        <w:tc>
          <w:tcPr>
            <w:tcW w:w="567" w:type="dxa"/>
            <w:tcBorders>
              <w:top w:val="single" w:sz="4" w:space="0" w:color="014171"/>
              <w:bottom w:val="single" w:sz="4" w:space="0" w:color="014171"/>
            </w:tcBorders>
          </w:tcPr>
          <w:p w14:paraId="485C2506" w14:textId="5E85548C" w:rsidR="00485F00" w:rsidRPr="0040745F" w:rsidRDefault="00485F00" w:rsidP="00485F00">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4</w:t>
            </w:r>
          </w:p>
        </w:tc>
        <w:tc>
          <w:tcPr>
            <w:tcW w:w="5103" w:type="dxa"/>
            <w:tcBorders>
              <w:top w:val="single" w:sz="4" w:space="0" w:color="014171"/>
              <w:bottom w:val="single" w:sz="4" w:space="0" w:color="014171"/>
            </w:tcBorders>
          </w:tcPr>
          <w:p w14:paraId="120527E1" w14:textId="2186DCA1" w:rsidR="00485F00" w:rsidRPr="0040745F" w:rsidRDefault="00485F00" w:rsidP="00485F00">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Für das Instrument geltendes Recht</w:t>
            </w:r>
          </w:p>
        </w:tc>
        <w:tc>
          <w:tcPr>
            <w:tcW w:w="3597" w:type="dxa"/>
            <w:tcBorders>
              <w:top w:val="single" w:sz="4" w:space="0" w:color="014171"/>
              <w:bottom w:val="single" w:sz="4" w:space="0" w:color="014171"/>
            </w:tcBorders>
          </w:tcPr>
          <w:p w14:paraId="6AD7AE44" w14:textId="4DCADF6F" w:rsidR="00485F00" w:rsidRPr="0040745F" w:rsidRDefault="00485F00" w:rsidP="00485F00">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Deutsches Recht</w:t>
            </w:r>
          </w:p>
        </w:tc>
      </w:tr>
      <w:tr w:rsidR="00485F00" w:rsidRPr="0040745F" w14:paraId="787A0F4F" w14:textId="77777777" w:rsidTr="00A02BEA">
        <w:trPr>
          <w:trHeight w:val="142"/>
        </w:trPr>
        <w:tc>
          <w:tcPr>
            <w:tcW w:w="567" w:type="dxa"/>
            <w:tcBorders>
              <w:top w:val="single" w:sz="4" w:space="0" w:color="014171"/>
              <w:bottom w:val="single" w:sz="4" w:space="0" w:color="014171"/>
            </w:tcBorders>
          </w:tcPr>
          <w:p w14:paraId="28F792EB" w14:textId="114F9B4D" w:rsidR="00485F00" w:rsidRPr="0040745F" w:rsidRDefault="00485F00" w:rsidP="00485F00">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5</w:t>
            </w:r>
          </w:p>
        </w:tc>
        <w:tc>
          <w:tcPr>
            <w:tcW w:w="5103" w:type="dxa"/>
            <w:tcBorders>
              <w:top w:val="single" w:sz="4" w:space="0" w:color="014171"/>
              <w:bottom w:val="single" w:sz="4" w:space="0" w:color="014171"/>
            </w:tcBorders>
          </w:tcPr>
          <w:p w14:paraId="3CCC0A0D" w14:textId="38CE72F5" w:rsidR="00485F00" w:rsidRPr="0040745F" w:rsidRDefault="00485F00" w:rsidP="00485F00">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Instrumen</w:t>
            </w:r>
            <w:r w:rsidR="001C7AB0">
              <w:rPr>
                <w:rFonts w:ascii="Segoe UI" w:hAnsi="Segoe UI" w:cs="Segoe UI"/>
                <w:color w:val="014171"/>
                <w:sz w:val="18"/>
                <w:szCs w:val="18"/>
                <w:lang w:val="de-DE"/>
              </w:rPr>
              <w:t>ten</w:t>
            </w:r>
            <w:r w:rsidRPr="0040745F">
              <w:rPr>
                <w:rFonts w:ascii="Segoe UI" w:hAnsi="Segoe UI" w:cs="Segoe UI"/>
                <w:color w:val="014171"/>
                <w:sz w:val="18"/>
                <w:szCs w:val="18"/>
                <w:lang w:val="de-DE"/>
              </w:rPr>
              <w:t>typ (Typen je nach Land spezifiziert)</w:t>
            </w:r>
          </w:p>
        </w:tc>
        <w:tc>
          <w:tcPr>
            <w:tcW w:w="3597" w:type="dxa"/>
            <w:tcBorders>
              <w:top w:val="single" w:sz="4" w:space="0" w:color="014171"/>
              <w:bottom w:val="single" w:sz="4" w:space="0" w:color="014171"/>
            </w:tcBorders>
          </w:tcPr>
          <w:p w14:paraId="7AAA75E7" w14:textId="118D5AE4" w:rsidR="00485F00" w:rsidRPr="0040745F" w:rsidRDefault="00485F00" w:rsidP="00485F00">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GmbH-Anteile</w:t>
            </w:r>
          </w:p>
        </w:tc>
      </w:tr>
      <w:tr w:rsidR="00485F00" w:rsidRPr="0040745F" w14:paraId="3C7DB538" w14:textId="77777777" w:rsidTr="00A02BEA">
        <w:trPr>
          <w:trHeight w:val="142"/>
        </w:trPr>
        <w:tc>
          <w:tcPr>
            <w:tcW w:w="567" w:type="dxa"/>
            <w:tcBorders>
              <w:top w:val="single" w:sz="4" w:space="0" w:color="014171"/>
              <w:bottom w:val="single" w:sz="4" w:space="0" w:color="014171"/>
            </w:tcBorders>
          </w:tcPr>
          <w:p w14:paraId="20BB5ECF" w14:textId="41FE40AE" w:rsidR="00485F00" w:rsidRPr="0040745F" w:rsidRDefault="00485F00" w:rsidP="00485F00">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6</w:t>
            </w:r>
          </w:p>
        </w:tc>
        <w:tc>
          <w:tcPr>
            <w:tcW w:w="5103" w:type="dxa"/>
            <w:tcBorders>
              <w:top w:val="single" w:sz="4" w:space="0" w:color="014171"/>
              <w:bottom w:val="single" w:sz="4" w:space="0" w:color="014171"/>
            </w:tcBorders>
          </w:tcPr>
          <w:p w14:paraId="4F30F90D" w14:textId="385B9F33" w:rsidR="00485F00" w:rsidRPr="0040745F" w:rsidRDefault="00485F00" w:rsidP="00485F00">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Auf aufsichtsrechtliche Eigenmittel anrechenbarer Betrag</w:t>
            </w:r>
          </w:p>
        </w:tc>
        <w:tc>
          <w:tcPr>
            <w:tcW w:w="3597" w:type="dxa"/>
            <w:tcBorders>
              <w:top w:val="single" w:sz="4" w:space="0" w:color="014171"/>
              <w:bottom w:val="single" w:sz="4" w:space="0" w:color="014171"/>
            </w:tcBorders>
          </w:tcPr>
          <w:p w14:paraId="24CF3700" w14:textId="2DF73F45" w:rsidR="00485F00" w:rsidRPr="0040745F" w:rsidRDefault="00485F00" w:rsidP="00485F00">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35 Mio. EUR</w:t>
            </w:r>
          </w:p>
        </w:tc>
      </w:tr>
      <w:tr w:rsidR="00485F00" w:rsidRPr="0040745F" w14:paraId="4DDFE4C9" w14:textId="77777777" w:rsidTr="00A02BEA">
        <w:trPr>
          <w:trHeight w:val="142"/>
        </w:trPr>
        <w:tc>
          <w:tcPr>
            <w:tcW w:w="567" w:type="dxa"/>
            <w:tcBorders>
              <w:top w:val="single" w:sz="4" w:space="0" w:color="014171"/>
              <w:bottom w:val="single" w:sz="4" w:space="0" w:color="014171"/>
            </w:tcBorders>
          </w:tcPr>
          <w:p w14:paraId="2757B1BA" w14:textId="370EB4F2" w:rsidR="00485F00" w:rsidRPr="0040745F" w:rsidRDefault="00485F00" w:rsidP="00485F00">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7</w:t>
            </w:r>
          </w:p>
        </w:tc>
        <w:tc>
          <w:tcPr>
            <w:tcW w:w="5103" w:type="dxa"/>
            <w:tcBorders>
              <w:top w:val="single" w:sz="4" w:space="0" w:color="014171"/>
              <w:bottom w:val="single" w:sz="4" w:space="0" w:color="014171"/>
            </w:tcBorders>
          </w:tcPr>
          <w:p w14:paraId="6A4A0775" w14:textId="01430872" w:rsidR="00485F00" w:rsidRPr="0040745F" w:rsidRDefault="00485F00" w:rsidP="00485F00">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Nennwert des Instruments</w:t>
            </w:r>
          </w:p>
        </w:tc>
        <w:tc>
          <w:tcPr>
            <w:tcW w:w="3597" w:type="dxa"/>
            <w:tcBorders>
              <w:top w:val="single" w:sz="4" w:space="0" w:color="014171"/>
              <w:bottom w:val="single" w:sz="4" w:space="0" w:color="014171"/>
            </w:tcBorders>
          </w:tcPr>
          <w:p w14:paraId="350CFA02" w14:textId="03A7B0BE" w:rsidR="00485F00" w:rsidRPr="0040745F" w:rsidRDefault="00485F00" w:rsidP="00485F00">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35 Mio. EUR</w:t>
            </w:r>
          </w:p>
        </w:tc>
      </w:tr>
      <w:tr w:rsidR="00485F00" w:rsidRPr="0040745F" w14:paraId="5087BBF6" w14:textId="77777777" w:rsidTr="00A02BEA">
        <w:trPr>
          <w:trHeight w:val="142"/>
        </w:trPr>
        <w:tc>
          <w:tcPr>
            <w:tcW w:w="567" w:type="dxa"/>
            <w:tcBorders>
              <w:top w:val="single" w:sz="4" w:space="0" w:color="014171"/>
              <w:bottom w:val="single" w:sz="4" w:space="0" w:color="014171"/>
            </w:tcBorders>
          </w:tcPr>
          <w:p w14:paraId="47473ADD" w14:textId="7C5ABD70" w:rsidR="00485F00" w:rsidRPr="0040745F" w:rsidRDefault="00485F00" w:rsidP="00485F00">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8</w:t>
            </w:r>
          </w:p>
        </w:tc>
        <w:tc>
          <w:tcPr>
            <w:tcW w:w="5103" w:type="dxa"/>
            <w:tcBorders>
              <w:top w:val="single" w:sz="4" w:space="0" w:color="014171"/>
              <w:bottom w:val="single" w:sz="4" w:space="0" w:color="014171"/>
            </w:tcBorders>
          </w:tcPr>
          <w:p w14:paraId="12A9FF30" w14:textId="53342CC2" w:rsidR="00485F00" w:rsidRPr="0040745F" w:rsidRDefault="00485F00" w:rsidP="00485F00">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Ausgabepreis</w:t>
            </w:r>
          </w:p>
        </w:tc>
        <w:tc>
          <w:tcPr>
            <w:tcW w:w="3597" w:type="dxa"/>
            <w:tcBorders>
              <w:top w:val="single" w:sz="4" w:space="0" w:color="014171"/>
              <w:bottom w:val="single" w:sz="4" w:space="0" w:color="014171"/>
            </w:tcBorders>
          </w:tcPr>
          <w:p w14:paraId="1EAF922E" w14:textId="13A5FB9C" w:rsidR="00485F00" w:rsidRPr="0040745F" w:rsidRDefault="00485F00" w:rsidP="00485F00">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k.A.</w:t>
            </w:r>
          </w:p>
        </w:tc>
      </w:tr>
      <w:tr w:rsidR="00485F00" w:rsidRPr="0040745F" w14:paraId="48F00A5D" w14:textId="77777777" w:rsidTr="00A02BEA">
        <w:trPr>
          <w:trHeight w:val="142"/>
        </w:trPr>
        <w:tc>
          <w:tcPr>
            <w:tcW w:w="567" w:type="dxa"/>
            <w:tcBorders>
              <w:top w:val="single" w:sz="4" w:space="0" w:color="014171"/>
              <w:bottom w:val="single" w:sz="4" w:space="0" w:color="014171"/>
            </w:tcBorders>
          </w:tcPr>
          <w:p w14:paraId="50D4B697" w14:textId="42E3E31B" w:rsidR="00485F00" w:rsidRPr="0040745F" w:rsidRDefault="00485F00" w:rsidP="00485F00">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9</w:t>
            </w:r>
          </w:p>
        </w:tc>
        <w:tc>
          <w:tcPr>
            <w:tcW w:w="5103" w:type="dxa"/>
            <w:tcBorders>
              <w:top w:val="single" w:sz="4" w:space="0" w:color="014171"/>
              <w:bottom w:val="single" w:sz="4" w:space="0" w:color="014171"/>
            </w:tcBorders>
          </w:tcPr>
          <w:p w14:paraId="0B6D9208" w14:textId="61B23DD3" w:rsidR="00485F00" w:rsidRPr="0040745F" w:rsidRDefault="00485F00" w:rsidP="00485F00">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Tilgungspreis</w:t>
            </w:r>
          </w:p>
        </w:tc>
        <w:tc>
          <w:tcPr>
            <w:tcW w:w="3597" w:type="dxa"/>
            <w:tcBorders>
              <w:top w:val="single" w:sz="4" w:space="0" w:color="014171"/>
              <w:bottom w:val="single" w:sz="4" w:space="0" w:color="014171"/>
            </w:tcBorders>
          </w:tcPr>
          <w:p w14:paraId="0587E1DA" w14:textId="6830F578" w:rsidR="00485F00" w:rsidRPr="0040745F" w:rsidRDefault="00485F00" w:rsidP="00485F00">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k.A.</w:t>
            </w:r>
          </w:p>
        </w:tc>
      </w:tr>
      <w:tr w:rsidR="00485F00" w:rsidRPr="0040745F" w14:paraId="542BB6EC" w14:textId="77777777" w:rsidTr="00A02BEA">
        <w:trPr>
          <w:trHeight w:val="142"/>
        </w:trPr>
        <w:tc>
          <w:tcPr>
            <w:tcW w:w="567" w:type="dxa"/>
            <w:tcBorders>
              <w:top w:val="single" w:sz="4" w:space="0" w:color="014171"/>
              <w:bottom w:val="single" w:sz="4" w:space="0" w:color="014171"/>
            </w:tcBorders>
          </w:tcPr>
          <w:p w14:paraId="5B5DF04C" w14:textId="24C956DE" w:rsidR="00485F00" w:rsidRPr="0040745F" w:rsidRDefault="00485F00" w:rsidP="00485F00">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10</w:t>
            </w:r>
          </w:p>
        </w:tc>
        <w:tc>
          <w:tcPr>
            <w:tcW w:w="5103" w:type="dxa"/>
            <w:tcBorders>
              <w:top w:val="single" w:sz="4" w:space="0" w:color="014171"/>
              <w:bottom w:val="single" w:sz="4" w:space="0" w:color="014171"/>
            </w:tcBorders>
          </w:tcPr>
          <w:p w14:paraId="3DD875D7" w14:textId="3945FCF2" w:rsidR="00485F00" w:rsidRPr="0040745F" w:rsidRDefault="00485F00" w:rsidP="00485F00">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Rechnungslegungsklassifikation</w:t>
            </w:r>
          </w:p>
        </w:tc>
        <w:tc>
          <w:tcPr>
            <w:tcW w:w="3597" w:type="dxa"/>
            <w:tcBorders>
              <w:top w:val="single" w:sz="4" w:space="0" w:color="014171"/>
              <w:bottom w:val="single" w:sz="4" w:space="0" w:color="014171"/>
            </w:tcBorders>
          </w:tcPr>
          <w:p w14:paraId="342D97F7" w14:textId="4D05AF86" w:rsidR="00485F00" w:rsidRPr="0040745F" w:rsidRDefault="00485F00" w:rsidP="00485F00">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Stammkapital</w:t>
            </w:r>
          </w:p>
        </w:tc>
      </w:tr>
      <w:tr w:rsidR="00485F00" w:rsidRPr="0040745F" w14:paraId="2B91E1B7" w14:textId="77777777" w:rsidTr="00A02BEA">
        <w:trPr>
          <w:trHeight w:val="142"/>
        </w:trPr>
        <w:tc>
          <w:tcPr>
            <w:tcW w:w="567" w:type="dxa"/>
            <w:tcBorders>
              <w:top w:val="single" w:sz="4" w:space="0" w:color="014171"/>
              <w:bottom w:val="single" w:sz="4" w:space="0" w:color="014171"/>
            </w:tcBorders>
          </w:tcPr>
          <w:p w14:paraId="271E6CD8" w14:textId="11F80789" w:rsidR="00485F00" w:rsidRPr="0040745F" w:rsidRDefault="00485F00" w:rsidP="00485F00">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11</w:t>
            </w:r>
          </w:p>
        </w:tc>
        <w:tc>
          <w:tcPr>
            <w:tcW w:w="5103" w:type="dxa"/>
            <w:tcBorders>
              <w:top w:val="single" w:sz="4" w:space="0" w:color="014171"/>
              <w:bottom w:val="single" w:sz="4" w:space="0" w:color="014171"/>
            </w:tcBorders>
          </w:tcPr>
          <w:p w14:paraId="554254E9" w14:textId="6E2B78D3" w:rsidR="00485F00" w:rsidRPr="0040745F" w:rsidRDefault="00485F00" w:rsidP="00485F00">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Ursprüngliches Ausgabedatum</w:t>
            </w:r>
          </w:p>
        </w:tc>
        <w:tc>
          <w:tcPr>
            <w:tcW w:w="3597" w:type="dxa"/>
            <w:tcBorders>
              <w:top w:val="single" w:sz="4" w:space="0" w:color="014171"/>
              <w:bottom w:val="single" w:sz="4" w:space="0" w:color="014171"/>
            </w:tcBorders>
          </w:tcPr>
          <w:p w14:paraId="6CC0628E" w14:textId="14C72BFE" w:rsidR="00485F00" w:rsidRPr="0040745F" w:rsidRDefault="00485F00" w:rsidP="00485F00">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30/07/2018</w:t>
            </w:r>
          </w:p>
        </w:tc>
      </w:tr>
      <w:tr w:rsidR="00485F00" w:rsidRPr="0040745F" w14:paraId="513937D0" w14:textId="77777777" w:rsidTr="00A02BEA">
        <w:trPr>
          <w:trHeight w:val="142"/>
        </w:trPr>
        <w:tc>
          <w:tcPr>
            <w:tcW w:w="567" w:type="dxa"/>
            <w:tcBorders>
              <w:top w:val="single" w:sz="4" w:space="0" w:color="014171"/>
              <w:bottom w:val="single" w:sz="4" w:space="0" w:color="014171"/>
            </w:tcBorders>
          </w:tcPr>
          <w:p w14:paraId="45CC4FA3" w14:textId="6431F9C3" w:rsidR="00485F00" w:rsidRPr="0040745F" w:rsidRDefault="00485F00" w:rsidP="00485F00">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12</w:t>
            </w:r>
          </w:p>
        </w:tc>
        <w:tc>
          <w:tcPr>
            <w:tcW w:w="5103" w:type="dxa"/>
            <w:tcBorders>
              <w:top w:val="single" w:sz="4" w:space="0" w:color="014171"/>
              <w:bottom w:val="single" w:sz="4" w:space="0" w:color="014171"/>
            </w:tcBorders>
          </w:tcPr>
          <w:p w14:paraId="4A180A8A" w14:textId="37EF7422" w:rsidR="00485F00" w:rsidRPr="0040745F" w:rsidRDefault="00485F00" w:rsidP="00485F00">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Unbefristet oder mit Verfalltermin</w:t>
            </w:r>
          </w:p>
        </w:tc>
        <w:tc>
          <w:tcPr>
            <w:tcW w:w="3597" w:type="dxa"/>
            <w:tcBorders>
              <w:top w:val="single" w:sz="4" w:space="0" w:color="014171"/>
              <w:bottom w:val="single" w:sz="4" w:space="0" w:color="014171"/>
            </w:tcBorders>
          </w:tcPr>
          <w:p w14:paraId="1759204F" w14:textId="7847136A" w:rsidR="00485F00" w:rsidRPr="0040745F" w:rsidRDefault="00485F00" w:rsidP="00485F00">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Unbefristet</w:t>
            </w:r>
          </w:p>
        </w:tc>
      </w:tr>
      <w:tr w:rsidR="00485F00" w:rsidRPr="0040745F" w14:paraId="2F20FECC" w14:textId="77777777" w:rsidTr="00A02BEA">
        <w:trPr>
          <w:trHeight w:val="142"/>
        </w:trPr>
        <w:tc>
          <w:tcPr>
            <w:tcW w:w="567" w:type="dxa"/>
            <w:tcBorders>
              <w:top w:val="single" w:sz="4" w:space="0" w:color="014171"/>
              <w:bottom w:val="single" w:sz="4" w:space="0" w:color="014171"/>
            </w:tcBorders>
          </w:tcPr>
          <w:p w14:paraId="09453DF4" w14:textId="602EFD13" w:rsidR="00485F00" w:rsidRPr="0040745F" w:rsidRDefault="00485F00" w:rsidP="00485F00">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13</w:t>
            </w:r>
          </w:p>
        </w:tc>
        <w:tc>
          <w:tcPr>
            <w:tcW w:w="5103" w:type="dxa"/>
            <w:tcBorders>
              <w:top w:val="single" w:sz="4" w:space="0" w:color="014171"/>
              <w:bottom w:val="single" w:sz="4" w:space="0" w:color="014171"/>
            </w:tcBorders>
          </w:tcPr>
          <w:p w14:paraId="40667CA0" w14:textId="59C0CC42" w:rsidR="00485F00" w:rsidRPr="0040745F" w:rsidRDefault="00485F00" w:rsidP="00485F00">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Ursprünglicher Fälligkeitstermin</w:t>
            </w:r>
          </w:p>
        </w:tc>
        <w:tc>
          <w:tcPr>
            <w:tcW w:w="3597" w:type="dxa"/>
            <w:tcBorders>
              <w:top w:val="single" w:sz="4" w:space="0" w:color="014171"/>
              <w:bottom w:val="single" w:sz="4" w:space="0" w:color="014171"/>
            </w:tcBorders>
          </w:tcPr>
          <w:p w14:paraId="36C7EECD" w14:textId="5468D877" w:rsidR="00485F00" w:rsidRPr="0040745F" w:rsidRDefault="00485F00" w:rsidP="00485F00">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Keine Fälligkeit</w:t>
            </w:r>
          </w:p>
        </w:tc>
      </w:tr>
      <w:tr w:rsidR="00485F00" w:rsidRPr="0040745F" w14:paraId="3D3A0C1D" w14:textId="77777777" w:rsidTr="00A02BEA">
        <w:trPr>
          <w:trHeight w:val="142"/>
        </w:trPr>
        <w:tc>
          <w:tcPr>
            <w:tcW w:w="567" w:type="dxa"/>
            <w:tcBorders>
              <w:top w:val="single" w:sz="4" w:space="0" w:color="014171"/>
              <w:bottom w:val="single" w:sz="4" w:space="0" w:color="014171"/>
            </w:tcBorders>
          </w:tcPr>
          <w:p w14:paraId="3118DFC2" w14:textId="172D6022" w:rsidR="00485F00" w:rsidRPr="0040745F" w:rsidRDefault="00485F00" w:rsidP="00485F00">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14</w:t>
            </w:r>
          </w:p>
        </w:tc>
        <w:tc>
          <w:tcPr>
            <w:tcW w:w="5103" w:type="dxa"/>
            <w:tcBorders>
              <w:top w:val="single" w:sz="4" w:space="0" w:color="014171"/>
              <w:bottom w:val="single" w:sz="4" w:space="0" w:color="014171"/>
            </w:tcBorders>
          </w:tcPr>
          <w:p w14:paraId="224CEE32" w14:textId="55453AED" w:rsidR="00485F00" w:rsidRPr="0040745F" w:rsidRDefault="00485F00" w:rsidP="00485F00">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Durch Emittent kündbar mit vorheriger Zustimmung der Aufsicht</w:t>
            </w:r>
          </w:p>
        </w:tc>
        <w:tc>
          <w:tcPr>
            <w:tcW w:w="3597" w:type="dxa"/>
            <w:tcBorders>
              <w:top w:val="single" w:sz="4" w:space="0" w:color="014171"/>
              <w:bottom w:val="single" w:sz="4" w:space="0" w:color="014171"/>
            </w:tcBorders>
          </w:tcPr>
          <w:p w14:paraId="7C5AAA09" w14:textId="5BF26CF0" w:rsidR="00485F00" w:rsidRPr="0040745F" w:rsidRDefault="00485F00" w:rsidP="00485F00">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Nein</w:t>
            </w:r>
          </w:p>
        </w:tc>
      </w:tr>
      <w:tr w:rsidR="00485F00" w:rsidRPr="0040745F" w14:paraId="63B8F27F" w14:textId="77777777" w:rsidTr="00A02BEA">
        <w:trPr>
          <w:trHeight w:val="142"/>
        </w:trPr>
        <w:tc>
          <w:tcPr>
            <w:tcW w:w="567" w:type="dxa"/>
            <w:tcBorders>
              <w:top w:val="single" w:sz="4" w:space="0" w:color="014171"/>
              <w:bottom w:val="single" w:sz="4" w:space="0" w:color="014171"/>
            </w:tcBorders>
          </w:tcPr>
          <w:p w14:paraId="3960795A" w14:textId="32C4400B" w:rsidR="00485F00" w:rsidRPr="0040745F" w:rsidRDefault="00485F00" w:rsidP="00485F00">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15</w:t>
            </w:r>
          </w:p>
        </w:tc>
        <w:tc>
          <w:tcPr>
            <w:tcW w:w="5103" w:type="dxa"/>
            <w:tcBorders>
              <w:top w:val="single" w:sz="4" w:space="0" w:color="014171"/>
              <w:bottom w:val="single" w:sz="4" w:space="0" w:color="014171"/>
            </w:tcBorders>
          </w:tcPr>
          <w:p w14:paraId="451C44A4" w14:textId="7E4A2107" w:rsidR="00485F00" w:rsidRPr="0040745F" w:rsidRDefault="00485F00" w:rsidP="00485F00">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Wählbarer Kündigungstermin, bedingte Kündigungstermine und Tilgungsbetrag</w:t>
            </w:r>
          </w:p>
        </w:tc>
        <w:tc>
          <w:tcPr>
            <w:tcW w:w="3597" w:type="dxa"/>
            <w:tcBorders>
              <w:top w:val="single" w:sz="4" w:space="0" w:color="014171"/>
              <w:bottom w:val="single" w:sz="4" w:space="0" w:color="014171"/>
            </w:tcBorders>
          </w:tcPr>
          <w:p w14:paraId="68822456" w14:textId="7CE214AE" w:rsidR="00485F00" w:rsidRPr="0040745F" w:rsidRDefault="00485F00" w:rsidP="00485F00">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k.A.</w:t>
            </w:r>
          </w:p>
        </w:tc>
      </w:tr>
      <w:tr w:rsidR="00485F00" w:rsidRPr="0040745F" w14:paraId="30837D18" w14:textId="77777777" w:rsidTr="00A02BEA">
        <w:trPr>
          <w:trHeight w:val="142"/>
        </w:trPr>
        <w:tc>
          <w:tcPr>
            <w:tcW w:w="567" w:type="dxa"/>
            <w:tcBorders>
              <w:top w:val="single" w:sz="4" w:space="0" w:color="014171"/>
              <w:bottom w:val="single" w:sz="4" w:space="0" w:color="014171"/>
            </w:tcBorders>
          </w:tcPr>
          <w:p w14:paraId="2C92A3F1" w14:textId="401ABB61" w:rsidR="00485F00" w:rsidRPr="0040745F" w:rsidRDefault="00485F00" w:rsidP="00485F00">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16</w:t>
            </w:r>
          </w:p>
        </w:tc>
        <w:tc>
          <w:tcPr>
            <w:tcW w:w="5103" w:type="dxa"/>
            <w:tcBorders>
              <w:top w:val="single" w:sz="4" w:space="0" w:color="014171"/>
              <w:bottom w:val="single" w:sz="4" w:space="0" w:color="014171"/>
            </w:tcBorders>
          </w:tcPr>
          <w:p w14:paraId="10A82FF7" w14:textId="08406341" w:rsidR="00485F00" w:rsidRPr="0040745F" w:rsidRDefault="00485F00" w:rsidP="00485F00">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Spätere Kündigungstermine, wenn anwendbar</w:t>
            </w:r>
          </w:p>
        </w:tc>
        <w:tc>
          <w:tcPr>
            <w:tcW w:w="3597" w:type="dxa"/>
            <w:tcBorders>
              <w:top w:val="single" w:sz="4" w:space="0" w:color="014171"/>
              <w:bottom w:val="single" w:sz="4" w:space="0" w:color="014171"/>
            </w:tcBorders>
          </w:tcPr>
          <w:p w14:paraId="1F44E149" w14:textId="292C7AD3" w:rsidR="00485F00" w:rsidRPr="0040745F" w:rsidRDefault="00485F00" w:rsidP="00485F00">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k.A.</w:t>
            </w:r>
          </w:p>
        </w:tc>
      </w:tr>
      <w:tr w:rsidR="00C573D9" w:rsidRPr="0040745F" w14:paraId="3CC8250C" w14:textId="77777777" w:rsidTr="00A02BEA">
        <w:trPr>
          <w:trHeight w:val="142"/>
        </w:trPr>
        <w:tc>
          <w:tcPr>
            <w:tcW w:w="567" w:type="dxa"/>
            <w:tcBorders>
              <w:top w:val="single" w:sz="4" w:space="0" w:color="014171"/>
              <w:bottom w:val="single" w:sz="4" w:space="0" w:color="014171"/>
            </w:tcBorders>
          </w:tcPr>
          <w:p w14:paraId="5F365E27" w14:textId="77777777" w:rsidR="00C573D9" w:rsidRPr="0040745F" w:rsidRDefault="00C573D9" w:rsidP="00C573D9">
            <w:pPr>
              <w:autoSpaceDE w:val="0"/>
              <w:autoSpaceDN w:val="0"/>
              <w:adjustRightInd w:val="0"/>
              <w:spacing w:after="0"/>
              <w:jc w:val="both"/>
              <w:rPr>
                <w:rFonts w:ascii="Segoe UI" w:hAnsi="Segoe UI" w:cs="Segoe UI"/>
                <w:b/>
                <w:color w:val="014171"/>
                <w:sz w:val="18"/>
                <w:szCs w:val="18"/>
                <w:lang w:val="de-DE" w:eastAsia="en-GB"/>
              </w:rPr>
            </w:pPr>
          </w:p>
        </w:tc>
        <w:tc>
          <w:tcPr>
            <w:tcW w:w="5103" w:type="dxa"/>
            <w:tcBorders>
              <w:top w:val="single" w:sz="4" w:space="0" w:color="014171"/>
              <w:bottom w:val="single" w:sz="4" w:space="0" w:color="014171"/>
            </w:tcBorders>
          </w:tcPr>
          <w:p w14:paraId="43C6E80B" w14:textId="2A70ABB3" w:rsidR="00C573D9" w:rsidRPr="0040745F" w:rsidRDefault="00C573D9" w:rsidP="00C573D9">
            <w:pPr>
              <w:autoSpaceDE w:val="0"/>
              <w:autoSpaceDN w:val="0"/>
              <w:adjustRightInd w:val="0"/>
              <w:spacing w:after="0"/>
              <w:jc w:val="both"/>
              <w:rPr>
                <w:rFonts w:ascii="Segoe UI" w:hAnsi="Segoe UI" w:cs="Segoe UI"/>
                <w:b/>
                <w:color w:val="014171"/>
                <w:sz w:val="18"/>
                <w:szCs w:val="18"/>
                <w:lang w:val="de-DE"/>
              </w:rPr>
            </w:pPr>
            <w:r w:rsidRPr="0040745F">
              <w:rPr>
                <w:rFonts w:ascii="Segoe UI" w:hAnsi="Segoe UI" w:cs="Segoe UI"/>
                <w:b/>
                <w:color w:val="014171"/>
                <w:sz w:val="18"/>
                <w:szCs w:val="18"/>
                <w:lang w:val="de-DE"/>
              </w:rPr>
              <w:t>Coupons / Dividend</w:t>
            </w:r>
            <w:r w:rsidR="00485F00" w:rsidRPr="0040745F">
              <w:rPr>
                <w:rFonts w:ascii="Segoe UI" w:hAnsi="Segoe UI" w:cs="Segoe UI"/>
                <w:b/>
                <w:color w:val="014171"/>
                <w:sz w:val="18"/>
                <w:szCs w:val="18"/>
                <w:lang w:val="de-DE"/>
              </w:rPr>
              <w:t>en</w:t>
            </w:r>
          </w:p>
        </w:tc>
        <w:tc>
          <w:tcPr>
            <w:tcW w:w="3597" w:type="dxa"/>
            <w:tcBorders>
              <w:top w:val="single" w:sz="4" w:space="0" w:color="014171"/>
              <w:bottom w:val="single" w:sz="4" w:space="0" w:color="014171"/>
            </w:tcBorders>
          </w:tcPr>
          <w:p w14:paraId="40C0BAB9" w14:textId="77777777" w:rsidR="00C573D9" w:rsidRPr="0040745F" w:rsidRDefault="00C573D9" w:rsidP="00C573D9">
            <w:pPr>
              <w:autoSpaceDE w:val="0"/>
              <w:autoSpaceDN w:val="0"/>
              <w:adjustRightInd w:val="0"/>
              <w:spacing w:after="0"/>
              <w:jc w:val="both"/>
              <w:rPr>
                <w:rFonts w:ascii="Segoe UI" w:hAnsi="Segoe UI" w:cs="Segoe UI"/>
                <w:b/>
                <w:color w:val="014171"/>
                <w:sz w:val="18"/>
                <w:szCs w:val="18"/>
                <w:lang w:val="de-DE" w:eastAsia="en-GB"/>
              </w:rPr>
            </w:pPr>
          </w:p>
        </w:tc>
      </w:tr>
      <w:tr w:rsidR="00C573D9" w:rsidRPr="0040745F" w14:paraId="417C43F6" w14:textId="77777777" w:rsidTr="00A02BEA">
        <w:trPr>
          <w:trHeight w:val="142"/>
        </w:trPr>
        <w:tc>
          <w:tcPr>
            <w:tcW w:w="567" w:type="dxa"/>
            <w:tcBorders>
              <w:top w:val="single" w:sz="4" w:space="0" w:color="014171"/>
              <w:bottom w:val="single" w:sz="4" w:space="0" w:color="014171"/>
            </w:tcBorders>
          </w:tcPr>
          <w:p w14:paraId="050D8184" w14:textId="636E854B" w:rsidR="00C573D9" w:rsidRPr="0040745F" w:rsidRDefault="00C573D9" w:rsidP="00C573D9">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17</w:t>
            </w:r>
          </w:p>
        </w:tc>
        <w:tc>
          <w:tcPr>
            <w:tcW w:w="5103" w:type="dxa"/>
            <w:tcBorders>
              <w:top w:val="single" w:sz="4" w:space="0" w:color="014171"/>
              <w:bottom w:val="single" w:sz="4" w:space="0" w:color="014171"/>
            </w:tcBorders>
          </w:tcPr>
          <w:p w14:paraId="722E671D" w14:textId="3F77AA99" w:rsidR="00C573D9" w:rsidRPr="0040745F" w:rsidRDefault="00485F00" w:rsidP="00C573D9">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Feste oder variable Dividenden-/Couponzahlungen</w:t>
            </w:r>
          </w:p>
        </w:tc>
        <w:tc>
          <w:tcPr>
            <w:tcW w:w="3597" w:type="dxa"/>
            <w:tcBorders>
              <w:top w:val="single" w:sz="4" w:space="0" w:color="014171"/>
              <w:bottom w:val="single" w:sz="4" w:space="0" w:color="014171"/>
            </w:tcBorders>
          </w:tcPr>
          <w:p w14:paraId="7936AC48" w14:textId="6CD88EBD" w:rsidR="00C573D9" w:rsidRPr="0040745F" w:rsidRDefault="00C573D9" w:rsidP="00C573D9">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 xml:space="preserve">Keine </w:t>
            </w:r>
          </w:p>
        </w:tc>
      </w:tr>
      <w:tr w:rsidR="00C573D9" w:rsidRPr="0040745F" w14:paraId="086A4562" w14:textId="77777777" w:rsidTr="00A02BEA">
        <w:trPr>
          <w:trHeight w:val="142"/>
        </w:trPr>
        <w:tc>
          <w:tcPr>
            <w:tcW w:w="567" w:type="dxa"/>
            <w:tcBorders>
              <w:top w:val="single" w:sz="4" w:space="0" w:color="014171"/>
              <w:bottom w:val="single" w:sz="4" w:space="0" w:color="014171"/>
            </w:tcBorders>
          </w:tcPr>
          <w:p w14:paraId="61F333A3" w14:textId="1A18EC29" w:rsidR="00C573D9" w:rsidRPr="0040745F" w:rsidRDefault="00C573D9" w:rsidP="00C573D9">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18</w:t>
            </w:r>
          </w:p>
        </w:tc>
        <w:tc>
          <w:tcPr>
            <w:tcW w:w="5103" w:type="dxa"/>
            <w:tcBorders>
              <w:top w:val="single" w:sz="4" w:space="0" w:color="014171"/>
              <w:bottom w:val="single" w:sz="4" w:space="0" w:color="014171"/>
            </w:tcBorders>
          </w:tcPr>
          <w:p w14:paraId="4A10E86E" w14:textId="4AE8DCB9" w:rsidR="00C573D9" w:rsidRPr="0040745F" w:rsidRDefault="00485F00" w:rsidP="00C573D9">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Nominalcoupon und etwaiger Referenzindex</w:t>
            </w:r>
          </w:p>
        </w:tc>
        <w:tc>
          <w:tcPr>
            <w:tcW w:w="3597" w:type="dxa"/>
            <w:tcBorders>
              <w:top w:val="single" w:sz="4" w:space="0" w:color="014171"/>
              <w:bottom w:val="single" w:sz="4" w:space="0" w:color="014171"/>
            </w:tcBorders>
          </w:tcPr>
          <w:p w14:paraId="05B1933D" w14:textId="62688CFB" w:rsidR="00C573D9" w:rsidRPr="0040745F" w:rsidRDefault="00C573D9" w:rsidP="00C573D9">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k.A.</w:t>
            </w:r>
          </w:p>
        </w:tc>
      </w:tr>
      <w:tr w:rsidR="00C573D9" w:rsidRPr="0040745F" w14:paraId="2FF162FA" w14:textId="77777777" w:rsidTr="00A02BEA">
        <w:trPr>
          <w:trHeight w:val="142"/>
        </w:trPr>
        <w:tc>
          <w:tcPr>
            <w:tcW w:w="567" w:type="dxa"/>
            <w:tcBorders>
              <w:top w:val="single" w:sz="4" w:space="0" w:color="014171"/>
              <w:bottom w:val="single" w:sz="4" w:space="0" w:color="014171"/>
            </w:tcBorders>
          </w:tcPr>
          <w:p w14:paraId="69959D5A" w14:textId="69A55225" w:rsidR="00C573D9" w:rsidRPr="0040745F" w:rsidRDefault="00C573D9" w:rsidP="00C573D9">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19</w:t>
            </w:r>
          </w:p>
        </w:tc>
        <w:tc>
          <w:tcPr>
            <w:tcW w:w="5103" w:type="dxa"/>
            <w:tcBorders>
              <w:top w:val="single" w:sz="4" w:space="0" w:color="014171"/>
              <w:bottom w:val="single" w:sz="4" w:space="0" w:color="014171"/>
            </w:tcBorders>
          </w:tcPr>
          <w:p w14:paraId="2BC26348" w14:textId="5FF568FA" w:rsidR="00C573D9" w:rsidRPr="0040745F" w:rsidRDefault="00485F00" w:rsidP="00C573D9">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Bestehen eines Dividenden-Stopps</w:t>
            </w:r>
          </w:p>
        </w:tc>
        <w:tc>
          <w:tcPr>
            <w:tcW w:w="3597" w:type="dxa"/>
            <w:tcBorders>
              <w:top w:val="single" w:sz="4" w:space="0" w:color="014171"/>
              <w:bottom w:val="single" w:sz="4" w:space="0" w:color="014171"/>
            </w:tcBorders>
          </w:tcPr>
          <w:p w14:paraId="5B6795F9" w14:textId="64C918F5" w:rsidR="00C573D9" w:rsidRPr="0040745F" w:rsidRDefault="00C573D9" w:rsidP="00C573D9">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k.A.</w:t>
            </w:r>
          </w:p>
        </w:tc>
      </w:tr>
      <w:tr w:rsidR="00C573D9" w:rsidRPr="0040745F" w14:paraId="072F5C04" w14:textId="77777777" w:rsidTr="00A02BEA">
        <w:trPr>
          <w:trHeight w:val="142"/>
        </w:trPr>
        <w:tc>
          <w:tcPr>
            <w:tcW w:w="567" w:type="dxa"/>
            <w:tcBorders>
              <w:top w:val="single" w:sz="4" w:space="0" w:color="014171"/>
              <w:bottom w:val="single" w:sz="4" w:space="0" w:color="014171"/>
            </w:tcBorders>
          </w:tcPr>
          <w:p w14:paraId="28F834B5" w14:textId="5E71CB22" w:rsidR="00C573D9" w:rsidRPr="0040745F" w:rsidRDefault="00C573D9" w:rsidP="00C573D9">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20</w:t>
            </w:r>
          </w:p>
        </w:tc>
        <w:tc>
          <w:tcPr>
            <w:tcW w:w="5103" w:type="dxa"/>
            <w:tcBorders>
              <w:top w:val="single" w:sz="4" w:space="0" w:color="014171"/>
              <w:bottom w:val="single" w:sz="4" w:space="0" w:color="014171"/>
            </w:tcBorders>
          </w:tcPr>
          <w:p w14:paraId="550AD4D3" w14:textId="11CF5C8D" w:rsidR="00C573D9" w:rsidRPr="0040745F" w:rsidRDefault="00485F00" w:rsidP="00C573D9">
            <w:pPr>
              <w:autoSpaceDE w:val="0"/>
              <w:autoSpaceDN w:val="0"/>
              <w:adjustRightInd w:val="0"/>
              <w:spacing w:after="0"/>
              <w:ind w:left="113"/>
              <w:jc w:val="both"/>
              <w:rPr>
                <w:rFonts w:ascii="Segoe UI" w:hAnsi="Segoe UI" w:cs="Segoe UI"/>
                <w:color w:val="014171"/>
                <w:sz w:val="18"/>
                <w:szCs w:val="18"/>
                <w:lang w:val="de-DE"/>
              </w:rPr>
            </w:pPr>
            <w:r w:rsidRPr="0040745F">
              <w:rPr>
                <w:rFonts w:ascii="Segoe UI" w:hAnsi="Segoe UI" w:cs="Segoe UI"/>
                <w:color w:val="014171"/>
                <w:sz w:val="18"/>
                <w:szCs w:val="18"/>
                <w:lang w:val="de-DE"/>
              </w:rPr>
              <w:t>Gänzlich diskretionär, teilweise diskretionär oder zwingend (zeitlich)</w:t>
            </w:r>
          </w:p>
        </w:tc>
        <w:tc>
          <w:tcPr>
            <w:tcW w:w="3597" w:type="dxa"/>
            <w:tcBorders>
              <w:top w:val="single" w:sz="4" w:space="0" w:color="014171"/>
              <w:bottom w:val="single" w:sz="4" w:space="0" w:color="014171"/>
            </w:tcBorders>
          </w:tcPr>
          <w:p w14:paraId="1B939106" w14:textId="5B1E5620" w:rsidR="00C573D9" w:rsidRPr="0040745F" w:rsidRDefault="00C573D9" w:rsidP="00C573D9">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Gänzlich diskretionär</w:t>
            </w:r>
          </w:p>
        </w:tc>
      </w:tr>
      <w:tr w:rsidR="00C573D9" w:rsidRPr="0040745F" w14:paraId="2932AAE1" w14:textId="77777777" w:rsidTr="00A02BEA">
        <w:trPr>
          <w:trHeight w:val="142"/>
        </w:trPr>
        <w:tc>
          <w:tcPr>
            <w:tcW w:w="567" w:type="dxa"/>
            <w:tcBorders>
              <w:top w:val="single" w:sz="4" w:space="0" w:color="014171"/>
              <w:bottom w:val="single" w:sz="4" w:space="0" w:color="014171"/>
            </w:tcBorders>
          </w:tcPr>
          <w:p w14:paraId="79265545" w14:textId="25F5F6FA" w:rsidR="00C573D9" w:rsidRPr="0040745F" w:rsidRDefault="00C573D9" w:rsidP="00C573D9">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21</w:t>
            </w:r>
          </w:p>
        </w:tc>
        <w:tc>
          <w:tcPr>
            <w:tcW w:w="5103" w:type="dxa"/>
            <w:tcBorders>
              <w:top w:val="single" w:sz="4" w:space="0" w:color="014171"/>
              <w:bottom w:val="single" w:sz="4" w:space="0" w:color="014171"/>
            </w:tcBorders>
          </w:tcPr>
          <w:p w14:paraId="4EA23A71" w14:textId="2D90CD26" w:rsidR="00C573D9" w:rsidRPr="0040745F" w:rsidRDefault="00485F00" w:rsidP="00C573D9">
            <w:pPr>
              <w:autoSpaceDE w:val="0"/>
              <w:autoSpaceDN w:val="0"/>
              <w:adjustRightInd w:val="0"/>
              <w:spacing w:after="0"/>
              <w:ind w:left="113"/>
              <w:jc w:val="both"/>
              <w:rPr>
                <w:rFonts w:ascii="Segoe UI" w:hAnsi="Segoe UI" w:cs="Segoe UI"/>
                <w:color w:val="014171"/>
                <w:sz w:val="18"/>
                <w:szCs w:val="18"/>
                <w:lang w:val="de-DE"/>
              </w:rPr>
            </w:pPr>
            <w:r w:rsidRPr="0040745F">
              <w:rPr>
                <w:rFonts w:ascii="Segoe UI" w:hAnsi="Segoe UI" w:cs="Segoe UI"/>
                <w:color w:val="014171"/>
                <w:sz w:val="18"/>
                <w:szCs w:val="18"/>
                <w:lang w:val="de-DE"/>
              </w:rPr>
              <w:t>Gänzlich diskretionär, teilweise diskretionär oder zwingend (in Bezug auf den Betrag)</w:t>
            </w:r>
          </w:p>
        </w:tc>
        <w:tc>
          <w:tcPr>
            <w:tcW w:w="3597" w:type="dxa"/>
            <w:tcBorders>
              <w:top w:val="single" w:sz="4" w:space="0" w:color="014171"/>
              <w:bottom w:val="single" w:sz="4" w:space="0" w:color="014171"/>
            </w:tcBorders>
          </w:tcPr>
          <w:p w14:paraId="40A8DCFD" w14:textId="271AF117" w:rsidR="00C573D9" w:rsidRPr="0040745F" w:rsidRDefault="00C573D9" w:rsidP="00C573D9">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Gänzlich diskretionär</w:t>
            </w:r>
          </w:p>
        </w:tc>
      </w:tr>
      <w:tr w:rsidR="00C573D9" w:rsidRPr="0040745F" w14:paraId="6D60FB27" w14:textId="77777777" w:rsidTr="00A02BEA">
        <w:trPr>
          <w:trHeight w:val="142"/>
        </w:trPr>
        <w:tc>
          <w:tcPr>
            <w:tcW w:w="567" w:type="dxa"/>
            <w:tcBorders>
              <w:top w:val="single" w:sz="4" w:space="0" w:color="014171"/>
              <w:bottom w:val="single" w:sz="4" w:space="0" w:color="014171"/>
            </w:tcBorders>
          </w:tcPr>
          <w:p w14:paraId="77C52C91" w14:textId="57B464A1" w:rsidR="00C573D9" w:rsidRPr="0040745F" w:rsidRDefault="00C573D9" w:rsidP="00C573D9">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22</w:t>
            </w:r>
          </w:p>
        </w:tc>
        <w:tc>
          <w:tcPr>
            <w:tcW w:w="5103" w:type="dxa"/>
            <w:tcBorders>
              <w:top w:val="single" w:sz="4" w:space="0" w:color="014171"/>
              <w:bottom w:val="single" w:sz="4" w:space="0" w:color="014171"/>
            </w:tcBorders>
          </w:tcPr>
          <w:p w14:paraId="624BBA79" w14:textId="4F9FC15E" w:rsidR="00C573D9" w:rsidRPr="0040745F" w:rsidRDefault="00485F00" w:rsidP="00C573D9">
            <w:pPr>
              <w:autoSpaceDE w:val="0"/>
              <w:autoSpaceDN w:val="0"/>
              <w:adjustRightInd w:val="0"/>
              <w:spacing w:after="0"/>
              <w:ind w:left="113"/>
              <w:jc w:val="both"/>
              <w:rPr>
                <w:rFonts w:ascii="Segoe UI" w:hAnsi="Segoe UI" w:cs="Segoe UI"/>
                <w:color w:val="014171"/>
                <w:sz w:val="18"/>
                <w:szCs w:val="18"/>
                <w:lang w:val="de-DE"/>
              </w:rPr>
            </w:pPr>
            <w:r w:rsidRPr="0040745F">
              <w:rPr>
                <w:rFonts w:ascii="Segoe UI" w:hAnsi="Segoe UI" w:cs="Segoe UI"/>
                <w:color w:val="014171"/>
                <w:sz w:val="18"/>
                <w:szCs w:val="18"/>
                <w:lang w:val="de-DE"/>
              </w:rPr>
              <w:t>Bestehen einer Kostenanstiegsklausel oder eines anderen Tilgungsanreizes</w:t>
            </w:r>
          </w:p>
        </w:tc>
        <w:tc>
          <w:tcPr>
            <w:tcW w:w="3597" w:type="dxa"/>
            <w:tcBorders>
              <w:top w:val="single" w:sz="4" w:space="0" w:color="014171"/>
              <w:bottom w:val="single" w:sz="4" w:space="0" w:color="014171"/>
            </w:tcBorders>
          </w:tcPr>
          <w:p w14:paraId="0E3DA148" w14:textId="3ECA0DF6" w:rsidR="00C573D9" w:rsidRPr="0040745F" w:rsidRDefault="00C573D9" w:rsidP="00C573D9">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k.A.</w:t>
            </w:r>
          </w:p>
        </w:tc>
      </w:tr>
      <w:tr w:rsidR="00C573D9" w:rsidRPr="0040745F" w14:paraId="54D305A3" w14:textId="77777777" w:rsidTr="00A02BEA">
        <w:trPr>
          <w:trHeight w:val="142"/>
        </w:trPr>
        <w:tc>
          <w:tcPr>
            <w:tcW w:w="567" w:type="dxa"/>
            <w:tcBorders>
              <w:top w:val="single" w:sz="4" w:space="0" w:color="014171"/>
              <w:bottom w:val="single" w:sz="4" w:space="0" w:color="014171"/>
            </w:tcBorders>
          </w:tcPr>
          <w:p w14:paraId="0A91B14A" w14:textId="7AE690FA" w:rsidR="00C573D9" w:rsidRPr="0040745F" w:rsidRDefault="00C573D9" w:rsidP="00C573D9">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23</w:t>
            </w:r>
          </w:p>
        </w:tc>
        <w:tc>
          <w:tcPr>
            <w:tcW w:w="5103" w:type="dxa"/>
            <w:tcBorders>
              <w:top w:val="single" w:sz="4" w:space="0" w:color="014171"/>
              <w:bottom w:val="single" w:sz="4" w:space="0" w:color="014171"/>
            </w:tcBorders>
          </w:tcPr>
          <w:p w14:paraId="124B1650" w14:textId="32390386" w:rsidR="00C573D9" w:rsidRPr="0040745F" w:rsidRDefault="00485F00" w:rsidP="00C573D9">
            <w:pPr>
              <w:autoSpaceDE w:val="0"/>
              <w:autoSpaceDN w:val="0"/>
              <w:adjustRightInd w:val="0"/>
              <w:spacing w:after="0"/>
              <w:ind w:left="113"/>
              <w:jc w:val="both"/>
              <w:rPr>
                <w:rFonts w:ascii="Segoe UI" w:hAnsi="Segoe UI" w:cs="Segoe UI"/>
                <w:color w:val="014171"/>
                <w:sz w:val="18"/>
                <w:szCs w:val="18"/>
                <w:lang w:val="de-DE"/>
              </w:rPr>
            </w:pPr>
            <w:r w:rsidRPr="0040745F">
              <w:rPr>
                <w:rFonts w:ascii="Segoe UI" w:hAnsi="Segoe UI" w:cs="Segoe UI"/>
                <w:color w:val="014171"/>
                <w:sz w:val="18"/>
                <w:szCs w:val="18"/>
                <w:lang w:val="de-DE"/>
              </w:rPr>
              <w:t>Nich</w:t>
            </w:r>
            <w:r w:rsidR="001C7AB0">
              <w:rPr>
                <w:rFonts w:ascii="Segoe UI" w:hAnsi="Segoe UI" w:cs="Segoe UI"/>
                <w:color w:val="014171"/>
                <w:sz w:val="18"/>
                <w:szCs w:val="18"/>
                <w:lang w:val="de-DE"/>
              </w:rPr>
              <w:t>t</w:t>
            </w:r>
            <w:r w:rsidRPr="0040745F">
              <w:rPr>
                <w:rFonts w:ascii="Segoe UI" w:hAnsi="Segoe UI" w:cs="Segoe UI"/>
                <w:color w:val="014171"/>
                <w:sz w:val="18"/>
                <w:szCs w:val="18"/>
                <w:lang w:val="de-DE"/>
              </w:rPr>
              <w:t xml:space="preserve"> kumulativ oder kumulativ</w:t>
            </w:r>
          </w:p>
        </w:tc>
        <w:tc>
          <w:tcPr>
            <w:tcW w:w="3597" w:type="dxa"/>
            <w:tcBorders>
              <w:top w:val="single" w:sz="4" w:space="0" w:color="014171"/>
              <w:bottom w:val="single" w:sz="4" w:space="0" w:color="014171"/>
            </w:tcBorders>
          </w:tcPr>
          <w:p w14:paraId="65A3B7E7" w14:textId="0965E91A" w:rsidR="00C573D9" w:rsidRPr="0040745F" w:rsidRDefault="00C573D9" w:rsidP="00C573D9">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k.A.</w:t>
            </w:r>
          </w:p>
        </w:tc>
      </w:tr>
      <w:tr w:rsidR="00C573D9" w:rsidRPr="0040745F" w14:paraId="0C413828" w14:textId="77777777" w:rsidTr="00A02BEA">
        <w:trPr>
          <w:trHeight w:val="142"/>
        </w:trPr>
        <w:tc>
          <w:tcPr>
            <w:tcW w:w="567" w:type="dxa"/>
            <w:tcBorders>
              <w:top w:val="single" w:sz="4" w:space="0" w:color="014171"/>
              <w:bottom w:val="single" w:sz="4" w:space="0" w:color="014171"/>
            </w:tcBorders>
          </w:tcPr>
          <w:p w14:paraId="52E52B06" w14:textId="3554A048" w:rsidR="00C573D9" w:rsidRPr="0040745F" w:rsidRDefault="00C573D9" w:rsidP="00C573D9">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24</w:t>
            </w:r>
          </w:p>
        </w:tc>
        <w:tc>
          <w:tcPr>
            <w:tcW w:w="5103" w:type="dxa"/>
            <w:tcBorders>
              <w:top w:val="single" w:sz="4" w:space="0" w:color="014171"/>
              <w:bottom w:val="single" w:sz="4" w:space="0" w:color="014171"/>
            </w:tcBorders>
          </w:tcPr>
          <w:p w14:paraId="3CB072A7" w14:textId="25AC372E" w:rsidR="00C573D9" w:rsidRPr="0040745F" w:rsidRDefault="00485F00" w:rsidP="00C573D9">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Wandelbar oder nicht wandelbar</w:t>
            </w:r>
          </w:p>
        </w:tc>
        <w:tc>
          <w:tcPr>
            <w:tcW w:w="3597" w:type="dxa"/>
            <w:tcBorders>
              <w:top w:val="single" w:sz="4" w:space="0" w:color="014171"/>
              <w:bottom w:val="single" w:sz="4" w:space="0" w:color="014171"/>
            </w:tcBorders>
          </w:tcPr>
          <w:p w14:paraId="582B329B" w14:textId="5ACDA40B" w:rsidR="00C573D9" w:rsidRPr="0040745F" w:rsidRDefault="00C573D9" w:rsidP="00C573D9">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Nicht wandelbar</w:t>
            </w:r>
          </w:p>
        </w:tc>
      </w:tr>
      <w:tr w:rsidR="00C573D9" w:rsidRPr="0040745F" w14:paraId="30D3A5F7" w14:textId="77777777" w:rsidTr="00A02BEA">
        <w:trPr>
          <w:trHeight w:val="142"/>
        </w:trPr>
        <w:tc>
          <w:tcPr>
            <w:tcW w:w="567" w:type="dxa"/>
            <w:tcBorders>
              <w:top w:val="single" w:sz="4" w:space="0" w:color="014171"/>
              <w:bottom w:val="single" w:sz="4" w:space="0" w:color="014171"/>
            </w:tcBorders>
          </w:tcPr>
          <w:p w14:paraId="00109F6B" w14:textId="0680E5A0" w:rsidR="00C573D9" w:rsidRPr="0040745F" w:rsidRDefault="00C573D9" w:rsidP="00C573D9">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25</w:t>
            </w:r>
          </w:p>
        </w:tc>
        <w:tc>
          <w:tcPr>
            <w:tcW w:w="5103" w:type="dxa"/>
            <w:tcBorders>
              <w:top w:val="single" w:sz="4" w:space="0" w:color="014171"/>
              <w:bottom w:val="single" w:sz="4" w:space="0" w:color="014171"/>
            </w:tcBorders>
          </w:tcPr>
          <w:p w14:paraId="18C08D5C" w14:textId="1E1B2D03" w:rsidR="00C573D9" w:rsidRPr="0040745F" w:rsidRDefault="00485F00" w:rsidP="00C573D9">
            <w:pPr>
              <w:autoSpaceDE w:val="0"/>
              <w:autoSpaceDN w:val="0"/>
              <w:adjustRightInd w:val="0"/>
              <w:spacing w:after="0"/>
              <w:ind w:left="113"/>
              <w:jc w:val="both"/>
              <w:rPr>
                <w:rFonts w:ascii="Segoe UI" w:hAnsi="Segoe UI" w:cs="Segoe UI"/>
                <w:color w:val="014171"/>
                <w:sz w:val="18"/>
                <w:szCs w:val="18"/>
                <w:lang w:val="de-DE"/>
              </w:rPr>
            </w:pPr>
            <w:r w:rsidRPr="0040745F">
              <w:rPr>
                <w:rFonts w:ascii="Segoe UI" w:hAnsi="Segoe UI" w:cs="Segoe UI"/>
                <w:color w:val="014171"/>
                <w:sz w:val="18"/>
                <w:szCs w:val="18"/>
                <w:lang w:val="de-DE"/>
              </w:rPr>
              <w:t>Wenn wandelbar: Auslöser für die Wandlung</w:t>
            </w:r>
          </w:p>
        </w:tc>
        <w:tc>
          <w:tcPr>
            <w:tcW w:w="3597" w:type="dxa"/>
            <w:tcBorders>
              <w:top w:val="single" w:sz="4" w:space="0" w:color="014171"/>
              <w:bottom w:val="single" w:sz="4" w:space="0" w:color="014171"/>
            </w:tcBorders>
          </w:tcPr>
          <w:p w14:paraId="2DFBD2D3" w14:textId="139A9EF7" w:rsidR="00C573D9" w:rsidRPr="0040745F" w:rsidRDefault="00C573D9" w:rsidP="00C573D9">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k.A.</w:t>
            </w:r>
          </w:p>
        </w:tc>
      </w:tr>
      <w:tr w:rsidR="00C573D9" w:rsidRPr="0040745F" w14:paraId="66927A65" w14:textId="77777777" w:rsidTr="00A02BEA">
        <w:trPr>
          <w:trHeight w:val="142"/>
        </w:trPr>
        <w:tc>
          <w:tcPr>
            <w:tcW w:w="567" w:type="dxa"/>
            <w:tcBorders>
              <w:top w:val="single" w:sz="4" w:space="0" w:color="014171"/>
              <w:bottom w:val="single" w:sz="4" w:space="0" w:color="014171"/>
            </w:tcBorders>
          </w:tcPr>
          <w:p w14:paraId="56B8899A" w14:textId="5C18CDE8" w:rsidR="00C573D9" w:rsidRPr="0040745F" w:rsidRDefault="00C573D9" w:rsidP="00C573D9">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26</w:t>
            </w:r>
          </w:p>
        </w:tc>
        <w:tc>
          <w:tcPr>
            <w:tcW w:w="5103" w:type="dxa"/>
            <w:tcBorders>
              <w:top w:val="single" w:sz="4" w:space="0" w:color="014171"/>
              <w:bottom w:val="single" w:sz="4" w:space="0" w:color="014171"/>
            </w:tcBorders>
          </w:tcPr>
          <w:p w14:paraId="0083B928" w14:textId="2DD11929" w:rsidR="00C573D9" w:rsidRPr="0040745F" w:rsidRDefault="00485F00" w:rsidP="00C573D9">
            <w:pPr>
              <w:autoSpaceDE w:val="0"/>
              <w:autoSpaceDN w:val="0"/>
              <w:adjustRightInd w:val="0"/>
              <w:spacing w:after="0"/>
              <w:ind w:left="113"/>
              <w:jc w:val="both"/>
              <w:rPr>
                <w:rFonts w:ascii="Segoe UI" w:hAnsi="Segoe UI" w:cs="Segoe UI"/>
                <w:color w:val="014171"/>
                <w:sz w:val="18"/>
                <w:szCs w:val="18"/>
                <w:lang w:val="de-DE"/>
              </w:rPr>
            </w:pPr>
            <w:r w:rsidRPr="0040745F">
              <w:rPr>
                <w:rFonts w:ascii="Segoe UI" w:hAnsi="Segoe UI" w:cs="Segoe UI"/>
                <w:color w:val="014171"/>
                <w:sz w:val="18"/>
                <w:szCs w:val="18"/>
                <w:lang w:val="de-DE"/>
              </w:rPr>
              <w:t>Wenn wandelbar: ganz oder teilweise</w:t>
            </w:r>
          </w:p>
        </w:tc>
        <w:tc>
          <w:tcPr>
            <w:tcW w:w="3597" w:type="dxa"/>
            <w:tcBorders>
              <w:top w:val="single" w:sz="4" w:space="0" w:color="014171"/>
              <w:bottom w:val="single" w:sz="4" w:space="0" w:color="014171"/>
            </w:tcBorders>
          </w:tcPr>
          <w:p w14:paraId="5862EFB3" w14:textId="49BF12E9" w:rsidR="00C573D9" w:rsidRPr="0040745F" w:rsidRDefault="00C573D9" w:rsidP="00C573D9">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k.A.</w:t>
            </w:r>
          </w:p>
        </w:tc>
      </w:tr>
      <w:tr w:rsidR="00C573D9" w:rsidRPr="0040745F" w14:paraId="7CAB5A8F" w14:textId="77777777" w:rsidTr="00A02BEA">
        <w:trPr>
          <w:trHeight w:val="142"/>
        </w:trPr>
        <w:tc>
          <w:tcPr>
            <w:tcW w:w="567" w:type="dxa"/>
            <w:tcBorders>
              <w:top w:val="single" w:sz="4" w:space="0" w:color="014171"/>
              <w:bottom w:val="single" w:sz="4" w:space="0" w:color="014171"/>
            </w:tcBorders>
          </w:tcPr>
          <w:p w14:paraId="246F318A" w14:textId="2871642D" w:rsidR="00C573D9" w:rsidRPr="0040745F" w:rsidRDefault="00C573D9" w:rsidP="00C573D9">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27</w:t>
            </w:r>
          </w:p>
        </w:tc>
        <w:tc>
          <w:tcPr>
            <w:tcW w:w="5103" w:type="dxa"/>
            <w:tcBorders>
              <w:top w:val="single" w:sz="4" w:space="0" w:color="014171"/>
              <w:bottom w:val="single" w:sz="4" w:space="0" w:color="014171"/>
            </w:tcBorders>
          </w:tcPr>
          <w:p w14:paraId="58CC4EAD" w14:textId="42454664" w:rsidR="00C573D9" w:rsidRPr="0040745F" w:rsidRDefault="00485F00" w:rsidP="00C573D9">
            <w:pPr>
              <w:autoSpaceDE w:val="0"/>
              <w:autoSpaceDN w:val="0"/>
              <w:adjustRightInd w:val="0"/>
              <w:spacing w:after="0"/>
              <w:ind w:left="113"/>
              <w:jc w:val="both"/>
              <w:rPr>
                <w:rFonts w:ascii="Segoe UI" w:hAnsi="Segoe UI" w:cs="Segoe UI"/>
                <w:color w:val="014171"/>
                <w:sz w:val="18"/>
                <w:szCs w:val="18"/>
                <w:lang w:val="de-DE"/>
              </w:rPr>
            </w:pPr>
            <w:r w:rsidRPr="0040745F">
              <w:rPr>
                <w:rFonts w:ascii="Segoe UI" w:hAnsi="Segoe UI" w:cs="Segoe UI"/>
                <w:color w:val="014171"/>
                <w:sz w:val="18"/>
                <w:szCs w:val="18"/>
                <w:lang w:val="de-DE"/>
              </w:rPr>
              <w:t>Wenn wandelbar: Wandlungsrate</w:t>
            </w:r>
          </w:p>
        </w:tc>
        <w:tc>
          <w:tcPr>
            <w:tcW w:w="3597" w:type="dxa"/>
            <w:tcBorders>
              <w:top w:val="single" w:sz="4" w:space="0" w:color="014171"/>
              <w:bottom w:val="single" w:sz="4" w:space="0" w:color="014171"/>
            </w:tcBorders>
          </w:tcPr>
          <w:p w14:paraId="30F330FE" w14:textId="76AA4AAF" w:rsidR="00C573D9" w:rsidRPr="0040745F" w:rsidRDefault="00C573D9" w:rsidP="00C573D9">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k.A.</w:t>
            </w:r>
          </w:p>
        </w:tc>
      </w:tr>
      <w:tr w:rsidR="00C573D9" w:rsidRPr="0040745F" w14:paraId="289503D2" w14:textId="77777777" w:rsidTr="00A02BEA">
        <w:trPr>
          <w:trHeight w:val="142"/>
        </w:trPr>
        <w:tc>
          <w:tcPr>
            <w:tcW w:w="567" w:type="dxa"/>
            <w:tcBorders>
              <w:top w:val="single" w:sz="4" w:space="0" w:color="014171"/>
              <w:bottom w:val="single" w:sz="4" w:space="0" w:color="014171"/>
            </w:tcBorders>
          </w:tcPr>
          <w:p w14:paraId="202CB3CC" w14:textId="311CFAF9" w:rsidR="00C573D9" w:rsidRPr="0040745F" w:rsidRDefault="00C573D9" w:rsidP="00C573D9">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28</w:t>
            </w:r>
          </w:p>
        </w:tc>
        <w:tc>
          <w:tcPr>
            <w:tcW w:w="5103" w:type="dxa"/>
            <w:tcBorders>
              <w:top w:val="single" w:sz="4" w:space="0" w:color="014171"/>
              <w:bottom w:val="single" w:sz="4" w:space="0" w:color="014171"/>
            </w:tcBorders>
          </w:tcPr>
          <w:p w14:paraId="6DFA6B4E" w14:textId="7E000C0A" w:rsidR="00C573D9" w:rsidRPr="0040745F" w:rsidRDefault="00485F00" w:rsidP="00C573D9">
            <w:pPr>
              <w:autoSpaceDE w:val="0"/>
              <w:autoSpaceDN w:val="0"/>
              <w:adjustRightInd w:val="0"/>
              <w:spacing w:after="0"/>
              <w:ind w:left="113"/>
              <w:jc w:val="both"/>
              <w:rPr>
                <w:rFonts w:ascii="Segoe UI" w:hAnsi="Segoe UI" w:cs="Segoe UI"/>
                <w:color w:val="014171"/>
                <w:sz w:val="18"/>
                <w:szCs w:val="18"/>
                <w:lang w:val="de-DE"/>
              </w:rPr>
            </w:pPr>
            <w:r w:rsidRPr="0040745F">
              <w:rPr>
                <w:rFonts w:ascii="Segoe UI" w:hAnsi="Segoe UI" w:cs="Segoe UI"/>
                <w:color w:val="014171"/>
                <w:sz w:val="18"/>
                <w:szCs w:val="18"/>
                <w:lang w:val="de-DE"/>
              </w:rPr>
              <w:t>Wenn wandelbar: Wandlung obligatorisch oder fakultativ</w:t>
            </w:r>
          </w:p>
        </w:tc>
        <w:tc>
          <w:tcPr>
            <w:tcW w:w="3597" w:type="dxa"/>
            <w:tcBorders>
              <w:top w:val="single" w:sz="4" w:space="0" w:color="014171"/>
              <w:bottom w:val="single" w:sz="4" w:space="0" w:color="014171"/>
            </w:tcBorders>
          </w:tcPr>
          <w:p w14:paraId="3AF37324" w14:textId="62DACE32" w:rsidR="00C573D9" w:rsidRPr="0040745F" w:rsidRDefault="00C573D9" w:rsidP="00C573D9">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k.A.</w:t>
            </w:r>
          </w:p>
        </w:tc>
      </w:tr>
      <w:tr w:rsidR="00C573D9" w:rsidRPr="0040745F" w14:paraId="7A63FFD1" w14:textId="77777777" w:rsidTr="00A02BEA">
        <w:trPr>
          <w:trHeight w:val="142"/>
        </w:trPr>
        <w:tc>
          <w:tcPr>
            <w:tcW w:w="567" w:type="dxa"/>
            <w:tcBorders>
              <w:top w:val="single" w:sz="4" w:space="0" w:color="014171"/>
              <w:bottom w:val="single" w:sz="4" w:space="0" w:color="014171"/>
            </w:tcBorders>
          </w:tcPr>
          <w:p w14:paraId="483945E5" w14:textId="05A03C23" w:rsidR="00C573D9" w:rsidRPr="0040745F" w:rsidRDefault="00C573D9" w:rsidP="00C573D9">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29</w:t>
            </w:r>
          </w:p>
        </w:tc>
        <w:tc>
          <w:tcPr>
            <w:tcW w:w="5103" w:type="dxa"/>
            <w:tcBorders>
              <w:top w:val="single" w:sz="4" w:space="0" w:color="014171"/>
              <w:bottom w:val="single" w:sz="4" w:space="0" w:color="014171"/>
            </w:tcBorders>
          </w:tcPr>
          <w:p w14:paraId="583B4EC3" w14:textId="7F254A06" w:rsidR="00C573D9" w:rsidRPr="0040745F" w:rsidRDefault="00485F00" w:rsidP="00C573D9">
            <w:pPr>
              <w:autoSpaceDE w:val="0"/>
              <w:autoSpaceDN w:val="0"/>
              <w:adjustRightInd w:val="0"/>
              <w:spacing w:after="0"/>
              <w:ind w:left="113"/>
              <w:jc w:val="both"/>
              <w:rPr>
                <w:rFonts w:ascii="Segoe UI" w:hAnsi="Segoe UI" w:cs="Segoe UI"/>
                <w:color w:val="014171"/>
                <w:sz w:val="18"/>
                <w:szCs w:val="18"/>
                <w:lang w:val="de-DE"/>
              </w:rPr>
            </w:pPr>
            <w:r w:rsidRPr="0040745F">
              <w:rPr>
                <w:rFonts w:ascii="Segoe UI" w:hAnsi="Segoe UI" w:cs="Segoe UI"/>
                <w:color w:val="014171"/>
                <w:sz w:val="18"/>
                <w:szCs w:val="18"/>
                <w:lang w:val="de-DE"/>
              </w:rPr>
              <w:t>Wenn wandelbar: Typ des Instruments in das gewandelt wird</w:t>
            </w:r>
          </w:p>
        </w:tc>
        <w:tc>
          <w:tcPr>
            <w:tcW w:w="3597" w:type="dxa"/>
            <w:tcBorders>
              <w:top w:val="single" w:sz="4" w:space="0" w:color="014171"/>
              <w:bottom w:val="single" w:sz="4" w:space="0" w:color="014171"/>
            </w:tcBorders>
          </w:tcPr>
          <w:p w14:paraId="7649703E" w14:textId="5495BDAB" w:rsidR="00C573D9" w:rsidRPr="0040745F" w:rsidRDefault="00C573D9" w:rsidP="00C573D9">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k.A.</w:t>
            </w:r>
          </w:p>
        </w:tc>
      </w:tr>
      <w:tr w:rsidR="00C573D9" w:rsidRPr="0040745F" w14:paraId="4CCABCF5" w14:textId="77777777" w:rsidTr="00A02BEA">
        <w:trPr>
          <w:trHeight w:val="142"/>
        </w:trPr>
        <w:tc>
          <w:tcPr>
            <w:tcW w:w="567" w:type="dxa"/>
            <w:tcBorders>
              <w:top w:val="single" w:sz="4" w:space="0" w:color="014171"/>
              <w:bottom w:val="single" w:sz="4" w:space="0" w:color="014171"/>
            </w:tcBorders>
          </w:tcPr>
          <w:p w14:paraId="48C45849" w14:textId="076F221B" w:rsidR="00C573D9" w:rsidRPr="0040745F" w:rsidRDefault="00C573D9" w:rsidP="00C573D9">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30</w:t>
            </w:r>
          </w:p>
        </w:tc>
        <w:tc>
          <w:tcPr>
            <w:tcW w:w="5103" w:type="dxa"/>
            <w:tcBorders>
              <w:top w:val="single" w:sz="4" w:space="0" w:color="014171"/>
              <w:bottom w:val="single" w:sz="4" w:space="0" w:color="014171"/>
            </w:tcBorders>
          </w:tcPr>
          <w:p w14:paraId="2F7BCECC" w14:textId="0F9A1BC5" w:rsidR="00C573D9" w:rsidRPr="0040745F" w:rsidRDefault="00485F00" w:rsidP="00C573D9">
            <w:pPr>
              <w:autoSpaceDE w:val="0"/>
              <w:autoSpaceDN w:val="0"/>
              <w:adjustRightInd w:val="0"/>
              <w:spacing w:after="0"/>
              <w:ind w:left="113"/>
              <w:jc w:val="both"/>
              <w:rPr>
                <w:rFonts w:ascii="Segoe UI" w:hAnsi="Segoe UI" w:cs="Segoe UI"/>
                <w:color w:val="014171"/>
                <w:sz w:val="18"/>
                <w:szCs w:val="18"/>
                <w:lang w:val="de-DE"/>
              </w:rPr>
            </w:pPr>
            <w:r w:rsidRPr="0040745F">
              <w:rPr>
                <w:rFonts w:ascii="Segoe UI" w:hAnsi="Segoe UI" w:cs="Segoe UI"/>
                <w:color w:val="014171"/>
                <w:sz w:val="18"/>
                <w:szCs w:val="18"/>
                <w:lang w:val="de-DE"/>
              </w:rPr>
              <w:t>Wenn wandelbar: Emittent des Instruments in das gewandelt wird</w:t>
            </w:r>
          </w:p>
        </w:tc>
        <w:tc>
          <w:tcPr>
            <w:tcW w:w="3597" w:type="dxa"/>
            <w:tcBorders>
              <w:top w:val="single" w:sz="4" w:space="0" w:color="014171"/>
              <w:bottom w:val="single" w:sz="4" w:space="0" w:color="014171"/>
            </w:tcBorders>
          </w:tcPr>
          <w:p w14:paraId="3BB93FA0" w14:textId="26281575" w:rsidR="00C573D9" w:rsidRPr="0040745F" w:rsidRDefault="00C573D9" w:rsidP="00C573D9">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k.A.</w:t>
            </w:r>
          </w:p>
        </w:tc>
      </w:tr>
      <w:tr w:rsidR="00C573D9" w:rsidRPr="0040745F" w14:paraId="768CAC94" w14:textId="77777777" w:rsidTr="00A02BEA">
        <w:trPr>
          <w:trHeight w:val="142"/>
        </w:trPr>
        <w:tc>
          <w:tcPr>
            <w:tcW w:w="567" w:type="dxa"/>
            <w:tcBorders>
              <w:top w:val="single" w:sz="4" w:space="0" w:color="014171"/>
              <w:bottom w:val="single" w:sz="4" w:space="0" w:color="014171"/>
            </w:tcBorders>
          </w:tcPr>
          <w:p w14:paraId="75C2EE5F" w14:textId="3AB80BE9" w:rsidR="00C573D9" w:rsidRPr="0040745F" w:rsidRDefault="00C573D9" w:rsidP="00C573D9">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31</w:t>
            </w:r>
          </w:p>
        </w:tc>
        <w:tc>
          <w:tcPr>
            <w:tcW w:w="5103" w:type="dxa"/>
            <w:tcBorders>
              <w:top w:val="single" w:sz="4" w:space="0" w:color="014171"/>
              <w:bottom w:val="single" w:sz="4" w:space="0" w:color="014171"/>
            </w:tcBorders>
          </w:tcPr>
          <w:p w14:paraId="523F992A" w14:textId="6ACBE884" w:rsidR="00C573D9" w:rsidRPr="0040745F" w:rsidRDefault="00485F00" w:rsidP="00C573D9">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Herabschreibungsmerkmale</w:t>
            </w:r>
          </w:p>
        </w:tc>
        <w:tc>
          <w:tcPr>
            <w:tcW w:w="3597" w:type="dxa"/>
            <w:tcBorders>
              <w:top w:val="single" w:sz="4" w:space="0" w:color="014171"/>
              <w:bottom w:val="single" w:sz="4" w:space="0" w:color="014171"/>
            </w:tcBorders>
          </w:tcPr>
          <w:p w14:paraId="6CE3B466" w14:textId="2BA406F1" w:rsidR="00C573D9" w:rsidRPr="0040745F" w:rsidRDefault="00C573D9" w:rsidP="00C573D9">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k.A.</w:t>
            </w:r>
          </w:p>
        </w:tc>
      </w:tr>
      <w:tr w:rsidR="00C573D9" w:rsidRPr="0040745F" w14:paraId="3962581E" w14:textId="77777777" w:rsidTr="00A02BEA">
        <w:trPr>
          <w:trHeight w:val="142"/>
        </w:trPr>
        <w:tc>
          <w:tcPr>
            <w:tcW w:w="567" w:type="dxa"/>
            <w:tcBorders>
              <w:top w:val="single" w:sz="4" w:space="0" w:color="014171"/>
              <w:bottom w:val="single" w:sz="4" w:space="0" w:color="014171"/>
            </w:tcBorders>
          </w:tcPr>
          <w:p w14:paraId="0C86962F" w14:textId="582B89E6" w:rsidR="00C573D9" w:rsidRPr="0040745F" w:rsidRDefault="00C573D9" w:rsidP="00C573D9">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32</w:t>
            </w:r>
          </w:p>
        </w:tc>
        <w:tc>
          <w:tcPr>
            <w:tcW w:w="5103" w:type="dxa"/>
            <w:tcBorders>
              <w:top w:val="single" w:sz="4" w:space="0" w:color="014171"/>
              <w:bottom w:val="single" w:sz="4" w:space="0" w:color="014171"/>
            </w:tcBorders>
          </w:tcPr>
          <w:p w14:paraId="223C4518" w14:textId="4EAB101C" w:rsidR="00C573D9" w:rsidRPr="0040745F" w:rsidRDefault="00485F00" w:rsidP="00C573D9">
            <w:pPr>
              <w:autoSpaceDE w:val="0"/>
              <w:autoSpaceDN w:val="0"/>
              <w:adjustRightInd w:val="0"/>
              <w:spacing w:after="0"/>
              <w:ind w:left="113"/>
              <w:jc w:val="both"/>
              <w:rPr>
                <w:rFonts w:ascii="Segoe UI" w:hAnsi="Segoe UI" w:cs="Segoe UI"/>
                <w:color w:val="014171"/>
                <w:sz w:val="18"/>
                <w:szCs w:val="18"/>
                <w:lang w:val="de-DE"/>
              </w:rPr>
            </w:pPr>
            <w:r w:rsidRPr="0040745F">
              <w:rPr>
                <w:rFonts w:ascii="Segoe UI" w:hAnsi="Segoe UI" w:cs="Segoe UI"/>
                <w:color w:val="014171"/>
                <w:sz w:val="18"/>
                <w:szCs w:val="18"/>
                <w:lang w:val="de-DE"/>
              </w:rPr>
              <w:t>Bei Herabschreibung: Auslöser für die Herabschreibung</w:t>
            </w:r>
          </w:p>
        </w:tc>
        <w:tc>
          <w:tcPr>
            <w:tcW w:w="3597" w:type="dxa"/>
            <w:tcBorders>
              <w:top w:val="single" w:sz="4" w:space="0" w:color="014171"/>
              <w:bottom w:val="single" w:sz="4" w:space="0" w:color="014171"/>
            </w:tcBorders>
          </w:tcPr>
          <w:p w14:paraId="7D337026" w14:textId="1395E3BB" w:rsidR="00C573D9" w:rsidRPr="0040745F" w:rsidRDefault="00C573D9" w:rsidP="00C573D9">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k.A.</w:t>
            </w:r>
          </w:p>
        </w:tc>
      </w:tr>
      <w:tr w:rsidR="00C573D9" w:rsidRPr="0040745F" w14:paraId="14140EEE" w14:textId="77777777" w:rsidTr="00A02BEA">
        <w:trPr>
          <w:trHeight w:val="142"/>
        </w:trPr>
        <w:tc>
          <w:tcPr>
            <w:tcW w:w="567" w:type="dxa"/>
            <w:tcBorders>
              <w:top w:val="single" w:sz="4" w:space="0" w:color="014171"/>
              <w:bottom w:val="single" w:sz="4" w:space="0" w:color="014171"/>
            </w:tcBorders>
          </w:tcPr>
          <w:p w14:paraId="12A6D6E7" w14:textId="7A416BBC" w:rsidR="00C573D9" w:rsidRPr="0040745F" w:rsidRDefault="00C573D9" w:rsidP="00C573D9">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33</w:t>
            </w:r>
          </w:p>
        </w:tc>
        <w:tc>
          <w:tcPr>
            <w:tcW w:w="5103" w:type="dxa"/>
            <w:tcBorders>
              <w:top w:val="single" w:sz="4" w:space="0" w:color="014171"/>
              <w:bottom w:val="single" w:sz="4" w:space="0" w:color="014171"/>
            </w:tcBorders>
          </w:tcPr>
          <w:p w14:paraId="258F12FE" w14:textId="784E4370" w:rsidR="00C573D9" w:rsidRPr="0040745F" w:rsidRDefault="00485F00" w:rsidP="00C573D9">
            <w:pPr>
              <w:autoSpaceDE w:val="0"/>
              <w:autoSpaceDN w:val="0"/>
              <w:adjustRightInd w:val="0"/>
              <w:spacing w:after="0"/>
              <w:ind w:left="113"/>
              <w:jc w:val="both"/>
              <w:rPr>
                <w:rFonts w:ascii="Segoe UI" w:hAnsi="Segoe UI" w:cs="Segoe UI"/>
                <w:color w:val="014171"/>
                <w:sz w:val="18"/>
                <w:szCs w:val="18"/>
                <w:lang w:val="de-DE"/>
              </w:rPr>
            </w:pPr>
            <w:r w:rsidRPr="0040745F">
              <w:rPr>
                <w:rFonts w:ascii="Segoe UI" w:hAnsi="Segoe UI" w:cs="Segoe UI"/>
                <w:color w:val="014171"/>
                <w:sz w:val="18"/>
                <w:szCs w:val="18"/>
                <w:lang w:val="de-DE"/>
              </w:rPr>
              <w:t>Bei Herabschreibung: ganz oder teilweise</w:t>
            </w:r>
          </w:p>
        </w:tc>
        <w:tc>
          <w:tcPr>
            <w:tcW w:w="3597" w:type="dxa"/>
            <w:tcBorders>
              <w:top w:val="single" w:sz="4" w:space="0" w:color="014171"/>
              <w:bottom w:val="single" w:sz="4" w:space="0" w:color="014171"/>
            </w:tcBorders>
          </w:tcPr>
          <w:p w14:paraId="7CD86127" w14:textId="6D7E1CF7" w:rsidR="00C573D9" w:rsidRPr="0040745F" w:rsidRDefault="00C573D9" w:rsidP="00C573D9">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k.A.</w:t>
            </w:r>
          </w:p>
        </w:tc>
      </w:tr>
      <w:tr w:rsidR="00C573D9" w:rsidRPr="0040745F" w14:paraId="77AC0025" w14:textId="77777777" w:rsidTr="00A02BEA">
        <w:trPr>
          <w:trHeight w:val="142"/>
        </w:trPr>
        <w:tc>
          <w:tcPr>
            <w:tcW w:w="567" w:type="dxa"/>
            <w:tcBorders>
              <w:top w:val="single" w:sz="4" w:space="0" w:color="014171"/>
              <w:bottom w:val="single" w:sz="4" w:space="0" w:color="014171"/>
            </w:tcBorders>
          </w:tcPr>
          <w:p w14:paraId="3010E4D3" w14:textId="797801AD" w:rsidR="00C573D9" w:rsidRPr="0040745F" w:rsidRDefault="00C573D9" w:rsidP="00C573D9">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lastRenderedPageBreak/>
              <w:t>34</w:t>
            </w:r>
          </w:p>
        </w:tc>
        <w:tc>
          <w:tcPr>
            <w:tcW w:w="5103" w:type="dxa"/>
            <w:tcBorders>
              <w:top w:val="single" w:sz="4" w:space="0" w:color="014171"/>
              <w:bottom w:val="single" w:sz="4" w:space="0" w:color="014171"/>
            </w:tcBorders>
          </w:tcPr>
          <w:p w14:paraId="132730D9" w14:textId="1A2A248C" w:rsidR="00C573D9" w:rsidRPr="0040745F" w:rsidRDefault="00485F00" w:rsidP="00C573D9">
            <w:pPr>
              <w:autoSpaceDE w:val="0"/>
              <w:autoSpaceDN w:val="0"/>
              <w:adjustRightInd w:val="0"/>
              <w:spacing w:after="0"/>
              <w:ind w:left="113"/>
              <w:jc w:val="both"/>
              <w:rPr>
                <w:rFonts w:ascii="Segoe UI" w:hAnsi="Segoe UI" w:cs="Segoe UI"/>
                <w:color w:val="014171"/>
                <w:sz w:val="18"/>
                <w:szCs w:val="18"/>
                <w:lang w:val="de-DE"/>
              </w:rPr>
            </w:pPr>
            <w:r w:rsidRPr="0040745F">
              <w:rPr>
                <w:rFonts w:ascii="Segoe UI" w:hAnsi="Segoe UI" w:cs="Segoe UI"/>
                <w:color w:val="014171"/>
                <w:sz w:val="18"/>
                <w:szCs w:val="18"/>
                <w:lang w:val="de-DE"/>
              </w:rPr>
              <w:t>Bei Herabschreibung: dauerhaft oder vorübergehend</w:t>
            </w:r>
          </w:p>
        </w:tc>
        <w:tc>
          <w:tcPr>
            <w:tcW w:w="3597" w:type="dxa"/>
            <w:tcBorders>
              <w:top w:val="single" w:sz="4" w:space="0" w:color="014171"/>
              <w:bottom w:val="single" w:sz="4" w:space="0" w:color="014171"/>
            </w:tcBorders>
          </w:tcPr>
          <w:p w14:paraId="61899F2A" w14:textId="5DC8C93A" w:rsidR="00C573D9" w:rsidRPr="0040745F" w:rsidRDefault="00C573D9" w:rsidP="00C573D9">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k.A.</w:t>
            </w:r>
          </w:p>
        </w:tc>
      </w:tr>
      <w:tr w:rsidR="00C573D9" w:rsidRPr="0040745F" w14:paraId="03AC538D" w14:textId="77777777" w:rsidTr="00A02BEA">
        <w:trPr>
          <w:trHeight w:val="142"/>
        </w:trPr>
        <w:tc>
          <w:tcPr>
            <w:tcW w:w="567" w:type="dxa"/>
            <w:tcBorders>
              <w:top w:val="single" w:sz="4" w:space="0" w:color="014171"/>
              <w:bottom w:val="single" w:sz="4" w:space="0" w:color="014171"/>
            </w:tcBorders>
          </w:tcPr>
          <w:p w14:paraId="12189DF1" w14:textId="6A7369D5" w:rsidR="00C573D9" w:rsidRPr="0040745F" w:rsidRDefault="00C573D9" w:rsidP="00C573D9">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35</w:t>
            </w:r>
          </w:p>
        </w:tc>
        <w:tc>
          <w:tcPr>
            <w:tcW w:w="5103" w:type="dxa"/>
            <w:tcBorders>
              <w:top w:val="single" w:sz="4" w:space="0" w:color="014171"/>
              <w:bottom w:val="single" w:sz="4" w:space="0" w:color="014171"/>
            </w:tcBorders>
          </w:tcPr>
          <w:p w14:paraId="556FE63D" w14:textId="7ADCA303" w:rsidR="00C573D9" w:rsidRPr="0040745F" w:rsidRDefault="00485F00" w:rsidP="00C573D9">
            <w:pPr>
              <w:autoSpaceDE w:val="0"/>
              <w:autoSpaceDN w:val="0"/>
              <w:adjustRightInd w:val="0"/>
              <w:spacing w:after="0"/>
              <w:ind w:left="227"/>
              <w:jc w:val="both"/>
              <w:rPr>
                <w:rFonts w:ascii="Segoe UI" w:hAnsi="Segoe UI" w:cs="Segoe UI"/>
                <w:color w:val="014171"/>
                <w:sz w:val="18"/>
                <w:szCs w:val="18"/>
                <w:lang w:val="de-DE"/>
              </w:rPr>
            </w:pPr>
            <w:r w:rsidRPr="0040745F">
              <w:rPr>
                <w:rFonts w:ascii="Segoe UI" w:hAnsi="Segoe UI" w:cs="Segoe UI"/>
                <w:color w:val="014171"/>
                <w:sz w:val="18"/>
                <w:szCs w:val="18"/>
                <w:lang w:val="de-DE"/>
              </w:rPr>
              <w:t>Bei vorübergehender Herabschreibung: Mechanismus zur Wiederzuschreibung</w:t>
            </w:r>
          </w:p>
        </w:tc>
        <w:tc>
          <w:tcPr>
            <w:tcW w:w="3597" w:type="dxa"/>
            <w:tcBorders>
              <w:top w:val="single" w:sz="4" w:space="0" w:color="014171"/>
              <w:bottom w:val="single" w:sz="4" w:space="0" w:color="014171"/>
            </w:tcBorders>
          </w:tcPr>
          <w:p w14:paraId="40E09B23" w14:textId="7D66AE56" w:rsidR="00C573D9" w:rsidRPr="0040745F" w:rsidRDefault="00C573D9" w:rsidP="00C573D9">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k.A.</w:t>
            </w:r>
          </w:p>
        </w:tc>
      </w:tr>
      <w:tr w:rsidR="00C573D9" w:rsidRPr="0040745F" w14:paraId="75BA092C" w14:textId="77777777" w:rsidTr="00A02BEA">
        <w:trPr>
          <w:trHeight w:val="142"/>
        </w:trPr>
        <w:tc>
          <w:tcPr>
            <w:tcW w:w="567" w:type="dxa"/>
            <w:tcBorders>
              <w:top w:val="single" w:sz="4" w:space="0" w:color="014171"/>
              <w:bottom w:val="single" w:sz="4" w:space="0" w:color="014171"/>
            </w:tcBorders>
          </w:tcPr>
          <w:p w14:paraId="2067B984" w14:textId="1C6C4BA0" w:rsidR="00C573D9" w:rsidRPr="0040745F" w:rsidRDefault="00C573D9" w:rsidP="00C573D9">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36</w:t>
            </w:r>
          </w:p>
        </w:tc>
        <w:tc>
          <w:tcPr>
            <w:tcW w:w="5103" w:type="dxa"/>
            <w:tcBorders>
              <w:top w:val="single" w:sz="4" w:space="0" w:color="014171"/>
              <w:bottom w:val="single" w:sz="4" w:space="0" w:color="014171"/>
            </w:tcBorders>
          </w:tcPr>
          <w:p w14:paraId="4644C509" w14:textId="673B0A02" w:rsidR="00C573D9" w:rsidRPr="0040745F" w:rsidRDefault="00485F00" w:rsidP="00C573D9">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Unvorschriftsmäßige Merkmale der gewandelten Instrumente</w:t>
            </w:r>
          </w:p>
        </w:tc>
        <w:tc>
          <w:tcPr>
            <w:tcW w:w="3597" w:type="dxa"/>
            <w:tcBorders>
              <w:top w:val="single" w:sz="4" w:space="0" w:color="014171"/>
              <w:bottom w:val="single" w:sz="4" w:space="0" w:color="014171"/>
            </w:tcBorders>
          </w:tcPr>
          <w:p w14:paraId="5747BA11" w14:textId="5EFBD6CD" w:rsidR="00C573D9" w:rsidRPr="0040745F" w:rsidRDefault="00C573D9" w:rsidP="00C573D9">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Nein</w:t>
            </w:r>
          </w:p>
        </w:tc>
      </w:tr>
      <w:tr w:rsidR="00C573D9" w:rsidRPr="0040745F" w14:paraId="06B2FB1F" w14:textId="77777777" w:rsidTr="00A02BEA">
        <w:trPr>
          <w:trHeight w:val="142"/>
        </w:trPr>
        <w:tc>
          <w:tcPr>
            <w:tcW w:w="567" w:type="dxa"/>
            <w:tcBorders>
              <w:top w:val="single" w:sz="4" w:space="0" w:color="014171"/>
              <w:bottom w:val="single" w:sz="4" w:space="0" w:color="014171"/>
            </w:tcBorders>
          </w:tcPr>
          <w:p w14:paraId="7E302B77" w14:textId="7E985D7C" w:rsidR="00C573D9" w:rsidRPr="0040745F" w:rsidRDefault="00C573D9" w:rsidP="00C573D9">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37</w:t>
            </w:r>
          </w:p>
        </w:tc>
        <w:tc>
          <w:tcPr>
            <w:tcW w:w="5103" w:type="dxa"/>
            <w:tcBorders>
              <w:top w:val="single" w:sz="4" w:space="0" w:color="014171"/>
              <w:bottom w:val="single" w:sz="4" w:space="0" w:color="014171"/>
            </w:tcBorders>
          </w:tcPr>
          <w:p w14:paraId="19006261" w14:textId="7E6C5BC6" w:rsidR="00C573D9" w:rsidRPr="0040745F" w:rsidRDefault="00485F00" w:rsidP="00C573D9">
            <w:pPr>
              <w:autoSpaceDE w:val="0"/>
              <w:autoSpaceDN w:val="0"/>
              <w:adjustRightInd w:val="0"/>
              <w:spacing w:after="0"/>
              <w:ind w:left="113"/>
              <w:jc w:val="both"/>
              <w:rPr>
                <w:rFonts w:ascii="Segoe UI" w:hAnsi="Segoe UI" w:cs="Segoe UI"/>
                <w:color w:val="014171"/>
                <w:sz w:val="18"/>
                <w:szCs w:val="18"/>
                <w:lang w:val="de-DE"/>
              </w:rPr>
            </w:pPr>
            <w:r w:rsidRPr="0040745F">
              <w:rPr>
                <w:rFonts w:ascii="Segoe UI" w:hAnsi="Segoe UI" w:cs="Segoe UI"/>
                <w:color w:val="014171"/>
                <w:sz w:val="18"/>
                <w:szCs w:val="18"/>
                <w:lang w:val="de-DE"/>
              </w:rPr>
              <w:t>Gegebenenfalls Angabe der unvorschriftsmäßigen Merkmale</w:t>
            </w:r>
          </w:p>
        </w:tc>
        <w:tc>
          <w:tcPr>
            <w:tcW w:w="3597" w:type="dxa"/>
            <w:tcBorders>
              <w:top w:val="single" w:sz="4" w:space="0" w:color="014171"/>
              <w:bottom w:val="single" w:sz="4" w:space="0" w:color="014171"/>
            </w:tcBorders>
          </w:tcPr>
          <w:p w14:paraId="3ECAD750" w14:textId="1E09AAF3" w:rsidR="00C573D9" w:rsidRPr="0040745F" w:rsidRDefault="00C573D9" w:rsidP="00C573D9">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k.A.</w:t>
            </w:r>
          </w:p>
        </w:tc>
      </w:tr>
      <w:tr w:rsidR="00C573D9" w:rsidRPr="0040745F" w14:paraId="4A258492" w14:textId="77777777" w:rsidTr="00A02BEA">
        <w:trPr>
          <w:trHeight w:val="142"/>
        </w:trPr>
        <w:tc>
          <w:tcPr>
            <w:tcW w:w="567" w:type="dxa"/>
            <w:tcBorders>
              <w:top w:val="single" w:sz="4" w:space="0" w:color="014171"/>
              <w:bottom w:val="single" w:sz="12" w:space="0" w:color="014171"/>
            </w:tcBorders>
          </w:tcPr>
          <w:p w14:paraId="502CB76B" w14:textId="47585FA9" w:rsidR="00C573D9" w:rsidRPr="0040745F" w:rsidRDefault="00C573D9" w:rsidP="00C573D9">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38</w:t>
            </w:r>
          </w:p>
        </w:tc>
        <w:tc>
          <w:tcPr>
            <w:tcW w:w="5103" w:type="dxa"/>
            <w:tcBorders>
              <w:top w:val="single" w:sz="4" w:space="0" w:color="014171"/>
              <w:bottom w:val="single" w:sz="12" w:space="0" w:color="014171"/>
            </w:tcBorders>
          </w:tcPr>
          <w:p w14:paraId="5E856354" w14:textId="73EFF508" w:rsidR="00C573D9" w:rsidRPr="0040745F" w:rsidRDefault="00485F00" w:rsidP="00C573D9">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Link zu den vollständigen Geschäftsbedingungen des Instruments (Verweis)</w:t>
            </w:r>
          </w:p>
        </w:tc>
        <w:tc>
          <w:tcPr>
            <w:tcW w:w="3597" w:type="dxa"/>
            <w:tcBorders>
              <w:top w:val="single" w:sz="4" w:space="0" w:color="014171"/>
              <w:bottom w:val="single" w:sz="12" w:space="0" w:color="014171"/>
            </w:tcBorders>
          </w:tcPr>
          <w:p w14:paraId="3E407717" w14:textId="57981C0E" w:rsidR="00C573D9" w:rsidRPr="0040745F" w:rsidRDefault="00C573D9" w:rsidP="00C573D9">
            <w:pPr>
              <w:autoSpaceDE w:val="0"/>
              <w:autoSpaceDN w:val="0"/>
              <w:adjustRightInd w:val="0"/>
              <w:spacing w:after="0"/>
              <w:jc w:val="both"/>
              <w:rPr>
                <w:rFonts w:ascii="Segoe UI" w:hAnsi="Segoe UI" w:cs="Segoe UI"/>
                <w:color w:val="014171"/>
                <w:sz w:val="18"/>
                <w:szCs w:val="18"/>
                <w:lang w:val="de-DE"/>
              </w:rPr>
            </w:pPr>
            <w:r w:rsidRPr="0040745F">
              <w:rPr>
                <w:rFonts w:ascii="Segoe UI" w:hAnsi="Segoe UI" w:cs="Segoe UI"/>
                <w:color w:val="014171"/>
                <w:sz w:val="18"/>
                <w:szCs w:val="18"/>
                <w:lang w:val="de-DE"/>
              </w:rPr>
              <w:t>www.handelsregister.de</w:t>
            </w:r>
          </w:p>
        </w:tc>
      </w:tr>
    </w:tbl>
    <w:p w14:paraId="07274BFA" w14:textId="35DADE10" w:rsidR="00776ADF" w:rsidRPr="0040745F" w:rsidRDefault="00776ADF" w:rsidP="002034F4">
      <w:pPr>
        <w:spacing w:after="0"/>
        <w:jc w:val="both"/>
        <w:rPr>
          <w:rFonts w:ascii="Segoe UI" w:hAnsi="Segoe UI" w:cs="Segoe UI"/>
          <w:color w:val="014171"/>
          <w:lang w:val="de-DE"/>
        </w:rPr>
      </w:pPr>
      <w:r w:rsidRPr="0040745F">
        <w:rPr>
          <w:rFonts w:ascii="Segoe UI" w:hAnsi="Segoe UI" w:cs="Segoe UI"/>
          <w:color w:val="014171"/>
          <w:lang w:val="de-DE"/>
        </w:rPr>
        <w:br w:type="page"/>
      </w:r>
    </w:p>
    <w:p w14:paraId="207D35F9" w14:textId="48F8BC04" w:rsidR="00CE13F5" w:rsidRPr="0040745F" w:rsidRDefault="00091D98" w:rsidP="00E27BB3">
      <w:pPr>
        <w:pStyle w:val="Heading1"/>
        <w:rPr>
          <w:lang w:val="de-DE"/>
        </w:rPr>
      </w:pPr>
      <w:bookmarkStart w:id="60" w:name="_Toc120891008"/>
      <w:bookmarkStart w:id="61" w:name="_Toc102121165"/>
      <w:bookmarkStart w:id="62" w:name="_Toc123138023"/>
      <w:bookmarkEnd w:id="60"/>
      <w:r w:rsidRPr="0040745F">
        <w:rPr>
          <w:lang w:val="de-DE"/>
        </w:rPr>
        <w:lastRenderedPageBreak/>
        <w:t>Eigenmittelanforderungen</w:t>
      </w:r>
      <w:r w:rsidR="00B60BC1" w:rsidRPr="0040745F">
        <w:rPr>
          <w:lang w:val="de-DE"/>
        </w:rPr>
        <w:t xml:space="preserve"> (</w:t>
      </w:r>
      <w:r w:rsidR="000E6E44" w:rsidRPr="0040745F">
        <w:rPr>
          <w:lang w:val="de-DE"/>
        </w:rPr>
        <w:t>A</w:t>
      </w:r>
      <w:r w:rsidR="00B60BC1" w:rsidRPr="0040745F">
        <w:rPr>
          <w:lang w:val="de-DE"/>
        </w:rPr>
        <w:t>rti</w:t>
      </w:r>
      <w:r w:rsidRPr="0040745F">
        <w:rPr>
          <w:lang w:val="de-DE"/>
        </w:rPr>
        <w:t>kel</w:t>
      </w:r>
      <w:r w:rsidR="00B60BC1" w:rsidRPr="0040745F">
        <w:rPr>
          <w:lang w:val="de-DE"/>
        </w:rPr>
        <w:t xml:space="preserve"> 50 IFR</w:t>
      </w:r>
      <w:r w:rsidR="00E20824" w:rsidRPr="0040745F">
        <w:rPr>
          <w:lang w:val="de-DE"/>
        </w:rPr>
        <w:t>)</w:t>
      </w:r>
      <w:bookmarkEnd w:id="61"/>
      <w:bookmarkEnd w:id="62"/>
    </w:p>
    <w:p w14:paraId="1D7AD062" w14:textId="44F47E60" w:rsidR="009449D9" w:rsidRPr="0040745F" w:rsidRDefault="0056745F" w:rsidP="00E27BB3">
      <w:pPr>
        <w:pStyle w:val="Heading2"/>
        <w:rPr>
          <w:lang w:val="de-DE"/>
        </w:rPr>
      </w:pPr>
      <w:bookmarkStart w:id="63" w:name="_Toc120891010"/>
      <w:bookmarkStart w:id="64" w:name="_Toc120891011"/>
      <w:bookmarkStart w:id="65" w:name="_Toc120891012"/>
      <w:bookmarkStart w:id="66" w:name="_Toc120891013"/>
      <w:bookmarkStart w:id="67" w:name="_Toc120891014"/>
      <w:bookmarkStart w:id="68" w:name="_Toc120891015"/>
      <w:bookmarkStart w:id="69" w:name="_Toc120891016"/>
      <w:bookmarkStart w:id="70" w:name="_Toc120891025"/>
      <w:bookmarkStart w:id="71" w:name="_Toc120891030"/>
      <w:bookmarkStart w:id="72" w:name="_Toc120891038"/>
      <w:bookmarkStart w:id="73" w:name="_Toc123138024"/>
      <w:bookmarkStart w:id="74" w:name="_Toc102121167"/>
      <w:bookmarkStart w:id="75" w:name="_Toc297039295"/>
      <w:bookmarkStart w:id="76" w:name="_Toc297189998"/>
      <w:bookmarkStart w:id="77" w:name="_Toc422754645"/>
      <w:bookmarkEnd w:id="63"/>
      <w:bookmarkEnd w:id="64"/>
      <w:bookmarkEnd w:id="65"/>
      <w:bookmarkEnd w:id="66"/>
      <w:bookmarkEnd w:id="67"/>
      <w:bookmarkEnd w:id="68"/>
      <w:bookmarkEnd w:id="69"/>
      <w:bookmarkEnd w:id="70"/>
      <w:bookmarkEnd w:id="71"/>
      <w:bookmarkEnd w:id="72"/>
      <w:r w:rsidRPr="0040745F">
        <w:rPr>
          <w:lang w:val="de-DE"/>
        </w:rPr>
        <w:t>Ansatz zur Beurteilung der Angemessenheit der Eigenmittel</w:t>
      </w:r>
      <w:bookmarkEnd w:id="73"/>
      <w:r w:rsidR="00E20824" w:rsidRPr="0040745F">
        <w:rPr>
          <w:lang w:val="de-DE"/>
        </w:rPr>
        <w:t> </w:t>
      </w:r>
      <w:bookmarkEnd w:id="74"/>
    </w:p>
    <w:p w14:paraId="1BD8CCBF" w14:textId="74F75DC8" w:rsidR="00A04D7C" w:rsidRPr="0040745F" w:rsidRDefault="00E3665C" w:rsidP="00E27BB3">
      <w:pPr>
        <w:pStyle w:val="Heading3"/>
        <w:rPr>
          <w:b w:val="0"/>
          <w:lang w:val="de-DE"/>
        </w:rPr>
      </w:pPr>
      <w:bookmarkStart w:id="78" w:name="_Toc453148091"/>
      <w:bookmarkEnd w:id="75"/>
      <w:bookmarkEnd w:id="76"/>
      <w:bookmarkEnd w:id="77"/>
      <w:r w:rsidRPr="0040745F">
        <w:rPr>
          <w:lang w:val="de-DE"/>
        </w:rPr>
        <w:t>Regulator</w:t>
      </w:r>
      <w:r w:rsidR="00091D98" w:rsidRPr="0040745F">
        <w:rPr>
          <w:lang w:val="de-DE"/>
        </w:rPr>
        <w:t>ische</w:t>
      </w:r>
      <w:r w:rsidRPr="0040745F">
        <w:rPr>
          <w:lang w:val="de-DE"/>
        </w:rPr>
        <w:t xml:space="preserve"> </w:t>
      </w:r>
      <w:r w:rsidR="00091D98" w:rsidRPr="0040745F">
        <w:rPr>
          <w:lang w:val="de-DE"/>
        </w:rPr>
        <w:t>Vorgaben u</w:t>
      </w:r>
      <w:r w:rsidRPr="0040745F">
        <w:rPr>
          <w:lang w:val="de-DE"/>
        </w:rPr>
        <w:t xml:space="preserve">nd ICAAP </w:t>
      </w:r>
      <w:r w:rsidR="000E6E44" w:rsidRPr="0040745F">
        <w:rPr>
          <w:lang w:val="de-DE"/>
        </w:rPr>
        <w:t>P</w:t>
      </w:r>
      <w:r w:rsidRPr="0040745F">
        <w:rPr>
          <w:lang w:val="de-DE"/>
        </w:rPr>
        <w:t>ro</w:t>
      </w:r>
      <w:r w:rsidR="00091D98" w:rsidRPr="0040745F">
        <w:rPr>
          <w:lang w:val="de-DE"/>
        </w:rPr>
        <w:t>z</w:t>
      </w:r>
      <w:r w:rsidRPr="0040745F">
        <w:rPr>
          <w:lang w:val="de-DE"/>
        </w:rPr>
        <w:t>ess</w:t>
      </w:r>
    </w:p>
    <w:p w14:paraId="41655C16" w14:textId="7931CDFF" w:rsidR="000E6E44" w:rsidRPr="0040745F" w:rsidRDefault="0056745F" w:rsidP="00E27BB3">
      <w:pPr>
        <w:spacing w:after="0"/>
        <w:jc w:val="both"/>
        <w:rPr>
          <w:rFonts w:ascii="Segoe UI" w:hAnsi="Segoe UI" w:cs="Segoe UI"/>
          <w:color w:val="014171"/>
          <w:lang w:val="de-DE"/>
        </w:rPr>
      </w:pPr>
      <w:r w:rsidRPr="0040745F">
        <w:rPr>
          <w:rFonts w:ascii="Segoe UI" w:hAnsi="Segoe UI" w:cs="Segoe UI"/>
          <w:color w:val="014171"/>
          <w:lang w:val="de-DE"/>
        </w:rPr>
        <w:t>Gemäß Art</w:t>
      </w:r>
      <w:r w:rsidR="009A59F1">
        <w:rPr>
          <w:rFonts w:ascii="Segoe UI" w:hAnsi="Segoe UI" w:cs="Segoe UI"/>
          <w:color w:val="014171"/>
          <w:lang w:val="de-DE"/>
        </w:rPr>
        <w:t>.</w:t>
      </w:r>
      <w:r w:rsidRPr="0040745F">
        <w:rPr>
          <w:rFonts w:ascii="Segoe UI" w:hAnsi="Segoe UI" w:cs="Segoe UI"/>
          <w:color w:val="014171"/>
          <w:lang w:val="de-DE"/>
        </w:rPr>
        <w:t xml:space="preserve"> 9 </w:t>
      </w:r>
      <w:r w:rsidR="009A59F1" w:rsidRPr="0040745F">
        <w:rPr>
          <w:rFonts w:ascii="Segoe UI" w:hAnsi="Segoe UI" w:cs="Segoe UI"/>
          <w:color w:val="014171"/>
          <w:lang w:val="de-DE"/>
        </w:rPr>
        <w:t>Abs</w:t>
      </w:r>
      <w:r w:rsidR="009A59F1">
        <w:rPr>
          <w:rFonts w:ascii="Segoe UI" w:hAnsi="Segoe UI" w:cs="Segoe UI"/>
          <w:color w:val="014171"/>
          <w:lang w:val="de-DE"/>
        </w:rPr>
        <w:t>.</w:t>
      </w:r>
      <w:r w:rsidR="009A59F1" w:rsidRPr="0040745F">
        <w:rPr>
          <w:rFonts w:ascii="Segoe UI" w:hAnsi="Segoe UI" w:cs="Segoe UI"/>
          <w:color w:val="014171"/>
          <w:lang w:val="de-DE"/>
        </w:rPr>
        <w:t xml:space="preserve"> </w:t>
      </w:r>
      <w:r w:rsidRPr="0040745F">
        <w:rPr>
          <w:rFonts w:ascii="Segoe UI" w:hAnsi="Segoe UI" w:cs="Segoe UI"/>
          <w:color w:val="014171"/>
          <w:lang w:val="de-DE"/>
        </w:rPr>
        <w:t>1 IFR müssen Wertpapierfirmen genügend Eigenmittel</w:t>
      </w:r>
      <w:r w:rsidR="00BD67DA" w:rsidRPr="0040745F">
        <w:rPr>
          <w:rFonts w:ascii="Segoe UI" w:hAnsi="Segoe UI" w:cs="Segoe UI"/>
          <w:color w:val="014171"/>
          <w:lang w:val="de-DE"/>
        </w:rPr>
        <w:t xml:space="preserve"> in Höhe der festgelegten Eigenmittelanford</w:t>
      </w:r>
      <w:r w:rsidR="00974A3D">
        <w:rPr>
          <w:rFonts w:ascii="Segoe UI" w:hAnsi="Segoe UI" w:cs="Segoe UI"/>
          <w:color w:val="014171"/>
          <w:lang w:val="de-DE"/>
        </w:rPr>
        <w:t>erungen und Verhältnisk</w:t>
      </w:r>
      <w:r w:rsidR="00522DF8" w:rsidRPr="0040745F">
        <w:rPr>
          <w:rFonts w:ascii="Segoe UI" w:hAnsi="Segoe UI" w:cs="Segoe UI"/>
          <w:color w:val="014171"/>
          <w:lang w:val="de-DE"/>
        </w:rPr>
        <w:t>ennzahlen bereithalten.</w:t>
      </w:r>
    </w:p>
    <w:p w14:paraId="6B747105" w14:textId="77777777" w:rsidR="00514E14" w:rsidRPr="0040745F" w:rsidRDefault="00514E14" w:rsidP="00E27BB3">
      <w:pPr>
        <w:spacing w:after="0"/>
        <w:jc w:val="both"/>
        <w:rPr>
          <w:rFonts w:ascii="Segoe UI" w:hAnsi="Segoe UI" w:cs="Segoe UI"/>
          <w:color w:val="014171"/>
          <w:lang w:val="de-DE"/>
        </w:rPr>
      </w:pPr>
    </w:p>
    <w:p w14:paraId="448FCA25" w14:textId="545B818A" w:rsidR="00514E14" w:rsidRPr="0040745F" w:rsidRDefault="00BD67DA" w:rsidP="00E27BB3">
      <w:pPr>
        <w:spacing w:after="0"/>
        <w:jc w:val="both"/>
        <w:rPr>
          <w:rFonts w:ascii="Segoe UI" w:hAnsi="Segoe UI" w:cs="Segoe UI"/>
          <w:color w:val="014171"/>
          <w:lang w:val="de-DE"/>
        </w:rPr>
      </w:pPr>
      <w:r w:rsidRPr="0040745F">
        <w:rPr>
          <w:rFonts w:ascii="Segoe UI" w:hAnsi="Segoe UI" w:cs="Segoe UI"/>
          <w:color w:val="014171"/>
          <w:lang w:val="de-DE"/>
        </w:rPr>
        <w:t xml:space="preserve">Die </w:t>
      </w:r>
      <w:r w:rsidR="00974A3D">
        <w:rPr>
          <w:rFonts w:ascii="Segoe UI" w:hAnsi="Segoe UI" w:cs="Segoe UI"/>
          <w:color w:val="014171"/>
          <w:lang w:val="de-DE"/>
        </w:rPr>
        <w:t>Mindestk</w:t>
      </w:r>
      <w:r w:rsidRPr="0040745F">
        <w:rPr>
          <w:rFonts w:ascii="Segoe UI" w:hAnsi="Segoe UI" w:cs="Segoe UI"/>
          <w:color w:val="014171"/>
          <w:lang w:val="de-DE"/>
        </w:rPr>
        <w:t>apitalanforderungen für mittelgroße Wertpapierfirmen werden gemäß Art</w:t>
      </w:r>
      <w:r w:rsidR="009A59F1">
        <w:rPr>
          <w:rFonts w:ascii="Segoe UI" w:hAnsi="Segoe UI" w:cs="Segoe UI"/>
          <w:color w:val="014171"/>
          <w:lang w:val="de-DE"/>
        </w:rPr>
        <w:t>.</w:t>
      </w:r>
      <w:r w:rsidRPr="0040745F">
        <w:rPr>
          <w:rFonts w:ascii="Segoe UI" w:hAnsi="Segoe UI" w:cs="Segoe UI"/>
          <w:color w:val="014171"/>
          <w:lang w:val="de-DE"/>
        </w:rPr>
        <w:t xml:space="preserve"> 11 IFR als der </w:t>
      </w:r>
      <w:r w:rsidR="00544CE2" w:rsidRPr="0040745F">
        <w:rPr>
          <w:rFonts w:ascii="Segoe UI" w:hAnsi="Segoe UI" w:cs="Segoe UI"/>
          <w:color w:val="014171"/>
          <w:lang w:val="de-DE"/>
        </w:rPr>
        <w:t>im Verg</w:t>
      </w:r>
      <w:r w:rsidR="00BB4BB0" w:rsidRPr="0040745F">
        <w:rPr>
          <w:rFonts w:ascii="Segoe UI" w:hAnsi="Segoe UI" w:cs="Segoe UI"/>
          <w:color w:val="014171"/>
          <w:lang w:val="de-DE"/>
        </w:rPr>
        <w:t>l</w:t>
      </w:r>
      <w:r w:rsidR="00544CE2" w:rsidRPr="0040745F">
        <w:rPr>
          <w:rFonts w:ascii="Segoe UI" w:hAnsi="Segoe UI" w:cs="Segoe UI"/>
          <w:color w:val="014171"/>
          <w:lang w:val="de-DE"/>
        </w:rPr>
        <w:t>ei</w:t>
      </w:r>
      <w:r w:rsidR="00BB4BB0" w:rsidRPr="0040745F">
        <w:rPr>
          <w:rFonts w:ascii="Segoe UI" w:hAnsi="Segoe UI" w:cs="Segoe UI"/>
          <w:color w:val="014171"/>
          <w:lang w:val="de-DE"/>
        </w:rPr>
        <w:t>c</w:t>
      </w:r>
      <w:r w:rsidR="00544CE2" w:rsidRPr="0040745F">
        <w:rPr>
          <w:rFonts w:ascii="Segoe UI" w:hAnsi="Segoe UI" w:cs="Segoe UI"/>
          <w:color w:val="014171"/>
          <w:lang w:val="de-DE"/>
        </w:rPr>
        <w:t>h höchste Betrag</w:t>
      </w:r>
      <w:r w:rsidRPr="0040745F">
        <w:rPr>
          <w:rFonts w:ascii="Segoe UI" w:hAnsi="Segoe UI" w:cs="Segoe UI"/>
          <w:color w:val="014171"/>
          <w:lang w:val="de-DE"/>
        </w:rPr>
        <w:t xml:space="preserve"> aus fixen Gemeinkosten gemäß Art</w:t>
      </w:r>
      <w:r w:rsidR="009A59F1">
        <w:rPr>
          <w:rFonts w:ascii="Segoe UI" w:hAnsi="Segoe UI" w:cs="Segoe UI"/>
          <w:color w:val="014171"/>
          <w:lang w:val="de-DE"/>
        </w:rPr>
        <w:t>.</w:t>
      </w:r>
      <w:r w:rsidRPr="0040745F">
        <w:rPr>
          <w:rFonts w:ascii="Segoe UI" w:hAnsi="Segoe UI" w:cs="Segoe UI"/>
          <w:color w:val="014171"/>
          <w:lang w:val="de-DE"/>
        </w:rPr>
        <w:t xml:space="preserve"> 13 IFR, </w:t>
      </w:r>
      <w:r w:rsidRPr="008402F6">
        <w:rPr>
          <w:rFonts w:ascii="Segoe UI" w:hAnsi="Segoe UI" w:cs="Segoe UI"/>
          <w:color w:val="014171"/>
          <w:lang w:val="de-DE"/>
        </w:rPr>
        <w:t>permanenter Mindestkapitalanforderung gemäß Art</w:t>
      </w:r>
      <w:r w:rsidR="009A59F1">
        <w:rPr>
          <w:rFonts w:ascii="Segoe UI" w:hAnsi="Segoe UI" w:cs="Segoe UI"/>
          <w:color w:val="014171"/>
          <w:lang w:val="de-DE"/>
        </w:rPr>
        <w:t>.</w:t>
      </w:r>
      <w:r w:rsidRPr="008402F6">
        <w:rPr>
          <w:rFonts w:ascii="Segoe UI" w:hAnsi="Segoe UI" w:cs="Segoe UI"/>
          <w:color w:val="014171"/>
          <w:lang w:val="de-DE"/>
        </w:rPr>
        <w:t xml:space="preserve"> 14 IFR und K-Faktor-Anforderung</w:t>
      </w:r>
      <w:r w:rsidR="00FD09B2" w:rsidRPr="008402F6">
        <w:rPr>
          <w:rFonts w:ascii="Segoe UI" w:hAnsi="Segoe UI" w:cs="Segoe UI"/>
          <w:color w:val="014171"/>
          <w:lang w:val="de-DE"/>
        </w:rPr>
        <w:t xml:space="preserve"> (</w:t>
      </w:r>
      <w:r w:rsidR="008402F6" w:rsidRPr="008402F6">
        <w:rPr>
          <w:rFonts w:ascii="Segoe UI" w:hAnsi="Segoe UI" w:cs="Segoe UI"/>
          <w:color w:val="014171"/>
          <w:lang w:val="de-DE"/>
        </w:rPr>
        <w:t>„KFA</w:t>
      </w:r>
      <w:r w:rsidR="00FD09B2" w:rsidRPr="008402F6">
        <w:rPr>
          <w:rFonts w:ascii="Segoe UI" w:hAnsi="Segoe UI" w:cs="Segoe UI"/>
          <w:color w:val="014171"/>
          <w:lang w:val="de-DE"/>
        </w:rPr>
        <w:t>“)</w:t>
      </w:r>
      <w:r w:rsidRPr="008402F6">
        <w:rPr>
          <w:rFonts w:ascii="Segoe UI" w:hAnsi="Segoe UI" w:cs="Segoe UI"/>
          <w:color w:val="014171"/>
          <w:lang w:val="de-DE"/>
        </w:rPr>
        <w:t xml:space="preserve"> gemäß</w:t>
      </w:r>
      <w:r w:rsidRPr="0040745F">
        <w:rPr>
          <w:rFonts w:ascii="Segoe UI" w:hAnsi="Segoe UI" w:cs="Segoe UI"/>
          <w:color w:val="014171"/>
          <w:lang w:val="de-DE"/>
        </w:rPr>
        <w:t xml:space="preserve"> Art</w:t>
      </w:r>
      <w:r w:rsidR="009A59F1">
        <w:rPr>
          <w:rFonts w:ascii="Segoe UI" w:hAnsi="Segoe UI" w:cs="Segoe UI"/>
          <w:color w:val="014171"/>
          <w:lang w:val="de-DE"/>
        </w:rPr>
        <w:t>.</w:t>
      </w:r>
      <w:r w:rsidRPr="0040745F">
        <w:rPr>
          <w:rFonts w:ascii="Segoe UI" w:hAnsi="Segoe UI" w:cs="Segoe UI"/>
          <w:color w:val="014171"/>
          <w:lang w:val="de-DE"/>
        </w:rPr>
        <w:t xml:space="preserve"> 15</w:t>
      </w:r>
      <w:r w:rsidR="00544CE2" w:rsidRPr="0040745F">
        <w:rPr>
          <w:rFonts w:ascii="Segoe UI" w:hAnsi="Segoe UI" w:cs="Segoe UI"/>
          <w:color w:val="014171"/>
          <w:lang w:val="de-DE"/>
        </w:rPr>
        <w:t xml:space="preserve"> </w:t>
      </w:r>
      <w:r w:rsidR="009A59F1">
        <w:rPr>
          <w:rFonts w:ascii="Segoe UI" w:hAnsi="Segoe UI" w:cs="Segoe UI"/>
          <w:color w:val="014171"/>
          <w:lang w:val="de-DE"/>
        </w:rPr>
        <w:t xml:space="preserve">IFR </w:t>
      </w:r>
      <w:r w:rsidR="00544CE2" w:rsidRPr="0040745F">
        <w:rPr>
          <w:rFonts w:ascii="Segoe UI" w:hAnsi="Segoe UI" w:cs="Segoe UI"/>
          <w:color w:val="014171"/>
          <w:lang w:val="de-DE"/>
        </w:rPr>
        <w:t>bestimmt.</w:t>
      </w:r>
    </w:p>
    <w:p w14:paraId="25B944FA" w14:textId="77777777" w:rsidR="00C036B2" w:rsidRPr="0040745F" w:rsidRDefault="00C036B2" w:rsidP="00E27BB3">
      <w:pPr>
        <w:spacing w:after="0"/>
        <w:jc w:val="both"/>
        <w:rPr>
          <w:rFonts w:ascii="Segoe UI" w:hAnsi="Segoe UI" w:cs="Segoe UI"/>
          <w:color w:val="014171"/>
          <w:lang w:val="de-DE"/>
        </w:rPr>
      </w:pPr>
    </w:p>
    <w:p w14:paraId="36607B73" w14:textId="42FAFC3C" w:rsidR="00514E14" w:rsidRPr="0040745F" w:rsidRDefault="00544CE2" w:rsidP="00E27BB3">
      <w:pPr>
        <w:spacing w:after="0"/>
        <w:jc w:val="both"/>
        <w:rPr>
          <w:rFonts w:ascii="Segoe UI" w:hAnsi="Segoe UI" w:cs="Segoe UI"/>
          <w:color w:val="014171"/>
          <w:lang w:val="de-DE"/>
        </w:rPr>
      </w:pPr>
      <w:r w:rsidRPr="0040745F">
        <w:rPr>
          <w:rFonts w:ascii="Segoe UI" w:hAnsi="Segoe UI" w:cs="Segoe UI"/>
          <w:color w:val="014171"/>
          <w:lang w:val="de-DE"/>
        </w:rPr>
        <w:t>Für DCMD sind die fixen Gemeinkosten gemäß Art</w:t>
      </w:r>
      <w:r w:rsidR="009A59F1">
        <w:rPr>
          <w:rFonts w:ascii="Segoe UI" w:hAnsi="Segoe UI" w:cs="Segoe UI"/>
          <w:color w:val="014171"/>
          <w:lang w:val="de-DE"/>
        </w:rPr>
        <w:t>.</w:t>
      </w:r>
      <w:r w:rsidRPr="0040745F">
        <w:rPr>
          <w:rFonts w:ascii="Segoe UI" w:hAnsi="Segoe UI" w:cs="Segoe UI"/>
          <w:color w:val="014171"/>
          <w:lang w:val="de-DE"/>
        </w:rPr>
        <w:t xml:space="preserve"> 13 IFR der höchste der drei Beträge.</w:t>
      </w:r>
      <w:r w:rsidR="008402F6">
        <w:rPr>
          <w:rFonts w:ascii="Segoe UI" w:hAnsi="Segoe UI" w:cs="Segoe UI"/>
          <w:color w:val="014171"/>
          <w:lang w:val="de-DE"/>
        </w:rPr>
        <w:t xml:space="preserve"> Dies war das gesamte Geschäftsjahr der Fall.</w:t>
      </w:r>
    </w:p>
    <w:p w14:paraId="6450A047" w14:textId="77777777" w:rsidR="00514E14" w:rsidRPr="0040745F" w:rsidRDefault="00514E14" w:rsidP="00E27BB3">
      <w:pPr>
        <w:spacing w:after="0"/>
        <w:jc w:val="both"/>
        <w:rPr>
          <w:rFonts w:ascii="Segoe UI" w:hAnsi="Segoe UI" w:cs="Segoe UI"/>
          <w:color w:val="014171"/>
          <w:lang w:val="de-DE"/>
        </w:rPr>
      </w:pPr>
    </w:p>
    <w:p w14:paraId="7A3983B2" w14:textId="605C0F41" w:rsidR="00514E14" w:rsidRPr="0040745F" w:rsidRDefault="00544CE2" w:rsidP="00E27BB3">
      <w:pPr>
        <w:spacing w:after="0"/>
        <w:jc w:val="both"/>
        <w:rPr>
          <w:rFonts w:ascii="Segoe UI" w:hAnsi="Segoe UI" w:cs="Segoe UI"/>
          <w:color w:val="014171"/>
          <w:lang w:val="de-DE"/>
        </w:rPr>
      </w:pPr>
      <w:r w:rsidRPr="0040745F">
        <w:rPr>
          <w:rFonts w:ascii="Segoe UI" w:hAnsi="Segoe UI" w:cs="Segoe UI"/>
          <w:color w:val="014171"/>
          <w:lang w:val="de-DE"/>
        </w:rPr>
        <w:t>DCMD wen</w:t>
      </w:r>
      <w:r w:rsidR="006130E5" w:rsidRPr="0040745F">
        <w:rPr>
          <w:rFonts w:ascii="Segoe UI" w:hAnsi="Segoe UI" w:cs="Segoe UI"/>
          <w:color w:val="014171"/>
          <w:lang w:val="de-DE"/>
        </w:rPr>
        <w:t>det einen SREP-Aufschlag von 50</w:t>
      </w:r>
      <w:r w:rsidRPr="0040745F">
        <w:rPr>
          <w:rFonts w:ascii="Segoe UI" w:hAnsi="Segoe UI" w:cs="Segoe UI"/>
          <w:color w:val="014171"/>
          <w:lang w:val="de-DE"/>
        </w:rPr>
        <w:t>% an, den DCMD 2018 als an</w:t>
      </w:r>
      <w:r w:rsidR="001C7AB0">
        <w:rPr>
          <w:rFonts w:ascii="Segoe UI" w:hAnsi="Segoe UI" w:cs="Segoe UI"/>
          <w:color w:val="014171"/>
          <w:lang w:val="de-DE"/>
        </w:rPr>
        <w:t>fänglichen Kap</w:t>
      </w:r>
      <w:r w:rsidRPr="0040745F">
        <w:rPr>
          <w:rFonts w:ascii="Segoe UI" w:hAnsi="Segoe UI" w:cs="Segoe UI"/>
          <w:color w:val="014171"/>
          <w:lang w:val="de-DE"/>
        </w:rPr>
        <w:t xml:space="preserve">italaufschlag </w:t>
      </w:r>
      <w:r w:rsidR="008402F6">
        <w:rPr>
          <w:rFonts w:ascii="Segoe UI" w:hAnsi="Segoe UI" w:cs="Segoe UI"/>
          <w:color w:val="014171"/>
          <w:lang w:val="de-DE"/>
        </w:rPr>
        <w:t xml:space="preserve">Aufgrund der Neugründung </w:t>
      </w:r>
      <w:r w:rsidRPr="0040745F">
        <w:rPr>
          <w:rFonts w:ascii="Segoe UI" w:hAnsi="Segoe UI" w:cs="Segoe UI"/>
          <w:color w:val="014171"/>
          <w:lang w:val="de-DE"/>
        </w:rPr>
        <w:t>erhalten hat.</w:t>
      </w:r>
      <w:r w:rsidR="00BF6D06" w:rsidRPr="0040745F">
        <w:rPr>
          <w:rFonts w:ascii="Segoe UI" w:hAnsi="Segoe UI" w:cs="Segoe UI"/>
          <w:color w:val="014171"/>
          <w:lang w:val="de-DE"/>
        </w:rPr>
        <w:t xml:space="preserve"> </w:t>
      </w:r>
      <w:r w:rsidR="004023D5" w:rsidRPr="0040745F">
        <w:rPr>
          <w:rFonts w:ascii="Segoe UI" w:hAnsi="Segoe UI" w:cs="Segoe UI"/>
          <w:color w:val="014171"/>
          <w:lang w:val="de-DE"/>
        </w:rPr>
        <w:t>DCMD hat noch keine</w:t>
      </w:r>
      <w:r w:rsidR="008402F6">
        <w:rPr>
          <w:rFonts w:ascii="Segoe UI" w:hAnsi="Segoe UI" w:cs="Segoe UI"/>
          <w:color w:val="014171"/>
          <w:lang w:val="de-DE"/>
        </w:rPr>
        <w:t>n</w:t>
      </w:r>
      <w:r w:rsidR="004023D5" w:rsidRPr="0040745F">
        <w:rPr>
          <w:rFonts w:ascii="Segoe UI" w:hAnsi="Segoe UI" w:cs="Segoe UI"/>
          <w:color w:val="014171"/>
          <w:lang w:val="de-DE"/>
        </w:rPr>
        <w:t xml:space="preserve"> weiteren Bescheid zu dem erhaltenen Kapitalaufschlag erhalten. Aufgrund einer Verschiebung des ersten IFR-Meldestichtags durch die Deutsche Bundesbank sind die Eigenmittelanforderungen in der Konsequenz erstmals zum 31. Dezember 2021 nicht mehr nach den Anforderungen des Art</w:t>
      </w:r>
      <w:r w:rsidR="009A59F1">
        <w:rPr>
          <w:rFonts w:ascii="Segoe UI" w:hAnsi="Segoe UI" w:cs="Segoe UI"/>
          <w:color w:val="014171"/>
          <w:lang w:val="de-DE"/>
        </w:rPr>
        <w:t>.</w:t>
      </w:r>
      <w:r w:rsidR="004023D5" w:rsidRPr="0040745F">
        <w:rPr>
          <w:rFonts w:ascii="Segoe UI" w:hAnsi="Segoe UI" w:cs="Segoe UI"/>
          <w:color w:val="014171"/>
          <w:lang w:val="de-DE"/>
        </w:rPr>
        <w:t xml:space="preserve"> 92 CRR, sondern nach dem neuen Melderegime der IFR zu ermitteln.</w:t>
      </w:r>
    </w:p>
    <w:p w14:paraId="218CA2CE" w14:textId="709D5D23" w:rsidR="00DD7522" w:rsidRPr="0040745F" w:rsidRDefault="00DD7522" w:rsidP="00E27BB3">
      <w:pPr>
        <w:spacing w:after="0"/>
        <w:jc w:val="both"/>
        <w:rPr>
          <w:rFonts w:ascii="Segoe UI" w:hAnsi="Segoe UI" w:cs="Segoe UI"/>
          <w:color w:val="014171"/>
          <w:lang w:val="de-DE"/>
        </w:rPr>
      </w:pPr>
    </w:p>
    <w:p w14:paraId="3E181E16" w14:textId="58AF8783" w:rsidR="00FB00A8" w:rsidRPr="0040745F" w:rsidRDefault="00052B8D" w:rsidP="00E27BB3">
      <w:pPr>
        <w:spacing w:after="0"/>
        <w:jc w:val="both"/>
        <w:rPr>
          <w:rFonts w:ascii="Segoe UI" w:hAnsi="Segoe UI" w:cs="Segoe UI"/>
          <w:color w:val="014171"/>
          <w:lang w:val="de-DE"/>
        </w:rPr>
      </w:pPr>
      <w:r w:rsidRPr="0040745F">
        <w:rPr>
          <w:rFonts w:ascii="Segoe UI" w:hAnsi="Segoe UI" w:cs="Segoe UI"/>
          <w:color w:val="014171"/>
          <w:lang w:val="de-DE"/>
        </w:rPr>
        <w:t>Das interne Kapitaladäquanzverfahren basiert weiterhin auf den im Mai 2018 von der BaFin erlassenen Leitlinien</w:t>
      </w:r>
      <w:r w:rsidR="001B428B" w:rsidRPr="0040745F">
        <w:rPr>
          <w:rFonts w:ascii="Segoe UI" w:hAnsi="Segoe UI" w:cs="Segoe UI"/>
          <w:color w:val="014171"/>
          <w:lang w:val="de-DE"/>
        </w:rPr>
        <w:t>. Z</w:t>
      </w:r>
      <w:r w:rsidRPr="0040745F">
        <w:rPr>
          <w:rFonts w:ascii="Segoe UI" w:hAnsi="Segoe UI" w:cs="Segoe UI"/>
          <w:color w:val="014171"/>
          <w:lang w:val="de-DE"/>
        </w:rPr>
        <w:t xml:space="preserve">usätzlich </w:t>
      </w:r>
      <w:r w:rsidR="001B428B" w:rsidRPr="0040745F">
        <w:rPr>
          <w:rFonts w:ascii="Segoe UI" w:hAnsi="Segoe UI" w:cs="Segoe UI"/>
          <w:color w:val="014171"/>
          <w:lang w:val="de-DE"/>
        </w:rPr>
        <w:t xml:space="preserve">wird </w:t>
      </w:r>
      <w:r w:rsidRPr="0040745F">
        <w:rPr>
          <w:rFonts w:ascii="Segoe UI" w:hAnsi="Segoe UI" w:cs="Segoe UI"/>
          <w:color w:val="014171"/>
          <w:lang w:val="de-DE"/>
        </w:rPr>
        <w:t xml:space="preserve">auf die MaRisk und § 25a </w:t>
      </w:r>
      <w:r w:rsidR="00974A3D" w:rsidRPr="00974A3D">
        <w:rPr>
          <w:rFonts w:ascii="Segoe UI" w:hAnsi="Segoe UI" w:cs="Segoe UI"/>
          <w:color w:val="014171"/>
          <w:lang w:val="de-DE"/>
        </w:rPr>
        <w:t xml:space="preserve">Kreditwesengesetz </w:t>
      </w:r>
      <w:r w:rsidR="00974A3D">
        <w:rPr>
          <w:rFonts w:ascii="Segoe UI" w:hAnsi="Segoe UI" w:cs="Segoe UI"/>
          <w:color w:val="014171"/>
          <w:lang w:val="de-DE"/>
        </w:rPr>
        <w:t>(„</w:t>
      </w:r>
      <w:r w:rsidRPr="0040745F">
        <w:rPr>
          <w:rFonts w:ascii="Segoe UI" w:hAnsi="Segoe UI" w:cs="Segoe UI"/>
          <w:color w:val="014171"/>
          <w:lang w:val="de-DE"/>
        </w:rPr>
        <w:t>KWG</w:t>
      </w:r>
      <w:r w:rsidR="00974A3D">
        <w:rPr>
          <w:rFonts w:ascii="Segoe UI" w:hAnsi="Segoe UI" w:cs="Segoe UI"/>
          <w:color w:val="014171"/>
          <w:lang w:val="de-DE"/>
        </w:rPr>
        <w:t>“)</w:t>
      </w:r>
      <w:r w:rsidRPr="0040745F">
        <w:rPr>
          <w:rFonts w:ascii="Segoe UI" w:hAnsi="Segoe UI" w:cs="Segoe UI"/>
          <w:color w:val="014171"/>
          <w:lang w:val="de-DE"/>
        </w:rPr>
        <w:t xml:space="preserve"> verwiesen.</w:t>
      </w:r>
      <w:r w:rsidR="00DD7522" w:rsidRPr="0040745F">
        <w:rPr>
          <w:rFonts w:ascii="Segoe UI" w:hAnsi="Segoe UI" w:cs="Segoe UI"/>
          <w:color w:val="014171"/>
          <w:lang w:val="de-DE"/>
        </w:rPr>
        <w:t xml:space="preserve"> </w:t>
      </w:r>
      <w:r w:rsidR="001B428B" w:rsidRPr="0040745F">
        <w:rPr>
          <w:rFonts w:ascii="Segoe UI" w:hAnsi="Segoe UI" w:cs="Segoe UI"/>
          <w:color w:val="014171"/>
          <w:lang w:val="de-DE"/>
        </w:rPr>
        <w:t>Aufgrund der Änderung in der Regulierung unterliegt DCMD nun dem IFR- und WpIG-Regime, und das KWG findet formal keine Anwendung mehr. Die BaFin hat Wertpapierfirmen aufgefordert, die MaRisk weiterhin in individuell angemessener Weise einzuhalten, bis die BaFin „eine neue MaRisk für Wertpapierfirmen“ nach den WpIG-Regeln erlassen hat. Bis zur Vorlage neuer Regeln durch die Aufsicht gelte</w:t>
      </w:r>
      <w:r w:rsidR="00522DF8" w:rsidRPr="0040745F">
        <w:rPr>
          <w:rFonts w:ascii="Segoe UI" w:hAnsi="Segoe UI" w:cs="Segoe UI"/>
          <w:color w:val="014171"/>
          <w:lang w:val="de-DE"/>
        </w:rPr>
        <w:t>n die bestehenden ICAAP-Regeln.</w:t>
      </w:r>
    </w:p>
    <w:p w14:paraId="6F438C9B" w14:textId="77777777" w:rsidR="00AE77E0" w:rsidRPr="0040745F" w:rsidRDefault="00AE77E0" w:rsidP="00E27BB3">
      <w:pPr>
        <w:spacing w:after="0"/>
        <w:jc w:val="both"/>
        <w:rPr>
          <w:rFonts w:ascii="Segoe UI" w:hAnsi="Segoe UI" w:cs="Segoe UI"/>
          <w:color w:val="014171"/>
          <w:lang w:val="de-DE"/>
        </w:rPr>
      </w:pPr>
    </w:p>
    <w:p w14:paraId="66A7F9C3" w14:textId="5374767F" w:rsidR="007D12B8" w:rsidRPr="0040745F" w:rsidRDefault="00203118" w:rsidP="00E27BB3">
      <w:pPr>
        <w:spacing w:after="0"/>
        <w:jc w:val="both"/>
        <w:rPr>
          <w:rFonts w:ascii="Segoe UI" w:hAnsi="Segoe UI" w:cs="Segoe UI"/>
          <w:color w:val="014171"/>
          <w:lang w:val="de-DE"/>
        </w:rPr>
      </w:pPr>
      <w:r w:rsidRPr="0040745F">
        <w:rPr>
          <w:rFonts w:ascii="Segoe UI" w:hAnsi="Segoe UI" w:cs="Segoe UI"/>
          <w:color w:val="014171"/>
          <w:lang w:val="de-DE"/>
        </w:rPr>
        <w:t>Die ICAAP-Leitlinien der BaFin fordern zwei wesentliche Ansätze / Überprüfungen:</w:t>
      </w:r>
    </w:p>
    <w:p w14:paraId="3E4710C7" w14:textId="6B6D4567" w:rsidR="00FB00A8" w:rsidRPr="0040745F" w:rsidRDefault="00FB00A8" w:rsidP="00E27BB3">
      <w:pPr>
        <w:spacing w:after="0"/>
        <w:jc w:val="both"/>
        <w:rPr>
          <w:rFonts w:ascii="Segoe UI" w:hAnsi="Segoe UI" w:cs="Segoe UI"/>
          <w:color w:val="014171"/>
          <w:lang w:val="de-DE"/>
        </w:rPr>
      </w:pPr>
    </w:p>
    <w:p w14:paraId="475B7384" w14:textId="1CBD5957" w:rsidR="00FB00A8" w:rsidRPr="0040745F" w:rsidRDefault="00D214FF" w:rsidP="00E27BB3">
      <w:pPr>
        <w:pStyle w:val="ListParagraph"/>
        <w:numPr>
          <w:ilvl w:val="0"/>
          <w:numId w:val="76"/>
        </w:numPr>
        <w:spacing w:after="0"/>
        <w:jc w:val="both"/>
        <w:rPr>
          <w:rFonts w:ascii="Segoe UI" w:hAnsi="Segoe UI" w:cs="Segoe UI"/>
          <w:color w:val="014171"/>
          <w:lang w:val="de-DE"/>
        </w:rPr>
      </w:pPr>
      <w:r>
        <w:rPr>
          <w:rFonts w:ascii="Segoe UI" w:hAnsi="Segoe UI" w:cs="Segoe UI"/>
          <w:color w:val="014171"/>
          <w:lang w:val="de-DE"/>
        </w:rPr>
        <w:t>Normative Perspek</w:t>
      </w:r>
      <w:r w:rsidR="00FB00A8" w:rsidRPr="0040745F">
        <w:rPr>
          <w:rFonts w:ascii="Segoe UI" w:hAnsi="Segoe UI" w:cs="Segoe UI"/>
          <w:color w:val="014171"/>
          <w:lang w:val="de-DE"/>
        </w:rPr>
        <w:t>tive</w:t>
      </w:r>
    </w:p>
    <w:p w14:paraId="1A6B64E6" w14:textId="0F16CBC7" w:rsidR="00FB00A8" w:rsidRPr="0040745F" w:rsidRDefault="00203118" w:rsidP="00E27BB3">
      <w:pPr>
        <w:pStyle w:val="ListParagraph"/>
        <w:numPr>
          <w:ilvl w:val="0"/>
          <w:numId w:val="76"/>
        </w:numPr>
        <w:spacing w:after="0"/>
        <w:jc w:val="both"/>
        <w:rPr>
          <w:rFonts w:ascii="Segoe UI" w:hAnsi="Segoe UI" w:cs="Segoe UI"/>
          <w:color w:val="014171"/>
          <w:lang w:val="de-DE"/>
        </w:rPr>
      </w:pPr>
      <w:r w:rsidRPr="0040745F">
        <w:rPr>
          <w:rFonts w:ascii="Segoe UI" w:hAnsi="Segoe UI" w:cs="Segoe UI"/>
          <w:color w:val="014171"/>
          <w:lang w:val="de-DE"/>
        </w:rPr>
        <w:t>Ökonomische</w:t>
      </w:r>
      <w:r w:rsidR="00D214FF">
        <w:rPr>
          <w:rFonts w:ascii="Segoe UI" w:hAnsi="Segoe UI" w:cs="Segoe UI"/>
          <w:color w:val="014171"/>
          <w:lang w:val="de-DE"/>
        </w:rPr>
        <w:t xml:space="preserve"> Perspek</w:t>
      </w:r>
      <w:r w:rsidR="00FB00A8" w:rsidRPr="0040745F">
        <w:rPr>
          <w:rFonts w:ascii="Segoe UI" w:hAnsi="Segoe UI" w:cs="Segoe UI"/>
          <w:color w:val="014171"/>
          <w:lang w:val="de-DE"/>
        </w:rPr>
        <w:t>tive</w:t>
      </w:r>
    </w:p>
    <w:p w14:paraId="420E429D" w14:textId="77777777" w:rsidR="00763841" w:rsidRPr="0040745F" w:rsidRDefault="00763841" w:rsidP="00E27BB3">
      <w:pPr>
        <w:spacing w:after="0"/>
        <w:jc w:val="both"/>
        <w:rPr>
          <w:rFonts w:ascii="Segoe UI" w:hAnsi="Segoe UI" w:cs="Segoe UI"/>
          <w:color w:val="014171"/>
          <w:lang w:val="de-DE"/>
        </w:rPr>
      </w:pPr>
    </w:p>
    <w:p w14:paraId="454B6FCD" w14:textId="12B220B8" w:rsidR="000040F6" w:rsidRPr="0040745F" w:rsidRDefault="00E6618B" w:rsidP="00E27BB3">
      <w:pPr>
        <w:spacing w:after="0"/>
        <w:jc w:val="both"/>
        <w:rPr>
          <w:rFonts w:ascii="Segoe UI" w:hAnsi="Segoe UI" w:cs="Segoe UI"/>
          <w:color w:val="014171"/>
          <w:lang w:val="de-DE"/>
        </w:rPr>
      </w:pPr>
      <w:r w:rsidRPr="0040745F">
        <w:rPr>
          <w:rFonts w:ascii="Segoe UI" w:hAnsi="Segoe UI" w:cs="Segoe UI"/>
          <w:color w:val="014171"/>
          <w:lang w:val="de-DE"/>
        </w:rPr>
        <w:t>Beide Ansätze (normativ und ökonomisch) sind gleichermaßen wichtig für die Steuerung und Kontrolle der Kapitalanforderungen von DCMD. Das ICAAP-Reporting erfolgt monatlich und bildet einen integralen Bestandteil des 3-Jahres-Businessplans.</w:t>
      </w:r>
    </w:p>
    <w:p w14:paraId="569DF5D5" w14:textId="77777777" w:rsidR="00522DF8" w:rsidRPr="0040745F" w:rsidRDefault="00522DF8" w:rsidP="00E27BB3">
      <w:pPr>
        <w:spacing w:after="0"/>
        <w:jc w:val="both"/>
        <w:rPr>
          <w:rFonts w:ascii="Segoe UI" w:hAnsi="Segoe UI" w:cs="Segoe UI"/>
          <w:color w:val="014171"/>
          <w:lang w:val="de-DE"/>
        </w:rPr>
      </w:pPr>
    </w:p>
    <w:p w14:paraId="754E54DF" w14:textId="3195EF3A" w:rsidR="007D12B8" w:rsidRPr="0040745F" w:rsidRDefault="00E6618B" w:rsidP="00E27BB3">
      <w:pPr>
        <w:spacing w:after="0"/>
        <w:jc w:val="both"/>
        <w:rPr>
          <w:rFonts w:ascii="Segoe UI" w:hAnsi="Segoe UI" w:cs="Segoe UI"/>
          <w:color w:val="014171"/>
          <w:lang w:val="de-DE"/>
        </w:rPr>
      </w:pPr>
      <w:r w:rsidRPr="0040745F">
        <w:rPr>
          <w:rFonts w:ascii="Segoe UI" w:hAnsi="Segoe UI" w:cs="Segoe UI"/>
          <w:color w:val="014171"/>
          <w:lang w:val="de-DE"/>
        </w:rPr>
        <w:lastRenderedPageBreak/>
        <w:t>Der ICAAP-Prozess umfasst als solcher</w:t>
      </w:r>
      <w:r w:rsidR="00974A3D">
        <w:rPr>
          <w:rFonts w:ascii="Segoe UI" w:hAnsi="Segoe UI" w:cs="Segoe UI"/>
          <w:color w:val="014171"/>
          <w:lang w:val="de-DE"/>
        </w:rPr>
        <w:t>,</w:t>
      </w:r>
      <w:r w:rsidRPr="0040745F">
        <w:rPr>
          <w:rFonts w:ascii="Segoe UI" w:hAnsi="Segoe UI" w:cs="Segoe UI"/>
          <w:color w:val="014171"/>
          <w:lang w:val="de-DE"/>
        </w:rPr>
        <w:t xml:space="preserve"> verschiedene Aspekte der internen Steuerung mit besonderem Schwerpunkt auf:</w:t>
      </w:r>
    </w:p>
    <w:p w14:paraId="2D8D4AEE" w14:textId="77777777" w:rsidR="00522DF8" w:rsidRPr="0040745F" w:rsidRDefault="00522DF8" w:rsidP="00E27BB3">
      <w:pPr>
        <w:spacing w:after="0"/>
        <w:jc w:val="both"/>
        <w:rPr>
          <w:rFonts w:ascii="Segoe UI" w:hAnsi="Segoe UI" w:cs="Segoe UI"/>
          <w:color w:val="014171"/>
          <w:lang w:val="de-DE"/>
        </w:rPr>
      </w:pPr>
    </w:p>
    <w:p w14:paraId="718BACE8" w14:textId="6C5C3E0E" w:rsidR="00A04D7C" w:rsidRPr="0040745F" w:rsidRDefault="00E6618B" w:rsidP="00E27BB3">
      <w:pPr>
        <w:pStyle w:val="ListParagraph"/>
        <w:numPr>
          <w:ilvl w:val="0"/>
          <w:numId w:val="77"/>
        </w:numPr>
        <w:spacing w:after="0"/>
        <w:jc w:val="both"/>
        <w:rPr>
          <w:rFonts w:ascii="Segoe UI" w:hAnsi="Segoe UI" w:cs="Segoe UI"/>
          <w:color w:val="014171"/>
          <w:lang w:val="de-DE"/>
        </w:rPr>
      </w:pPr>
      <w:r w:rsidRPr="0040745F">
        <w:rPr>
          <w:rFonts w:ascii="Segoe UI" w:hAnsi="Segoe UI" w:cs="Segoe UI"/>
          <w:color w:val="014171"/>
          <w:lang w:val="de-DE"/>
        </w:rPr>
        <w:t>Identifizierung, Überwachung und Minimierung von Schäden</w:t>
      </w:r>
      <w:r w:rsidR="00A04D7C" w:rsidRPr="0040745F">
        <w:rPr>
          <w:rFonts w:ascii="Segoe UI" w:hAnsi="Segoe UI" w:cs="Segoe UI"/>
          <w:color w:val="014171"/>
          <w:lang w:val="de-DE"/>
        </w:rPr>
        <w:t>;</w:t>
      </w:r>
    </w:p>
    <w:p w14:paraId="167525D0" w14:textId="777AE81C" w:rsidR="00A04D7C" w:rsidRPr="0040745F" w:rsidRDefault="00E6618B" w:rsidP="00E27BB3">
      <w:pPr>
        <w:pStyle w:val="ListParagraph"/>
        <w:numPr>
          <w:ilvl w:val="0"/>
          <w:numId w:val="77"/>
        </w:numPr>
        <w:spacing w:after="0"/>
        <w:jc w:val="both"/>
        <w:rPr>
          <w:rFonts w:ascii="Segoe UI" w:hAnsi="Segoe UI" w:cs="Segoe UI"/>
          <w:color w:val="014171"/>
          <w:lang w:val="de-DE"/>
        </w:rPr>
      </w:pPr>
      <w:r w:rsidRPr="0040745F">
        <w:rPr>
          <w:rFonts w:ascii="Segoe UI" w:hAnsi="Segoe UI" w:cs="Segoe UI"/>
          <w:color w:val="014171"/>
          <w:lang w:val="de-DE"/>
        </w:rPr>
        <w:t>Gesch</w:t>
      </w:r>
      <w:r w:rsidR="0065778D">
        <w:rPr>
          <w:rFonts w:ascii="Segoe UI" w:hAnsi="Segoe UI" w:cs="Segoe UI"/>
          <w:color w:val="014171"/>
          <w:lang w:val="de-DE"/>
        </w:rPr>
        <w:t>äftsmodell Planung und Prognose</w:t>
      </w:r>
      <w:r w:rsidR="00A04D7C" w:rsidRPr="0040745F">
        <w:rPr>
          <w:rFonts w:ascii="Segoe UI" w:hAnsi="Segoe UI" w:cs="Segoe UI"/>
          <w:color w:val="014171"/>
          <w:lang w:val="de-DE"/>
        </w:rPr>
        <w:t>;</w:t>
      </w:r>
      <w:r w:rsidRPr="0040745F">
        <w:rPr>
          <w:rFonts w:ascii="Segoe UI" w:hAnsi="Segoe UI" w:cs="Segoe UI"/>
          <w:color w:val="014171"/>
          <w:lang w:val="de-DE"/>
        </w:rPr>
        <w:t xml:space="preserve"> Sanierungs- und Abwicklungsplanung</w:t>
      </w:r>
      <w:r w:rsidR="00A04D7C" w:rsidRPr="0040745F">
        <w:rPr>
          <w:rFonts w:ascii="Segoe UI" w:hAnsi="Segoe UI" w:cs="Segoe UI"/>
          <w:color w:val="014171"/>
          <w:lang w:val="de-DE"/>
        </w:rPr>
        <w:t xml:space="preserve">; </w:t>
      </w:r>
      <w:r w:rsidRPr="0040745F">
        <w:rPr>
          <w:rFonts w:ascii="Segoe UI" w:hAnsi="Segoe UI" w:cs="Segoe UI"/>
          <w:color w:val="014171"/>
          <w:lang w:val="de-DE"/>
        </w:rPr>
        <w:t>sowie</w:t>
      </w:r>
    </w:p>
    <w:p w14:paraId="273854D6" w14:textId="0EEC1FAA" w:rsidR="00A04D7C" w:rsidRPr="0040745F" w:rsidRDefault="00645040" w:rsidP="00E27BB3">
      <w:pPr>
        <w:pStyle w:val="ListParagraph"/>
        <w:numPr>
          <w:ilvl w:val="0"/>
          <w:numId w:val="77"/>
        </w:numPr>
        <w:spacing w:after="0"/>
        <w:jc w:val="both"/>
        <w:rPr>
          <w:rFonts w:ascii="Segoe UI" w:hAnsi="Segoe UI" w:cs="Segoe UI"/>
          <w:color w:val="014171"/>
          <w:lang w:val="de-DE"/>
        </w:rPr>
      </w:pPr>
      <w:r w:rsidRPr="0040745F">
        <w:rPr>
          <w:rFonts w:ascii="Segoe UI" w:hAnsi="Segoe UI" w:cs="Segoe UI"/>
          <w:color w:val="014171"/>
          <w:lang w:val="de-DE"/>
        </w:rPr>
        <w:t>Beurteilung der Angemessenheit der finanziellen Ressourcen</w:t>
      </w:r>
    </w:p>
    <w:p w14:paraId="780F5031" w14:textId="3D534ABB" w:rsidR="005830E2" w:rsidRPr="0040745F" w:rsidRDefault="005830E2" w:rsidP="00E27BB3">
      <w:pPr>
        <w:spacing w:after="0"/>
        <w:jc w:val="both"/>
        <w:rPr>
          <w:rFonts w:ascii="Segoe UI" w:hAnsi="Segoe UI" w:cs="Segoe UI"/>
          <w:color w:val="014171"/>
          <w:lang w:val="de-DE"/>
        </w:rPr>
      </w:pPr>
    </w:p>
    <w:p w14:paraId="72DB4D13" w14:textId="7EDCBF65" w:rsidR="00645040" w:rsidRPr="00541061" w:rsidRDefault="00645040" w:rsidP="00D322B1">
      <w:pPr>
        <w:spacing w:after="0"/>
        <w:jc w:val="both"/>
        <w:rPr>
          <w:rFonts w:ascii="Segoe UI" w:hAnsi="Segoe UI" w:cs="Segoe UI"/>
          <w:color w:val="014171"/>
          <w:lang w:val="de-DE"/>
        </w:rPr>
      </w:pPr>
      <w:r w:rsidRPr="0065778D">
        <w:rPr>
          <w:rFonts w:ascii="Segoe UI" w:hAnsi="Segoe UI" w:cs="Segoe UI"/>
          <w:color w:val="014171"/>
          <w:lang w:val="de-DE"/>
        </w:rPr>
        <w:t>Der 3-Jahres-</w:t>
      </w:r>
      <w:r w:rsidR="0065778D" w:rsidRPr="0065778D">
        <w:rPr>
          <w:rFonts w:ascii="Segoe UI" w:hAnsi="Segoe UI" w:cs="Segoe UI"/>
          <w:color w:val="014171"/>
          <w:lang w:val="de-DE"/>
        </w:rPr>
        <w:t>Geschäftsplan</w:t>
      </w:r>
      <w:r w:rsidRPr="0065778D">
        <w:rPr>
          <w:rFonts w:ascii="Segoe UI" w:hAnsi="Segoe UI" w:cs="Segoe UI"/>
          <w:color w:val="014171"/>
          <w:lang w:val="de-DE"/>
        </w:rPr>
        <w:t xml:space="preserve"> berücksichtigt Gewinn und Verlust</w:t>
      </w:r>
      <w:r w:rsidR="0065778D" w:rsidRPr="0065778D">
        <w:rPr>
          <w:rFonts w:ascii="Segoe UI" w:hAnsi="Segoe UI" w:cs="Segoe UI"/>
          <w:color w:val="014171"/>
          <w:lang w:val="de-DE"/>
        </w:rPr>
        <w:t>planung</w:t>
      </w:r>
      <w:r w:rsidRPr="0065778D">
        <w:rPr>
          <w:rFonts w:ascii="Segoe UI" w:hAnsi="Segoe UI" w:cs="Segoe UI"/>
          <w:color w:val="014171"/>
          <w:lang w:val="de-DE"/>
        </w:rPr>
        <w:t xml:space="preserve">, Geschäftsveränderungen sowie Kapital- und Liquiditätsbedarf über den Planungshorizont. </w:t>
      </w:r>
      <w:r w:rsidR="0065778D" w:rsidRPr="0065778D">
        <w:rPr>
          <w:rFonts w:ascii="Segoe UI" w:hAnsi="Segoe UI" w:cs="Segoe UI"/>
          <w:color w:val="014171"/>
          <w:lang w:val="de-DE"/>
        </w:rPr>
        <w:t xml:space="preserve">Zusätzlich zum Kapitalbedarf überprüft DCMD, ob es weitere wesentlichen Risiken gibt, die nicht unter den IFR-Regeln </w:t>
      </w:r>
      <w:r w:rsidR="00541061">
        <w:rPr>
          <w:rFonts w:ascii="Segoe UI" w:hAnsi="Segoe UI" w:cs="Segoe UI"/>
          <w:color w:val="014171"/>
          <w:lang w:val="de-DE"/>
        </w:rPr>
        <w:t xml:space="preserve">schon </w:t>
      </w:r>
      <w:r w:rsidR="0065778D" w:rsidRPr="0065778D">
        <w:rPr>
          <w:rFonts w:ascii="Segoe UI" w:hAnsi="Segoe UI" w:cs="Segoe UI"/>
          <w:color w:val="014171"/>
          <w:lang w:val="de-DE"/>
        </w:rPr>
        <w:t>als risikobasierte Kapitalanforderungen erfasst werden</w:t>
      </w:r>
      <w:r w:rsidR="0065778D">
        <w:rPr>
          <w:rFonts w:ascii="Segoe UI" w:hAnsi="Segoe UI" w:cs="Segoe UI"/>
          <w:color w:val="014171"/>
          <w:lang w:val="de-DE"/>
        </w:rPr>
        <w:t>.</w:t>
      </w:r>
    </w:p>
    <w:p w14:paraId="7CBD8073" w14:textId="77777777" w:rsidR="000040F6" w:rsidRPr="0040745F" w:rsidRDefault="000040F6" w:rsidP="00E27BB3">
      <w:pPr>
        <w:spacing w:after="0"/>
        <w:jc w:val="both"/>
        <w:rPr>
          <w:rFonts w:ascii="Segoe UI" w:hAnsi="Segoe UI" w:cs="Segoe UI"/>
          <w:color w:val="014171"/>
          <w:lang w:val="de-DE"/>
        </w:rPr>
      </w:pPr>
    </w:p>
    <w:p w14:paraId="3BDC930B" w14:textId="189798E1" w:rsidR="005830E2" w:rsidRPr="0040745F" w:rsidRDefault="006C2672" w:rsidP="00E27BB3">
      <w:pPr>
        <w:spacing w:after="0"/>
        <w:jc w:val="both"/>
        <w:rPr>
          <w:rFonts w:ascii="Segoe UI" w:hAnsi="Segoe UI" w:cs="Segoe UI"/>
          <w:color w:val="014171"/>
          <w:lang w:val="de-DE"/>
        </w:rPr>
      </w:pPr>
      <w:r w:rsidRPr="00F32DDF">
        <w:rPr>
          <w:rFonts w:ascii="Segoe UI" w:hAnsi="Segoe UI" w:cs="Segoe UI"/>
          <w:color w:val="014171"/>
          <w:lang w:val="de-DE"/>
        </w:rPr>
        <w:t>Die nachfolgenden zusätzlichen Risiken sind in der normativen Perspektive (</w:t>
      </w:r>
      <w:r w:rsidR="00F32DDF" w:rsidRPr="00F32DDF">
        <w:rPr>
          <w:rFonts w:ascii="Segoe UI" w:hAnsi="Segoe UI" w:cs="Segoe UI"/>
          <w:color w:val="014171"/>
          <w:lang w:val="de-DE"/>
        </w:rPr>
        <w:t>Normativer Ansatz: Basis Szenario</w:t>
      </w:r>
      <w:r w:rsidRPr="00F32DDF">
        <w:rPr>
          <w:rFonts w:ascii="Segoe UI" w:hAnsi="Segoe UI" w:cs="Segoe UI"/>
          <w:color w:val="014171"/>
          <w:lang w:val="de-DE"/>
        </w:rPr>
        <w:t>) relevant:</w:t>
      </w:r>
    </w:p>
    <w:p w14:paraId="076E9243" w14:textId="77777777" w:rsidR="007D12B8" w:rsidRPr="0040745F" w:rsidRDefault="007D12B8" w:rsidP="00E27BB3">
      <w:pPr>
        <w:spacing w:after="0"/>
        <w:jc w:val="both"/>
        <w:rPr>
          <w:rFonts w:ascii="Segoe UI" w:hAnsi="Segoe UI" w:cs="Segoe UI"/>
          <w:color w:val="014171"/>
          <w:lang w:val="de-DE"/>
        </w:rPr>
      </w:pPr>
    </w:p>
    <w:p w14:paraId="1801DC93" w14:textId="123605A8" w:rsidR="005830E2" w:rsidRPr="0040745F" w:rsidRDefault="005830E2" w:rsidP="00E27BB3">
      <w:pPr>
        <w:pStyle w:val="ListParagraph"/>
        <w:numPr>
          <w:ilvl w:val="0"/>
          <w:numId w:val="78"/>
        </w:numPr>
        <w:spacing w:after="0"/>
        <w:jc w:val="both"/>
        <w:rPr>
          <w:rFonts w:ascii="Segoe UI" w:hAnsi="Segoe UI" w:cs="Segoe UI"/>
          <w:color w:val="014171"/>
          <w:lang w:val="de-DE"/>
        </w:rPr>
      </w:pPr>
      <w:r w:rsidRPr="0040745F">
        <w:rPr>
          <w:rFonts w:ascii="Segoe UI" w:hAnsi="Segoe UI" w:cs="Segoe UI"/>
          <w:color w:val="014171"/>
          <w:lang w:val="de-DE"/>
        </w:rPr>
        <w:t>Li</w:t>
      </w:r>
      <w:r w:rsidR="00347782" w:rsidRPr="0040745F">
        <w:rPr>
          <w:rFonts w:ascii="Segoe UI" w:hAnsi="Segoe UI" w:cs="Segoe UI"/>
          <w:color w:val="014171"/>
          <w:lang w:val="de-DE"/>
        </w:rPr>
        <w:t>quiditätsrisiken</w:t>
      </w:r>
    </w:p>
    <w:p w14:paraId="1A77A322" w14:textId="3D83AFB6" w:rsidR="005830E2" w:rsidRPr="0040745F" w:rsidRDefault="005830E2" w:rsidP="00E27BB3">
      <w:pPr>
        <w:pStyle w:val="ListParagraph"/>
        <w:numPr>
          <w:ilvl w:val="0"/>
          <w:numId w:val="78"/>
        </w:numPr>
        <w:spacing w:after="0"/>
        <w:jc w:val="both"/>
        <w:rPr>
          <w:rFonts w:ascii="Segoe UI" w:hAnsi="Segoe UI" w:cs="Segoe UI"/>
          <w:color w:val="014171"/>
          <w:lang w:val="de-DE"/>
        </w:rPr>
      </w:pPr>
      <w:r w:rsidRPr="0040745F">
        <w:rPr>
          <w:rFonts w:ascii="Segoe UI" w:hAnsi="Segoe UI" w:cs="Segoe UI"/>
          <w:color w:val="014171"/>
          <w:lang w:val="de-DE"/>
        </w:rPr>
        <w:t>Operatio</w:t>
      </w:r>
      <w:r w:rsidR="00347782" w:rsidRPr="0040745F">
        <w:rPr>
          <w:rFonts w:ascii="Segoe UI" w:hAnsi="Segoe UI" w:cs="Segoe UI"/>
          <w:color w:val="014171"/>
          <w:lang w:val="de-DE"/>
        </w:rPr>
        <w:t>nelle Risiken</w:t>
      </w:r>
    </w:p>
    <w:p w14:paraId="7ABA1DE0" w14:textId="7FF89D00" w:rsidR="005830E2" w:rsidRPr="0040745F" w:rsidRDefault="00347782" w:rsidP="00E27BB3">
      <w:pPr>
        <w:pStyle w:val="ListParagraph"/>
        <w:numPr>
          <w:ilvl w:val="0"/>
          <w:numId w:val="78"/>
        </w:numPr>
        <w:spacing w:after="0"/>
        <w:jc w:val="both"/>
        <w:rPr>
          <w:rFonts w:ascii="Segoe UI" w:hAnsi="Segoe UI" w:cs="Segoe UI"/>
          <w:color w:val="014171"/>
          <w:lang w:val="de-DE"/>
        </w:rPr>
      </w:pPr>
      <w:r w:rsidRPr="0040745F">
        <w:rPr>
          <w:rFonts w:ascii="Segoe UI" w:hAnsi="Segoe UI" w:cs="Segoe UI"/>
          <w:color w:val="014171"/>
          <w:lang w:val="de-DE"/>
        </w:rPr>
        <w:t>Kreditrisiken</w:t>
      </w:r>
    </w:p>
    <w:p w14:paraId="371B5907" w14:textId="7FABF891" w:rsidR="00A04D7C" w:rsidRPr="0040745F" w:rsidRDefault="005830E2" w:rsidP="00E27BB3">
      <w:pPr>
        <w:pStyle w:val="ListParagraph"/>
        <w:numPr>
          <w:ilvl w:val="0"/>
          <w:numId w:val="78"/>
        </w:numPr>
        <w:spacing w:after="0"/>
        <w:jc w:val="both"/>
        <w:rPr>
          <w:rFonts w:ascii="Segoe UI" w:hAnsi="Segoe UI" w:cs="Segoe UI"/>
          <w:color w:val="014171"/>
          <w:lang w:val="de-DE"/>
        </w:rPr>
      </w:pPr>
      <w:r w:rsidRPr="0040745F">
        <w:rPr>
          <w:rFonts w:ascii="Segoe UI" w:hAnsi="Segoe UI" w:cs="Segoe UI"/>
          <w:color w:val="014171"/>
          <w:lang w:val="de-DE"/>
        </w:rPr>
        <w:t>Mark</w:t>
      </w:r>
      <w:r w:rsidR="00347782" w:rsidRPr="0040745F">
        <w:rPr>
          <w:rFonts w:ascii="Segoe UI" w:hAnsi="Segoe UI" w:cs="Segoe UI"/>
          <w:color w:val="014171"/>
          <w:lang w:val="de-DE"/>
        </w:rPr>
        <w:t>trisiken</w:t>
      </w:r>
    </w:p>
    <w:p w14:paraId="777ED88B" w14:textId="77777777" w:rsidR="00763841" w:rsidRPr="0040745F" w:rsidRDefault="00763841" w:rsidP="00E27BB3">
      <w:pPr>
        <w:spacing w:after="0"/>
        <w:jc w:val="both"/>
        <w:rPr>
          <w:rFonts w:ascii="Segoe UI" w:hAnsi="Segoe UI" w:cs="Segoe UI"/>
          <w:color w:val="014171"/>
          <w:lang w:val="de-DE"/>
        </w:rPr>
      </w:pPr>
    </w:p>
    <w:p w14:paraId="2E76EFC0" w14:textId="28FCA066" w:rsidR="00984C40" w:rsidRPr="0040745F" w:rsidRDefault="006512FF" w:rsidP="00E27BB3">
      <w:pPr>
        <w:spacing w:after="0"/>
        <w:jc w:val="both"/>
        <w:rPr>
          <w:rFonts w:ascii="Segoe UI" w:hAnsi="Segoe UI" w:cs="Segoe UI"/>
          <w:color w:val="014171"/>
          <w:lang w:val="de-DE"/>
        </w:rPr>
      </w:pPr>
      <w:r w:rsidRPr="0040745F">
        <w:rPr>
          <w:rFonts w:ascii="Segoe UI" w:hAnsi="Segoe UI" w:cs="Segoe UI"/>
          <w:color w:val="014171"/>
          <w:lang w:val="de-DE"/>
        </w:rPr>
        <w:t>Als Teil des ICAAP-Prozesses legt DCMD seine eigenen Eigenmittel Mindestanforderung und seine Mindestanforderung für liquide Mittel im Rahmen von Schwellenwerten fe</w:t>
      </w:r>
      <w:r w:rsidR="0047418F">
        <w:rPr>
          <w:rFonts w:ascii="Segoe UI" w:hAnsi="Segoe UI" w:cs="Segoe UI"/>
          <w:color w:val="014171"/>
          <w:lang w:val="de-DE"/>
        </w:rPr>
        <w:t>st, um sicherzustellen, dass die</w:t>
      </w:r>
      <w:r w:rsidRPr="0040745F">
        <w:rPr>
          <w:rFonts w:ascii="Segoe UI" w:hAnsi="Segoe UI" w:cs="Segoe UI"/>
          <w:color w:val="014171"/>
          <w:lang w:val="de-DE"/>
        </w:rPr>
        <w:t xml:space="preserve"> </w:t>
      </w:r>
      <w:r w:rsidR="0047418F">
        <w:rPr>
          <w:rFonts w:ascii="Segoe UI" w:hAnsi="Segoe UI" w:cs="Segoe UI"/>
          <w:color w:val="014171"/>
          <w:lang w:val="de-DE"/>
        </w:rPr>
        <w:t>Gesellschaft</w:t>
      </w:r>
      <w:r w:rsidRPr="0040745F">
        <w:rPr>
          <w:rFonts w:ascii="Segoe UI" w:hAnsi="Segoe UI" w:cs="Segoe UI"/>
          <w:color w:val="014171"/>
          <w:lang w:val="de-DE"/>
        </w:rPr>
        <w:t xml:space="preserve"> nachhaltig Risiken und potentielle Schäden aus laufenden Aktivitäten erkennt und eine ordnungsge</w:t>
      </w:r>
      <w:r w:rsidR="00D214FF">
        <w:rPr>
          <w:rFonts w:ascii="Segoe UI" w:hAnsi="Segoe UI" w:cs="Segoe UI"/>
          <w:color w:val="014171"/>
          <w:lang w:val="de-DE"/>
        </w:rPr>
        <w:t>mä</w:t>
      </w:r>
      <w:r w:rsidRPr="0040745F">
        <w:rPr>
          <w:rFonts w:ascii="Segoe UI" w:hAnsi="Segoe UI" w:cs="Segoe UI"/>
          <w:color w:val="014171"/>
          <w:lang w:val="de-DE"/>
        </w:rPr>
        <w:t xml:space="preserve">ße Abwicklung jederzeit gesichert werden kann. </w:t>
      </w:r>
      <w:r w:rsidR="0014221A" w:rsidRPr="0040745F">
        <w:rPr>
          <w:rFonts w:ascii="Segoe UI" w:hAnsi="Segoe UI" w:cs="Segoe UI"/>
          <w:color w:val="014171"/>
          <w:lang w:val="de-DE"/>
        </w:rPr>
        <w:t xml:space="preserve">Für </w:t>
      </w:r>
      <w:r w:rsidR="00BB0721" w:rsidRPr="0040745F">
        <w:rPr>
          <w:rFonts w:ascii="Segoe UI" w:hAnsi="Segoe UI" w:cs="Segoe UI"/>
          <w:color w:val="014171"/>
          <w:lang w:val="de-DE"/>
        </w:rPr>
        <w:t xml:space="preserve">Risiken und </w:t>
      </w:r>
      <w:r w:rsidR="0014221A" w:rsidRPr="0040745F">
        <w:rPr>
          <w:rFonts w:ascii="Segoe UI" w:hAnsi="Segoe UI" w:cs="Segoe UI"/>
          <w:color w:val="014171"/>
          <w:lang w:val="de-DE"/>
        </w:rPr>
        <w:t xml:space="preserve">Schäden, die nicht angemessen durch </w:t>
      </w:r>
      <w:r w:rsidR="00BB0721" w:rsidRPr="0040745F">
        <w:rPr>
          <w:rFonts w:ascii="Segoe UI" w:hAnsi="Segoe UI" w:cs="Segoe UI"/>
          <w:color w:val="014171"/>
          <w:lang w:val="de-DE"/>
        </w:rPr>
        <w:t xml:space="preserve">die vorhandenen </w:t>
      </w:r>
      <w:r w:rsidR="0014221A" w:rsidRPr="0040745F">
        <w:rPr>
          <w:rFonts w:ascii="Segoe UI" w:hAnsi="Segoe UI" w:cs="Segoe UI"/>
          <w:color w:val="014171"/>
          <w:lang w:val="de-DE"/>
        </w:rPr>
        <w:t xml:space="preserve">Systeme und Kontrollen gemindert werden oder durch eine Aktivität verursacht werden, die nicht von der K-Faktor-Eigenmittelanforderung abgedeckt wird, bewertet DCMD, ob zusätzliche Eigenmittel und/oder liquide Mittel erforderlich sind. DCMD </w:t>
      </w:r>
      <w:r w:rsidR="006454B4">
        <w:rPr>
          <w:rFonts w:ascii="Segoe UI" w:hAnsi="Segoe UI" w:cs="Segoe UI"/>
          <w:color w:val="014171"/>
          <w:lang w:val="de-DE"/>
        </w:rPr>
        <w:t xml:space="preserve">hat </w:t>
      </w:r>
      <w:r w:rsidR="0014221A" w:rsidRPr="0040745F">
        <w:rPr>
          <w:rFonts w:ascii="Segoe UI" w:hAnsi="Segoe UI" w:cs="Segoe UI"/>
          <w:color w:val="014171"/>
          <w:lang w:val="de-DE"/>
        </w:rPr>
        <w:t xml:space="preserve">derzeit neben den Stressszenarien im </w:t>
      </w:r>
      <w:r w:rsidR="0014221A" w:rsidRPr="004E465A">
        <w:rPr>
          <w:rFonts w:ascii="Segoe UI" w:hAnsi="Segoe UI" w:cs="Segoe UI"/>
          <w:color w:val="014171"/>
          <w:lang w:val="de-DE"/>
        </w:rPr>
        <w:t>ICAAP (</w:t>
      </w:r>
      <w:r w:rsidR="006454B4">
        <w:rPr>
          <w:rFonts w:ascii="Segoe UI" w:hAnsi="Segoe UI" w:cs="Segoe UI"/>
          <w:color w:val="014171"/>
          <w:lang w:val="de-DE"/>
        </w:rPr>
        <w:t xml:space="preserve">Normativer Ansatz: </w:t>
      </w:r>
      <w:r w:rsidR="0014221A" w:rsidRPr="004E465A">
        <w:rPr>
          <w:rFonts w:ascii="Segoe UI" w:hAnsi="Segoe UI" w:cs="Segoe UI"/>
          <w:color w:val="014171"/>
          <w:lang w:val="de-DE"/>
        </w:rPr>
        <w:t>Adverse</w:t>
      </w:r>
      <w:r w:rsidR="006454B4">
        <w:rPr>
          <w:rFonts w:ascii="Segoe UI" w:hAnsi="Segoe UI" w:cs="Segoe UI"/>
          <w:color w:val="014171"/>
          <w:lang w:val="de-DE"/>
        </w:rPr>
        <w:t>s</w:t>
      </w:r>
      <w:r w:rsidR="0014221A" w:rsidRPr="004E465A">
        <w:rPr>
          <w:rFonts w:ascii="Segoe UI" w:hAnsi="Segoe UI" w:cs="Segoe UI"/>
          <w:color w:val="014171"/>
          <w:lang w:val="de-DE"/>
        </w:rPr>
        <w:t xml:space="preserve"> </w:t>
      </w:r>
      <w:r w:rsidR="004E465A" w:rsidRPr="004E465A">
        <w:rPr>
          <w:rFonts w:ascii="Segoe UI" w:hAnsi="Segoe UI" w:cs="Segoe UI"/>
          <w:color w:val="014171"/>
          <w:lang w:val="de-DE"/>
        </w:rPr>
        <w:t>Szenario</w:t>
      </w:r>
      <w:r w:rsidR="0014221A" w:rsidRPr="0040745F">
        <w:rPr>
          <w:rFonts w:ascii="Segoe UI" w:hAnsi="Segoe UI" w:cs="Segoe UI"/>
          <w:color w:val="014171"/>
          <w:lang w:val="de-DE"/>
        </w:rPr>
        <w:t>) keinen formellen schriftlichen Sanierungs</w:t>
      </w:r>
      <w:r w:rsidR="00BB0721" w:rsidRPr="0040745F">
        <w:rPr>
          <w:rFonts w:ascii="Segoe UI" w:hAnsi="Segoe UI" w:cs="Segoe UI"/>
          <w:color w:val="014171"/>
          <w:lang w:val="de-DE"/>
        </w:rPr>
        <w:t>plan oder Abwicklungsplan</w:t>
      </w:r>
      <w:r w:rsidR="006454B4">
        <w:rPr>
          <w:rFonts w:ascii="Segoe UI" w:hAnsi="Segoe UI" w:cs="Segoe UI"/>
          <w:color w:val="014171"/>
          <w:lang w:val="de-DE"/>
        </w:rPr>
        <w:t xml:space="preserve"> erarbeitet</w:t>
      </w:r>
      <w:r w:rsidR="00BB0721" w:rsidRPr="0040745F">
        <w:rPr>
          <w:rFonts w:ascii="Segoe UI" w:hAnsi="Segoe UI" w:cs="Segoe UI"/>
          <w:color w:val="014171"/>
          <w:lang w:val="de-DE"/>
        </w:rPr>
        <w:t>. Entsprechende</w:t>
      </w:r>
      <w:r w:rsidR="0014221A" w:rsidRPr="0040745F">
        <w:rPr>
          <w:rFonts w:ascii="Segoe UI" w:hAnsi="Segoe UI" w:cs="Segoe UI"/>
          <w:color w:val="014171"/>
          <w:lang w:val="de-DE"/>
        </w:rPr>
        <w:t xml:space="preserve"> Pläne</w:t>
      </w:r>
      <w:r w:rsidR="006454B4">
        <w:rPr>
          <w:rFonts w:ascii="Segoe UI" w:hAnsi="Segoe UI" w:cs="Segoe UI"/>
          <w:color w:val="014171"/>
          <w:lang w:val="de-DE"/>
        </w:rPr>
        <w:t xml:space="preserve"> </w:t>
      </w:r>
      <w:r w:rsidR="0014221A" w:rsidRPr="0040745F">
        <w:rPr>
          <w:rFonts w:ascii="Segoe UI" w:hAnsi="Segoe UI" w:cs="Segoe UI"/>
          <w:color w:val="014171"/>
          <w:lang w:val="de-DE"/>
        </w:rPr>
        <w:t xml:space="preserve">wurden von der deutschen Aufsichtsbehörde </w:t>
      </w:r>
      <w:r w:rsidR="00BB0721" w:rsidRPr="0040745F">
        <w:rPr>
          <w:rFonts w:ascii="Segoe UI" w:hAnsi="Segoe UI" w:cs="Segoe UI"/>
          <w:color w:val="014171"/>
          <w:lang w:val="de-DE"/>
        </w:rPr>
        <w:t xml:space="preserve">bislang </w:t>
      </w:r>
      <w:r w:rsidR="0014221A" w:rsidRPr="0040745F">
        <w:rPr>
          <w:rFonts w:ascii="Segoe UI" w:hAnsi="Segoe UI" w:cs="Segoe UI"/>
          <w:color w:val="014171"/>
          <w:lang w:val="de-DE"/>
        </w:rPr>
        <w:t>nicht gefordert.</w:t>
      </w:r>
    </w:p>
    <w:p w14:paraId="05032EB0" w14:textId="77777777" w:rsidR="00C036B2" w:rsidRPr="0040745F" w:rsidRDefault="00C036B2" w:rsidP="00E27BB3">
      <w:pPr>
        <w:spacing w:after="0"/>
        <w:jc w:val="both"/>
        <w:rPr>
          <w:rFonts w:ascii="Segoe UI" w:hAnsi="Segoe UI" w:cs="Segoe UI"/>
          <w:color w:val="014171"/>
          <w:lang w:val="de-DE"/>
        </w:rPr>
      </w:pPr>
    </w:p>
    <w:p w14:paraId="64978033" w14:textId="6C14526F" w:rsidR="000A083E" w:rsidRPr="0040745F" w:rsidRDefault="00594645" w:rsidP="00E27BB3">
      <w:pPr>
        <w:pStyle w:val="Heading3"/>
        <w:rPr>
          <w:lang w:val="de-DE"/>
        </w:rPr>
      </w:pPr>
      <w:r w:rsidRPr="0040745F">
        <w:rPr>
          <w:lang w:val="de-DE"/>
        </w:rPr>
        <w:t>Angemessenheit der Eigenmittel</w:t>
      </w:r>
    </w:p>
    <w:p w14:paraId="7887F336" w14:textId="7E7E1D95" w:rsidR="00763841" w:rsidRPr="0040745F" w:rsidRDefault="00E82BBE" w:rsidP="00E27BB3">
      <w:pPr>
        <w:spacing w:after="0"/>
        <w:jc w:val="both"/>
        <w:rPr>
          <w:rFonts w:ascii="Segoe UI" w:hAnsi="Segoe UI" w:cs="Segoe UI"/>
          <w:color w:val="014171"/>
          <w:lang w:val="de-DE"/>
        </w:rPr>
      </w:pPr>
      <w:r w:rsidRPr="0040745F">
        <w:rPr>
          <w:rFonts w:ascii="Segoe UI" w:hAnsi="Segoe UI" w:cs="Segoe UI"/>
          <w:color w:val="014171"/>
          <w:lang w:val="de-DE"/>
        </w:rPr>
        <w:t xml:space="preserve">DCMD bewertet die Angemessenheit seiner Eigenmittel regelmäßig anhand einer Vielzahl von Überprüfungen der Eigenmittelanforderungen. Auf </w:t>
      </w:r>
      <w:r w:rsidR="00240E47">
        <w:rPr>
          <w:rFonts w:ascii="Segoe UI" w:hAnsi="Segoe UI" w:cs="Segoe UI"/>
          <w:color w:val="014171"/>
          <w:lang w:val="de-DE"/>
        </w:rPr>
        <w:t xml:space="preserve">Basis </w:t>
      </w:r>
      <w:r w:rsidR="00240E47" w:rsidRPr="00240E47">
        <w:rPr>
          <w:rFonts w:ascii="Segoe UI" w:hAnsi="Segoe UI" w:cs="Segoe UI"/>
          <w:color w:val="014171"/>
          <w:lang w:val="de-DE"/>
        </w:rPr>
        <w:t>von „</w:t>
      </w:r>
      <w:r w:rsidRPr="00240E47">
        <w:rPr>
          <w:rFonts w:ascii="Segoe UI" w:hAnsi="Segoe UI" w:cs="Segoe UI"/>
          <w:color w:val="014171"/>
          <w:lang w:val="de-DE"/>
        </w:rPr>
        <w:t>Business-as-usual</w:t>
      </w:r>
      <w:r w:rsidR="00240E47" w:rsidRPr="00240E47">
        <w:rPr>
          <w:rFonts w:ascii="Segoe UI" w:hAnsi="Segoe UI" w:cs="Segoe UI"/>
          <w:color w:val="014171"/>
          <w:lang w:val="de-DE"/>
        </w:rPr>
        <w:t>“</w:t>
      </w:r>
      <w:r w:rsidR="00240E47">
        <w:rPr>
          <w:rFonts w:ascii="Segoe UI" w:hAnsi="Segoe UI" w:cs="Segoe UI"/>
          <w:color w:val="014171"/>
          <w:lang w:val="de-DE"/>
        </w:rPr>
        <w:t xml:space="preserve"> (normales Tagesgeschäft) </w:t>
      </w:r>
      <w:r w:rsidRPr="0040745F">
        <w:rPr>
          <w:rFonts w:ascii="Segoe UI" w:hAnsi="Segoe UI" w:cs="Segoe UI"/>
          <w:color w:val="014171"/>
          <w:lang w:val="de-DE"/>
        </w:rPr>
        <w:t xml:space="preserve">bewertet der Bereich für die aufsichtsrechtliche Berichterstattung den Eigenmittelspielraum anhand </w:t>
      </w:r>
      <w:r w:rsidR="00240E47">
        <w:rPr>
          <w:rFonts w:ascii="Segoe UI" w:hAnsi="Segoe UI" w:cs="Segoe UI"/>
          <w:color w:val="014171"/>
          <w:lang w:val="de-DE"/>
        </w:rPr>
        <w:t>der</w:t>
      </w:r>
      <w:r w:rsidR="001006A2" w:rsidRPr="0040745F">
        <w:rPr>
          <w:rFonts w:ascii="Segoe UI" w:hAnsi="Segoe UI" w:cs="Segoe UI"/>
          <w:color w:val="014171"/>
          <w:lang w:val="de-DE"/>
        </w:rPr>
        <w:t xml:space="preserve"> </w:t>
      </w:r>
      <w:r w:rsidR="00FD09B2" w:rsidRPr="00FD09B2">
        <w:rPr>
          <w:rFonts w:ascii="Segoe UI" w:hAnsi="Segoe UI" w:cs="Segoe UI"/>
          <w:color w:val="014171"/>
          <w:lang w:val="de-DE"/>
        </w:rPr>
        <w:t>Anforderung für fixe Gemeinkosten</w:t>
      </w:r>
      <w:r w:rsidR="001006A2" w:rsidRPr="0040745F">
        <w:rPr>
          <w:rFonts w:ascii="Segoe UI" w:hAnsi="Segoe UI" w:cs="Segoe UI"/>
          <w:color w:val="014171"/>
          <w:lang w:val="de-DE"/>
        </w:rPr>
        <w:t>, K-Faktor- und ICAAP- Berechnungen</w:t>
      </w:r>
      <w:r w:rsidRPr="0040745F">
        <w:rPr>
          <w:rFonts w:ascii="Segoe UI" w:hAnsi="Segoe UI" w:cs="Segoe UI"/>
          <w:color w:val="014171"/>
          <w:lang w:val="de-DE"/>
        </w:rPr>
        <w:t xml:space="preserve"> sowie </w:t>
      </w:r>
      <w:r w:rsidR="00240E47">
        <w:rPr>
          <w:rFonts w:ascii="Segoe UI" w:hAnsi="Segoe UI" w:cs="Segoe UI"/>
          <w:color w:val="014171"/>
          <w:lang w:val="de-DE"/>
        </w:rPr>
        <w:t xml:space="preserve">den </w:t>
      </w:r>
      <w:r w:rsidRPr="0040745F">
        <w:rPr>
          <w:rFonts w:ascii="Segoe UI" w:hAnsi="Segoe UI" w:cs="Segoe UI"/>
          <w:color w:val="014171"/>
          <w:lang w:val="de-DE"/>
        </w:rPr>
        <w:t>zusätzlichen SREP-Anforderungen.</w:t>
      </w:r>
    </w:p>
    <w:p w14:paraId="0D7123F0" w14:textId="77777777" w:rsidR="00C036B2" w:rsidRPr="0040745F" w:rsidRDefault="00C036B2" w:rsidP="00E27BB3">
      <w:pPr>
        <w:spacing w:after="0"/>
        <w:jc w:val="both"/>
        <w:rPr>
          <w:rFonts w:ascii="Segoe UI" w:hAnsi="Segoe UI" w:cs="Segoe UI"/>
          <w:color w:val="014171"/>
          <w:lang w:val="de-DE"/>
        </w:rPr>
      </w:pPr>
    </w:p>
    <w:p w14:paraId="64E52E7D" w14:textId="5FB13B55" w:rsidR="00E360A0" w:rsidRPr="0040745F" w:rsidRDefault="00B63673" w:rsidP="00E27BB3">
      <w:pPr>
        <w:spacing w:after="0"/>
        <w:jc w:val="both"/>
        <w:rPr>
          <w:rFonts w:ascii="Segoe UI" w:hAnsi="Segoe UI" w:cs="Segoe UI"/>
          <w:color w:val="014171"/>
          <w:lang w:val="de-DE"/>
        </w:rPr>
      </w:pPr>
      <w:r w:rsidRPr="0040745F">
        <w:rPr>
          <w:rFonts w:ascii="Segoe UI" w:hAnsi="Segoe UI" w:cs="Segoe UI"/>
          <w:color w:val="014171"/>
          <w:lang w:val="de-DE"/>
        </w:rPr>
        <w:t>Die Risikoabteilung führt zudem monatliche Stresstests der verfügbaren Eigenmittel und der Eigenmittelanforderungen durch, um den Spielraum unter Stress</w:t>
      </w:r>
      <w:r w:rsidR="00240E47">
        <w:rPr>
          <w:rFonts w:ascii="Segoe UI" w:hAnsi="Segoe UI" w:cs="Segoe UI"/>
          <w:color w:val="014171"/>
          <w:lang w:val="de-DE"/>
        </w:rPr>
        <w:t xml:space="preserve"> Bedingungen</w:t>
      </w:r>
      <w:r w:rsidRPr="0040745F">
        <w:rPr>
          <w:rFonts w:ascii="Segoe UI" w:hAnsi="Segoe UI" w:cs="Segoe UI"/>
          <w:color w:val="014171"/>
          <w:lang w:val="de-DE"/>
        </w:rPr>
        <w:t xml:space="preserve"> zu beurteilen. </w:t>
      </w:r>
      <w:r w:rsidRPr="0040745F">
        <w:rPr>
          <w:rFonts w:ascii="Segoe UI" w:hAnsi="Segoe UI" w:cs="Segoe UI"/>
          <w:color w:val="014171"/>
          <w:lang w:val="de-DE"/>
        </w:rPr>
        <w:lastRenderedPageBreak/>
        <w:t>Die Höhe der Eigenmittelverwendung gegenüber den IFR-Limiten wird täglich überwacht und gemeldet.</w:t>
      </w:r>
    </w:p>
    <w:p w14:paraId="47356493" w14:textId="77777777" w:rsidR="00E360A0" w:rsidRPr="0040745F" w:rsidRDefault="00E360A0" w:rsidP="00E27BB3">
      <w:pPr>
        <w:spacing w:after="0"/>
        <w:jc w:val="both"/>
        <w:rPr>
          <w:rFonts w:ascii="Segoe UI" w:hAnsi="Segoe UI" w:cs="Segoe UI"/>
          <w:color w:val="014171"/>
          <w:lang w:val="de-DE"/>
        </w:rPr>
      </w:pPr>
    </w:p>
    <w:p w14:paraId="3D839863" w14:textId="2224C720" w:rsidR="00E360A0" w:rsidRPr="0040745F" w:rsidRDefault="00594645" w:rsidP="00E27BB3">
      <w:pPr>
        <w:pStyle w:val="Heading3"/>
        <w:rPr>
          <w:b w:val="0"/>
          <w:lang w:val="de-DE"/>
        </w:rPr>
      </w:pPr>
      <w:r w:rsidRPr="0040745F">
        <w:rPr>
          <w:lang w:val="de-DE"/>
        </w:rPr>
        <w:t xml:space="preserve">Angemessenheit der </w:t>
      </w:r>
      <w:r w:rsidR="003420A4" w:rsidRPr="0040745F">
        <w:rPr>
          <w:lang w:val="de-DE"/>
        </w:rPr>
        <w:t>l</w:t>
      </w:r>
      <w:r w:rsidRPr="0040745F">
        <w:rPr>
          <w:lang w:val="de-DE"/>
        </w:rPr>
        <w:t>iquiden Mittel</w:t>
      </w:r>
    </w:p>
    <w:p w14:paraId="7C79D8AA" w14:textId="28CF14AB" w:rsidR="00E360A0" w:rsidRPr="0040745F" w:rsidRDefault="000C7674" w:rsidP="00E27BB3">
      <w:pPr>
        <w:spacing w:after="0"/>
        <w:jc w:val="both"/>
        <w:rPr>
          <w:rFonts w:ascii="Segoe UI" w:hAnsi="Segoe UI" w:cs="Segoe UI"/>
          <w:color w:val="014171"/>
          <w:lang w:val="de-DE"/>
        </w:rPr>
      </w:pPr>
      <w:r w:rsidRPr="0040745F">
        <w:rPr>
          <w:rFonts w:ascii="Segoe UI" w:hAnsi="Segoe UI" w:cs="Segoe UI"/>
          <w:color w:val="014171"/>
          <w:lang w:val="de-DE"/>
        </w:rPr>
        <w:t>DCMD überpr</w:t>
      </w:r>
      <w:r w:rsidR="00CD746F" w:rsidRPr="0040745F">
        <w:rPr>
          <w:rFonts w:ascii="Segoe UI" w:hAnsi="Segoe UI" w:cs="Segoe UI"/>
          <w:color w:val="014171"/>
          <w:lang w:val="de-DE"/>
        </w:rPr>
        <w:t>üft regelmäßig die zentralen</w:t>
      </w:r>
      <w:r w:rsidR="00096A6E" w:rsidRPr="0040745F">
        <w:rPr>
          <w:rFonts w:ascii="Segoe UI" w:hAnsi="Segoe UI" w:cs="Segoe UI"/>
          <w:color w:val="014171"/>
          <w:lang w:val="de-DE"/>
        </w:rPr>
        <w:t xml:space="preserve"> Bestandteile</w:t>
      </w:r>
      <w:r w:rsidRPr="0040745F">
        <w:rPr>
          <w:rFonts w:ascii="Segoe UI" w:hAnsi="Segoe UI" w:cs="Segoe UI"/>
          <w:color w:val="014171"/>
          <w:lang w:val="de-DE"/>
        </w:rPr>
        <w:t xml:space="preserve"> der Liquiditätsadäquanzbeurteilung, bestimmt den Bedarf de</w:t>
      </w:r>
      <w:r w:rsidR="0047418F">
        <w:rPr>
          <w:rFonts w:ascii="Segoe UI" w:hAnsi="Segoe UI" w:cs="Segoe UI"/>
          <w:color w:val="014171"/>
          <w:lang w:val="de-DE"/>
        </w:rPr>
        <w:t>r</w:t>
      </w:r>
      <w:r w:rsidRPr="0040745F">
        <w:rPr>
          <w:rFonts w:ascii="Segoe UI" w:hAnsi="Segoe UI" w:cs="Segoe UI"/>
          <w:color w:val="014171"/>
          <w:lang w:val="de-DE"/>
        </w:rPr>
        <w:t xml:space="preserve"> </w:t>
      </w:r>
      <w:r w:rsidR="0047418F">
        <w:rPr>
          <w:rFonts w:ascii="Segoe UI" w:hAnsi="Segoe UI" w:cs="Segoe UI"/>
          <w:color w:val="014171"/>
          <w:lang w:val="de-DE"/>
        </w:rPr>
        <w:t>Gesellschaft</w:t>
      </w:r>
      <w:r w:rsidRPr="0040745F">
        <w:rPr>
          <w:rFonts w:ascii="Segoe UI" w:hAnsi="Segoe UI" w:cs="Segoe UI"/>
          <w:color w:val="014171"/>
          <w:lang w:val="de-DE"/>
        </w:rPr>
        <w:t xml:space="preserve"> an liquiden Vermögenswerten und stellt sicher, dass diese angemessen bleiben, um die Liquiditäts- und Finanzierungsrisiken unter normalen und angespannten Bedingungen abzudecken. Nach den neuen IFR-Regeln wird die Mindestliqui</w:t>
      </w:r>
      <w:r w:rsidR="00096A6E" w:rsidRPr="0040745F">
        <w:rPr>
          <w:rFonts w:ascii="Segoe UI" w:hAnsi="Segoe UI" w:cs="Segoe UI"/>
          <w:color w:val="014171"/>
          <w:lang w:val="de-DE"/>
        </w:rPr>
        <w:t>dität als Prozentsatz der fixen</w:t>
      </w:r>
      <w:r w:rsidRPr="0040745F">
        <w:rPr>
          <w:rFonts w:ascii="Segoe UI" w:hAnsi="Segoe UI" w:cs="Segoe UI"/>
          <w:color w:val="014171"/>
          <w:lang w:val="de-DE"/>
        </w:rPr>
        <w:t xml:space="preserve"> Gemeinkosten</w:t>
      </w:r>
      <w:r w:rsidR="00096A6E" w:rsidRPr="0040745F">
        <w:rPr>
          <w:rFonts w:ascii="Segoe UI" w:hAnsi="Segoe UI" w:cs="Segoe UI"/>
          <w:color w:val="014171"/>
          <w:lang w:val="de-DE"/>
        </w:rPr>
        <w:t>-A</w:t>
      </w:r>
      <w:r w:rsidRPr="0040745F">
        <w:rPr>
          <w:rFonts w:ascii="Segoe UI" w:hAnsi="Segoe UI" w:cs="Segoe UI"/>
          <w:color w:val="014171"/>
          <w:lang w:val="de-DE"/>
        </w:rPr>
        <w:t>nforderung (</w:t>
      </w:r>
      <w:r w:rsidR="0018154D">
        <w:rPr>
          <w:rFonts w:ascii="Segoe UI" w:hAnsi="Segoe UI" w:cs="Segoe UI"/>
          <w:color w:val="014171"/>
          <w:lang w:val="de-DE"/>
        </w:rPr>
        <w:t>F</w:t>
      </w:r>
      <w:r w:rsidR="009A59F1" w:rsidRPr="0018154D">
        <w:rPr>
          <w:rFonts w:ascii="Segoe UI" w:hAnsi="Segoe UI" w:cs="Segoe UI"/>
          <w:i/>
          <w:color w:val="014171"/>
          <w:lang w:val="de-DE"/>
        </w:rPr>
        <w:t xml:space="preserve">ixed </w:t>
      </w:r>
      <w:r w:rsidR="0018154D">
        <w:rPr>
          <w:rFonts w:ascii="Segoe UI" w:hAnsi="Segoe UI" w:cs="Segoe UI"/>
          <w:i/>
          <w:color w:val="014171"/>
          <w:lang w:val="de-DE"/>
        </w:rPr>
        <w:t>O</w:t>
      </w:r>
      <w:r w:rsidR="009A59F1" w:rsidRPr="0018154D">
        <w:rPr>
          <w:rFonts w:ascii="Segoe UI" w:hAnsi="Segoe UI" w:cs="Segoe UI"/>
          <w:i/>
          <w:color w:val="014171"/>
          <w:lang w:val="de-DE"/>
        </w:rPr>
        <w:t>verhead</w:t>
      </w:r>
      <w:r w:rsidR="009A59F1">
        <w:rPr>
          <w:rFonts w:ascii="Segoe UI" w:hAnsi="Segoe UI" w:cs="Segoe UI"/>
          <w:i/>
          <w:color w:val="014171"/>
          <w:lang w:val="de-DE"/>
        </w:rPr>
        <w:t>s</w:t>
      </w:r>
      <w:r w:rsidR="009A59F1" w:rsidRPr="0018154D">
        <w:rPr>
          <w:rFonts w:ascii="Segoe UI" w:hAnsi="Segoe UI" w:cs="Segoe UI"/>
          <w:i/>
          <w:color w:val="014171"/>
          <w:lang w:val="de-DE"/>
        </w:rPr>
        <w:t xml:space="preserve"> </w:t>
      </w:r>
      <w:r w:rsidR="0018154D">
        <w:rPr>
          <w:rFonts w:ascii="Segoe UI" w:hAnsi="Segoe UI" w:cs="Segoe UI"/>
          <w:i/>
          <w:color w:val="014171"/>
          <w:lang w:val="de-DE"/>
        </w:rPr>
        <w:t>R</w:t>
      </w:r>
      <w:r w:rsidR="009A59F1" w:rsidRPr="0018154D">
        <w:rPr>
          <w:rFonts w:ascii="Segoe UI" w:hAnsi="Segoe UI" w:cs="Segoe UI"/>
          <w:i/>
          <w:color w:val="014171"/>
          <w:lang w:val="de-DE"/>
        </w:rPr>
        <w:t>equirements</w:t>
      </w:r>
      <w:r w:rsidR="009A59F1">
        <w:rPr>
          <w:rFonts w:ascii="Segoe UI" w:hAnsi="Segoe UI" w:cs="Segoe UI"/>
          <w:color w:val="014171"/>
          <w:lang w:val="de-DE"/>
        </w:rPr>
        <w:t>, „</w:t>
      </w:r>
      <w:r w:rsidRPr="0040745F">
        <w:rPr>
          <w:rFonts w:ascii="Segoe UI" w:hAnsi="Segoe UI" w:cs="Segoe UI"/>
          <w:color w:val="014171"/>
          <w:lang w:val="de-DE"/>
        </w:rPr>
        <w:t>FOR</w:t>
      </w:r>
      <w:r w:rsidR="009A59F1">
        <w:rPr>
          <w:rFonts w:ascii="Segoe UI" w:hAnsi="Segoe UI" w:cs="Segoe UI"/>
          <w:color w:val="014171"/>
          <w:lang w:val="de-DE"/>
        </w:rPr>
        <w:t>“</w:t>
      </w:r>
      <w:r w:rsidRPr="0040745F">
        <w:rPr>
          <w:rFonts w:ascii="Segoe UI" w:hAnsi="Segoe UI" w:cs="Segoe UI"/>
          <w:color w:val="014171"/>
          <w:lang w:val="de-DE"/>
        </w:rPr>
        <w:t>) festgelegt, um potenzielle Abflüsse in der Zukunft abzudecken.</w:t>
      </w:r>
      <w:r w:rsidR="00096A6E" w:rsidRPr="0040745F">
        <w:rPr>
          <w:rFonts w:ascii="Segoe UI" w:hAnsi="Segoe UI" w:cs="Segoe UI"/>
          <w:color w:val="014171"/>
          <w:lang w:val="de-DE"/>
        </w:rPr>
        <w:t xml:space="preserve"> Für DCMD ist dieser Ansatz geeignet</w:t>
      </w:r>
      <w:r w:rsidRPr="0040745F">
        <w:rPr>
          <w:rFonts w:ascii="Segoe UI" w:hAnsi="Segoe UI" w:cs="Segoe UI"/>
          <w:color w:val="014171"/>
          <w:lang w:val="de-DE"/>
        </w:rPr>
        <w:t>, d</w:t>
      </w:r>
      <w:r w:rsidR="00096A6E" w:rsidRPr="0040745F">
        <w:rPr>
          <w:rFonts w:ascii="Segoe UI" w:hAnsi="Segoe UI" w:cs="Segoe UI"/>
          <w:color w:val="014171"/>
          <w:lang w:val="de-DE"/>
        </w:rPr>
        <w:t xml:space="preserve">a DCMD derzeit einen 100% </w:t>
      </w:r>
      <w:r w:rsidR="00C77CB8">
        <w:rPr>
          <w:rFonts w:ascii="Segoe UI" w:hAnsi="Segoe UI" w:cs="Segoe UI"/>
          <w:color w:val="014171"/>
          <w:lang w:val="de-DE"/>
        </w:rPr>
        <w:t>Back-to-Back</w:t>
      </w:r>
      <w:r w:rsidR="00096A6E" w:rsidRPr="0040745F">
        <w:rPr>
          <w:rFonts w:ascii="Segoe UI" w:hAnsi="Segoe UI" w:cs="Segoe UI"/>
          <w:color w:val="014171"/>
          <w:lang w:val="de-DE"/>
        </w:rPr>
        <w:t xml:space="preserve"> </w:t>
      </w:r>
      <w:r w:rsidR="00C77CB8">
        <w:rPr>
          <w:rFonts w:ascii="Segoe UI" w:hAnsi="Segoe UI" w:cs="Segoe UI"/>
          <w:color w:val="014171"/>
          <w:lang w:val="de-DE"/>
        </w:rPr>
        <w:t>Buchungsansatz</w:t>
      </w:r>
      <w:r w:rsidR="00D214FF">
        <w:rPr>
          <w:rFonts w:ascii="Segoe UI" w:hAnsi="Segoe UI" w:cs="Segoe UI"/>
          <w:color w:val="014171"/>
          <w:lang w:val="de-DE"/>
        </w:rPr>
        <w:t xml:space="preserve"> </w:t>
      </w:r>
      <w:r w:rsidR="00C77CB8">
        <w:rPr>
          <w:rFonts w:ascii="Segoe UI" w:hAnsi="Segoe UI" w:cs="Segoe UI"/>
          <w:color w:val="014171"/>
          <w:lang w:val="de-DE"/>
        </w:rPr>
        <w:t xml:space="preserve">der </w:t>
      </w:r>
      <w:r w:rsidR="00096A6E" w:rsidRPr="0040745F">
        <w:rPr>
          <w:rFonts w:ascii="Segoe UI" w:hAnsi="Segoe UI" w:cs="Segoe UI"/>
          <w:color w:val="014171"/>
          <w:lang w:val="de-DE"/>
        </w:rPr>
        <w:t xml:space="preserve">Geschäfte verfolgt. Hierbei werden </w:t>
      </w:r>
      <w:r w:rsidRPr="0040745F">
        <w:rPr>
          <w:rFonts w:ascii="Segoe UI" w:hAnsi="Segoe UI" w:cs="Segoe UI"/>
          <w:color w:val="014171"/>
          <w:lang w:val="de-DE"/>
        </w:rPr>
        <w:t>Geschäfte innerhalb der</w:t>
      </w:r>
      <w:r w:rsidR="00096A6E" w:rsidRPr="0040745F">
        <w:rPr>
          <w:rFonts w:ascii="Segoe UI" w:hAnsi="Segoe UI" w:cs="Segoe UI"/>
          <w:color w:val="014171"/>
          <w:lang w:val="de-DE"/>
        </w:rPr>
        <w:t xml:space="preserve"> Daiwa-Gruppe abgesichert</w:t>
      </w:r>
      <w:r w:rsidRPr="0040745F">
        <w:rPr>
          <w:rFonts w:ascii="Segoe UI" w:hAnsi="Segoe UI" w:cs="Segoe UI"/>
          <w:color w:val="014171"/>
          <w:lang w:val="de-DE"/>
        </w:rPr>
        <w:t xml:space="preserve">, wodurch das Liquiditätsrisiko auf ein Minimum reduziert wird. </w:t>
      </w:r>
      <w:r w:rsidR="00096A6E" w:rsidRPr="0040745F">
        <w:rPr>
          <w:rFonts w:ascii="Segoe UI" w:hAnsi="Segoe UI" w:cs="Segoe UI"/>
          <w:color w:val="014171"/>
          <w:lang w:val="de-DE"/>
        </w:rPr>
        <w:t>Die Liquidität</w:t>
      </w:r>
      <w:r w:rsidRPr="0040745F">
        <w:rPr>
          <w:rFonts w:ascii="Segoe UI" w:hAnsi="Segoe UI" w:cs="Segoe UI"/>
          <w:color w:val="014171"/>
          <w:lang w:val="de-DE"/>
        </w:rPr>
        <w:t xml:space="preserve"> wird täglich überwacht und gemeldet.</w:t>
      </w:r>
    </w:p>
    <w:p w14:paraId="6816D79F" w14:textId="3544AB4D" w:rsidR="00B81A57" w:rsidRPr="0040745F" w:rsidRDefault="00B81A57" w:rsidP="00E27BB3">
      <w:pPr>
        <w:spacing w:after="0"/>
        <w:jc w:val="both"/>
        <w:rPr>
          <w:rFonts w:ascii="Segoe UI" w:hAnsi="Segoe UI" w:cs="Segoe UI"/>
          <w:color w:val="014171"/>
          <w:lang w:val="de-DE"/>
        </w:rPr>
      </w:pPr>
    </w:p>
    <w:p w14:paraId="3DA639A4" w14:textId="63EC6BAC" w:rsidR="00B81A57" w:rsidRPr="0040745F" w:rsidRDefault="003420A4" w:rsidP="00B81A57">
      <w:pPr>
        <w:pStyle w:val="Heading2"/>
        <w:rPr>
          <w:lang w:val="de-DE"/>
        </w:rPr>
      </w:pPr>
      <w:bookmarkStart w:id="79" w:name="_Toc123138025"/>
      <w:r w:rsidRPr="0040745F">
        <w:rPr>
          <w:lang w:val="de-DE"/>
        </w:rPr>
        <w:t>Anforderun</w:t>
      </w:r>
      <w:r w:rsidR="00D214FF">
        <w:rPr>
          <w:lang w:val="de-DE"/>
        </w:rPr>
        <w:t>g</w:t>
      </w:r>
      <w:r w:rsidRPr="0040745F">
        <w:rPr>
          <w:lang w:val="de-DE"/>
        </w:rPr>
        <w:t xml:space="preserve">en aus </w:t>
      </w:r>
      <w:r w:rsidR="00B81A57" w:rsidRPr="0040745F">
        <w:rPr>
          <w:lang w:val="de-DE"/>
        </w:rPr>
        <w:t>K-Fa</w:t>
      </w:r>
      <w:r w:rsidRPr="0040745F">
        <w:rPr>
          <w:lang w:val="de-DE"/>
        </w:rPr>
        <w:t>k</w:t>
      </w:r>
      <w:r w:rsidR="00B81A57" w:rsidRPr="0040745F">
        <w:rPr>
          <w:lang w:val="de-DE"/>
        </w:rPr>
        <w:t>tor</w:t>
      </w:r>
      <w:r w:rsidRPr="0040745F">
        <w:rPr>
          <w:lang w:val="de-DE"/>
        </w:rPr>
        <w:t>en</w:t>
      </w:r>
      <w:r w:rsidR="00B81A57" w:rsidRPr="0040745F">
        <w:rPr>
          <w:lang w:val="de-DE"/>
        </w:rPr>
        <w:t xml:space="preserve"> </w:t>
      </w:r>
      <w:r w:rsidRPr="0040745F">
        <w:rPr>
          <w:lang w:val="de-DE"/>
        </w:rPr>
        <w:t>und fixen Gemeinkosten</w:t>
      </w:r>
      <w:bookmarkEnd w:id="79"/>
    </w:p>
    <w:p w14:paraId="2CFE2677" w14:textId="16163E57" w:rsidR="00B81A57" w:rsidRPr="0040745F" w:rsidRDefault="00096A6E" w:rsidP="00B81A57">
      <w:pPr>
        <w:spacing w:after="0"/>
        <w:jc w:val="both"/>
        <w:rPr>
          <w:rFonts w:ascii="Segoe UI" w:hAnsi="Segoe UI" w:cs="Segoe UI"/>
          <w:color w:val="014171"/>
          <w:lang w:val="de-DE"/>
        </w:rPr>
      </w:pPr>
      <w:r w:rsidRPr="0040745F">
        <w:rPr>
          <w:rFonts w:ascii="Segoe UI" w:hAnsi="Segoe UI" w:cs="Segoe UI"/>
          <w:color w:val="014171"/>
          <w:lang w:val="de-DE"/>
        </w:rPr>
        <w:t>Die nachfo</w:t>
      </w:r>
      <w:r w:rsidR="00B47C3E" w:rsidRPr="0040745F">
        <w:rPr>
          <w:rFonts w:ascii="Segoe UI" w:hAnsi="Segoe UI" w:cs="Segoe UI"/>
          <w:color w:val="014171"/>
          <w:lang w:val="de-DE"/>
        </w:rPr>
        <w:t>l</w:t>
      </w:r>
      <w:r w:rsidRPr="0040745F">
        <w:rPr>
          <w:rFonts w:ascii="Segoe UI" w:hAnsi="Segoe UI" w:cs="Segoe UI"/>
          <w:color w:val="014171"/>
          <w:lang w:val="de-DE"/>
        </w:rPr>
        <w:t xml:space="preserve">gende Tabelle zeigt </w:t>
      </w:r>
      <w:r w:rsidR="00FD09B2">
        <w:rPr>
          <w:rFonts w:ascii="Segoe UI" w:hAnsi="Segoe UI" w:cs="Segoe UI"/>
          <w:color w:val="014171"/>
          <w:lang w:val="de-DE"/>
        </w:rPr>
        <w:t>die K-Faktor-Anforderung</w:t>
      </w:r>
      <w:r w:rsidRPr="0040745F">
        <w:rPr>
          <w:rFonts w:ascii="Segoe UI" w:hAnsi="Segoe UI" w:cs="Segoe UI"/>
          <w:color w:val="014171"/>
          <w:lang w:val="de-DE"/>
        </w:rPr>
        <w:t xml:space="preserve">, unterteilt in drei Gruppierungen sowie die Höhe der </w:t>
      </w:r>
      <w:r w:rsidR="00FD09B2" w:rsidRPr="00FD09B2">
        <w:rPr>
          <w:rFonts w:ascii="Segoe UI" w:hAnsi="Segoe UI" w:cs="Segoe UI"/>
          <w:color w:val="014171"/>
          <w:lang w:val="de-DE"/>
        </w:rPr>
        <w:t>Anforderung für fixe Gemeinkosten</w:t>
      </w:r>
      <w:r w:rsidRPr="0040745F">
        <w:rPr>
          <w:rFonts w:ascii="Segoe UI" w:hAnsi="Segoe UI" w:cs="Segoe UI"/>
          <w:color w:val="014171"/>
          <w:lang w:val="de-DE"/>
        </w:rPr>
        <w:t xml:space="preserve"> zum 31. März 2022.</w:t>
      </w:r>
    </w:p>
    <w:p w14:paraId="2D166D90" w14:textId="77777777" w:rsidR="00B81A57" w:rsidRPr="0040745F" w:rsidRDefault="00B81A57" w:rsidP="00B81A57">
      <w:pPr>
        <w:spacing w:after="0"/>
        <w:jc w:val="both"/>
        <w:rPr>
          <w:rFonts w:ascii="Segoe UI" w:hAnsi="Segoe UI" w:cs="Segoe UI"/>
          <w:color w:val="014171"/>
          <w:lang w:val="de-DE"/>
        </w:rPr>
      </w:pPr>
    </w:p>
    <w:p w14:paraId="5075E7FB" w14:textId="4B077C1C" w:rsidR="00B81A57" w:rsidRPr="0040745F" w:rsidRDefault="00B81A57" w:rsidP="00B81A57">
      <w:pPr>
        <w:spacing w:after="0"/>
        <w:jc w:val="center"/>
        <w:rPr>
          <w:rFonts w:ascii="Segoe UI" w:hAnsi="Segoe UI" w:cs="Segoe UI"/>
          <w:b/>
          <w:color w:val="014171"/>
          <w:lang w:val="de-DE"/>
        </w:rPr>
      </w:pPr>
      <w:r w:rsidRPr="0040745F">
        <w:rPr>
          <w:rFonts w:ascii="Segoe UI" w:hAnsi="Segoe UI" w:cs="Segoe UI"/>
          <w:b/>
          <w:color w:val="014171"/>
          <w:lang w:val="de-DE"/>
        </w:rPr>
        <w:t>Tab</w:t>
      </w:r>
      <w:r w:rsidR="00C26D26" w:rsidRPr="0040745F">
        <w:rPr>
          <w:rFonts w:ascii="Segoe UI" w:hAnsi="Segoe UI" w:cs="Segoe UI"/>
          <w:b/>
          <w:color w:val="014171"/>
          <w:lang w:val="de-DE"/>
        </w:rPr>
        <w:t>elle</w:t>
      </w:r>
      <w:r w:rsidRPr="0040745F">
        <w:rPr>
          <w:rFonts w:ascii="Segoe UI" w:hAnsi="Segoe UI" w:cs="Segoe UI"/>
          <w:b/>
          <w:color w:val="014171"/>
          <w:lang w:val="de-DE"/>
        </w:rPr>
        <w:t xml:space="preserve"> 4 – </w:t>
      </w:r>
      <w:r w:rsidR="003420A4" w:rsidRPr="0040745F">
        <w:rPr>
          <w:rFonts w:ascii="Segoe UI" w:hAnsi="Segoe UI" w:cs="Segoe UI"/>
          <w:b/>
          <w:color w:val="014171"/>
          <w:lang w:val="de-DE"/>
        </w:rPr>
        <w:t>Anforderun</w:t>
      </w:r>
      <w:r w:rsidR="00D214FF">
        <w:rPr>
          <w:rFonts w:ascii="Segoe UI" w:hAnsi="Segoe UI" w:cs="Segoe UI"/>
          <w:b/>
          <w:color w:val="014171"/>
          <w:lang w:val="de-DE"/>
        </w:rPr>
        <w:t>g</w:t>
      </w:r>
      <w:r w:rsidR="003420A4" w:rsidRPr="0040745F">
        <w:rPr>
          <w:rFonts w:ascii="Segoe UI" w:hAnsi="Segoe UI" w:cs="Segoe UI"/>
          <w:b/>
          <w:color w:val="014171"/>
          <w:lang w:val="de-DE"/>
        </w:rPr>
        <w:t>en aus K-Faktoren und fixen Gemeinkosten</w:t>
      </w:r>
    </w:p>
    <w:p w14:paraId="56516AA3" w14:textId="55B7DF1A" w:rsidR="00B81A57" w:rsidRPr="0040745F" w:rsidRDefault="00C26D26" w:rsidP="00B81A57">
      <w:pPr>
        <w:spacing w:after="0"/>
        <w:jc w:val="center"/>
        <w:rPr>
          <w:rFonts w:ascii="Segoe UI" w:hAnsi="Segoe UI" w:cs="Segoe UI"/>
          <w:color w:val="014171"/>
          <w:lang w:val="de-DE"/>
        </w:rPr>
      </w:pPr>
      <w:r w:rsidRPr="0040745F">
        <w:rPr>
          <w:rFonts w:ascii="Segoe UI" w:hAnsi="Segoe UI" w:cs="Segoe UI"/>
          <w:color w:val="014171"/>
          <w:lang w:val="de-DE"/>
        </w:rPr>
        <w:t>Geprüfter und genehmigter Jahresabschluss zum 31. März 2022</w:t>
      </w:r>
    </w:p>
    <w:p w14:paraId="0C74E2FC" w14:textId="77777777" w:rsidR="00B81A57" w:rsidRPr="0040745F" w:rsidRDefault="00B81A57" w:rsidP="00B81A57">
      <w:pPr>
        <w:spacing w:after="0" w:line="240" w:lineRule="auto"/>
        <w:jc w:val="both"/>
        <w:rPr>
          <w:rFonts w:ascii="Times New Roman" w:hAnsi="Times New Roman"/>
          <w:color w:val="0F243E" w:themeColor="text2" w:themeShade="80"/>
          <w:sz w:val="24"/>
          <w:szCs w:val="24"/>
          <w:lang w:val="de-DE"/>
        </w:rPr>
      </w:pPr>
    </w:p>
    <w:tbl>
      <w:tblPr>
        <w:tblStyle w:val="TableGrid"/>
        <w:tblW w:w="0" w:type="auto"/>
        <w:jc w:val="center"/>
        <w:tblLook w:val="04A0" w:firstRow="1" w:lastRow="0" w:firstColumn="1" w:lastColumn="0" w:noHBand="0" w:noVBand="1"/>
      </w:tblPr>
      <w:tblGrid>
        <w:gridCol w:w="1275"/>
        <w:gridCol w:w="2548"/>
        <w:gridCol w:w="3300"/>
        <w:gridCol w:w="1893"/>
      </w:tblGrid>
      <w:tr w:rsidR="00B81A57" w:rsidRPr="0040745F" w14:paraId="36B70AAC" w14:textId="77777777" w:rsidTr="00F32DDF">
        <w:trPr>
          <w:trHeight w:val="340"/>
          <w:jc w:val="center"/>
        </w:trPr>
        <w:tc>
          <w:tcPr>
            <w:tcW w:w="1275" w:type="dxa"/>
            <w:shd w:val="clear" w:color="auto" w:fill="002060"/>
          </w:tcPr>
          <w:p w14:paraId="7B348302" w14:textId="77777777" w:rsidR="00B81A57" w:rsidRPr="0040745F" w:rsidRDefault="00B81A57" w:rsidP="00AC51F9">
            <w:pPr>
              <w:spacing w:after="0" w:line="240" w:lineRule="auto"/>
              <w:jc w:val="both"/>
              <w:rPr>
                <w:rFonts w:ascii="Segoe UI" w:hAnsi="Segoe UI" w:cs="Segoe UI"/>
                <w:b/>
                <w:color w:val="FFFFFF" w:themeColor="background1"/>
                <w:sz w:val="20"/>
                <w:szCs w:val="24"/>
                <w:lang w:val="de-DE"/>
              </w:rPr>
            </w:pPr>
          </w:p>
        </w:tc>
        <w:tc>
          <w:tcPr>
            <w:tcW w:w="5848" w:type="dxa"/>
            <w:gridSpan w:val="2"/>
            <w:shd w:val="clear" w:color="auto" w:fill="002060"/>
            <w:vAlign w:val="center"/>
          </w:tcPr>
          <w:p w14:paraId="2892DD0A" w14:textId="554A2E10" w:rsidR="00B81A57" w:rsidRPr="0040745F" w:rsidRDefault="00B81A57" w:rsidP="00AC51F9">
            <w:pPr>
              <w:spacing w:after="0" w:line="240" w:lineRule="auto"/>
              <w:jc w:val="both"/>
              <w:rPr>
                <w:rFonts w:ascii="Segoe UI" w:hAnsi="Segoe UI" w:cs="Segoe UI"/>
                <w:b/>
                <w:color w:val="FFFFFF" w:themeColor="background1"/>
                <w:sz w:val="20"/>
                <w:szCs w:val="24"/>
                <w:lang w:val="de-DE"/>
              </w:rPr>
            </w:pPr>
            <w:r w:rsidRPr="0040745F">
              <w:rPr>
                <w:rFonts w:ascii="Segoe UI" w:hAnsi="Segoe UI" w:cs="Segoe UI"/>
                <w:b/>
                <w:color w:val="FFFFFF" w:themeColor="background1"/>
                <w:sz w:val="20"/>
                <w:szCs w:val="24"/>
                <w:lang w:val="de-DE"/>
              </w:rPr>
              <w:t xml:space="preserve"> </w:t>
            </w:r>
            <w:r w:rsidR="00180982" w:rsidRPr="0040745F">
              <w:rPr>
                <w:rFonts w:ascii="Segoe UI" w:hAnsi="Segoe UI" w:cs="Segoe UI"/>
                <w:b/>
                <w:color w:val="FFFFFF" w:themeColor="background1"/>
                <w:sz w:val="20"/>
                <w:szCs w:val="24"/>
                <w:lang w:val="de-DE"/>
              </w:rPr>
              <w:t>Posten</w:t>
            </w:r>
          </w:p>
        </w:tc>
        <w:tc>
          <w:tcPr>
            <w:tcW w:w="1893" w:type="dxa"/>
            <w:shd w:val="clear" w:color="auto" w:fill="002060"/>
            <w:vAlign w:val="center"/>
          </w:tcPr>
          <w:p w14:paraId="25367F1C" w14:textId="0AEC1A7C" w:rsidR="00B81A57" w:rsidRPr="0040745F" w:rsidRDefault="00180982" w:rsidP="00180982">
            <w:pPr>
              <w:spacing w:after="0" w:line="240" w:lineRule="auto"/>
              <w:jc w:val="both"/>
              <w:rPr>
                <w:rFonts w:ascii="Segoe UI" w:hAnsi="Segoe UI" w:cs="Segoe UI"/>
                <w:b/>
                <w:color w:val="FFFFFF" w:themeColor="background1"/>
                <w:sz w:val="20"/>
                <w:szCs w:val="24"/>
                <w:lang w:val="de-DE"/>
              </w:rPr>
            </w:pPr>
            <w:r w:rsidRPr="0040745F">
              <w:rPr>
                <w:rFonts w:ascii="Segoe UI" w:hAnsi="Segoe UI" w:cs="Segoe UI"/>
                <w:b/>
                <w:color w:val="FFFFFF" w:themeColor="background1"/>
                <w:sz w:val="20"/>
                <w:szCs w:val="24"/>
                <w:lang w:val="de-DE"/>
              </w:rPr>
              <w:t>Betrag</w:t>
            </w:r>
            <w:r w:rsidR="00B81A57" w:rsidRPr="0040745F">
              <w:rPr>
                <w:rFonts w:ascii="Segoe UI" w:hAnsi="Segoe UI" w:cs="Segoe UI"/>
                <w:b/>
                <w:color w:val="FFFFFF" w:themeColor="background1"/>
                <w:sz w:val="20"/>
                <w:szCs w:val="24"/>
                <w:lang w:val="de-DE"/>
              </w:rPr>
              <w:t xml:space="preserve"> in </w:t>
            </w:r>
            <w:r w:rsidRPr="0040745F">
              <w:rPr>
                <w:rFonts w:ascii="Segoe UI" w:hAnsi="Segoe UI" w:cs="Segoe UI"/>
                <w:b/>
                <w:color w:val="FFFFFF" w:themeColor="background1"/>
                <w:sz w:val="20"/>
                <w:szCs w:val="24"/>
                <w:lang w:val="de-DE"/>
              </w:rPr>
              <w:t>Tsd</w:t>
            </w:r>
            <w:r w:rsidR="00B81A57" w:rsidRPr="0040745F">
              <w:rPr>
                <w:rFonts w:ascii="Segoe UI" w:hAnsi="Segoe UI" w:cs="Segoe UI"/>
                <w:b/>
                <w:color w:val="FFFFFF" w:themeColor="background1"/>
                <w:sz w:val="20"/>
                <w:szCs w:val="24"/>
                <w:lang w:val="de-DE"/>
              </w:rPr>
              <w:t xml:space="preserve"> EUR</w:t>
            </w:r>
          </w:p>
        </w:tc>
      </w:tr>
      <w:tr w:rsidR="00B81A57" w:rsidRPr="0040745F" w14:paraId="18C5ED29" w14:textId="77777777" w:rsidTr="000F358C">
        <w:trPr>
          <w:jc w:val="center"/>
        </w:trPr>
        <w:tc>
          <w:tcPr>
            <w:tcW w:w="1275" w:type="dxa"/>
            <w:vMerge w:val="restart"/>
            <w:vAlign w:val="center"/>
          </w:tcPr>
          <w:p w14:paraId="2721367D" w14:textId="09F6D9F8" w:rsidR="00B81A57" w:rsidRPr="0040745F" w:rsidRDefault="00B81A57" w:rsidP="00AC51F9">
            <w:pPr>
              <w:spacing w:after="0" w:line="240" w:lineRule="auto"/>
              <w:jc w:val="both"/>
              <w:rPr>
                <w:rFonts w:ascii="Segoe UI" w:hAnsi="Segoe UI" w:cs="Segoe UI"/>
                <w:b/>
                <w:color w:val="014171"/>
                <w:sz w:val="20"/>
                <w:szCs w:val="24"/>
                <w:lang w:val="de-DE"/>
              </w:rPr>
            </w:pPr>
            <w:r w:rsidRPr="0040745F">
              <w:rPr>
                <w:rFonts w:ascii="Segoe UI" w:hAnsi="Segoe UI" w:cs="Segoe UI"/>
                <w:b/>
                <w:color w:val="014171"/>
                <w:sz w:val="20"/>
                <w:szCs w:val="24"/>
                <w:lang w:val="de-DE"/>
              </w:rPr>
              <w:t>K-Fa</w:t>
            </w:r>
            <w:r w:rsidR="003420A4" w:rsidRPr="0040745F">
              <w:rPr>
                <w:rFonts w:ascii="Segoe UI" w:hAnsi="Segoe UI" w:cs="Segoe UI"/>
                <w:b/>
                <w:color w:val="014171"/>
                <w:sz w:val="20"/>
                <w:szCs w:val="24"/>
                <w:lang w:val="de-DE"/>
              </w:rPr>
              <w:t>k</w:t>
            </w:r>
            <w:r w:rsidRPr="0040745F">
              <w:rPr>
                <w:rFonts w:ascii="Segoe UI" w:hAnsi="Segoe UI" w:cs="Segoe UI"/>
                <w:b/>
                <w:color w:val="014171"/>
                <w:sz w:val="20"/>
                <w:szCs w:val="24"/>
                <w:lang w:val="de-DE"/>
              </w:rPr>
              <w:t>tor</w:t>
            </w:r>
            <w:r w:rsidR="003420A4" w:rsidRPr="0040745F">
              <w:rPr>
                <w:rFonts w:ascii="Segoe UI" w:hAnsi="Segoe UI" w:cs="Segoe UI"/>
                <w:b/>
                <w:color w:val="014171"/>
                <w:sz w:val="20"/>
                <w:szCs w:val="24"/>
                <w:lang w:val="de-DE"/>
              </w:rPr>
              <w:t>en</w:t>
            </w:r>
          </w:p>
        </w:tc>
        <w:tc>
          <w:tcPr>
            <w:tcW w:w="2548" w:type="dxa"/>
          </w:tcPr>
          <w:p w14:paraId="403EC101" w14:textId="77777777" w:rsidR="00F32DDF" w:rsidRDefault="003420A4" w:rsidP="00AC51F9">
            <w:pPr>
              <w:spacing w:after="0" w:line="240" w:lineRule="auto"/>
              <w:jc w:val="both"/>
              <w:rPr>
                <w:rFonts w:ascii="Segoe UI" w:hAnsi="Segoe UI" w:cs="Segoe UI"/>
                <w:color w:val="014171"/>
                <w:sz w:val="20"/>
                <w:szCs w:val="24"/>
              </w:rPr>
            </w:pPr>
            <w:r w:rsidRPr="00D815A9">
              <w:rPr>
                <w:rFonts w:ascii="Segoe UI" w:hAnsi="Segoe UI" w:cs="Segoe UI"/>
                <w:color w:val="014171"/>
                <w:sz w:val="20"/>
                <w:szCs w:val="24"/>
              </w:rPr>
              <w:t>Kundenrisiken</w:t>
            </w:r>
          </w:p>
          <w:p w14:paraId="40341042" w14:textId="03B559A8" w:rsidR="00B81A57" w:rsidRPr="00D4087C" w:rsidRDefault="003420A4" w:rsidP="00AC51F9">
            <w:pPr>
              <w:spacing w:after="0" w:line="240" w:lineRule="auto"/>
              <w:jc w:val="both"/>
              <w:rPr>
                <w:rFonts w:ascii="Segoe UI" w:hAnsi="Segoe UI" w:cs="Segoe UI"/>
                <w:color w:val="014171"/>
                <w:sz w:val="20"/>
                <w:szCs w:val="24"/>
              </w:rPr>
            </w:pPr>
            <w:r w:rsidRPr="00D4087C">
              <w:rPr>
                <w:rFonts w:ascii="Segoe UI" w:hAnsi="Segoe UI" w:cs="Segoe UI"/>
                <w:color w:val="014171"/>
                <w:sz w:val="20"/>
                <w:szCs w:val="24"/>
              </w:rPr>
              <w:t>(</w:t>
            </w:r>
            <w:r w:rsidR="00B81A57" w:rsidRPr="00D4087C">
              <w:rPr>
                <w:rFonts w:ascii="Segoe UI" w:hAnsi="Segoe UI" w:cs="Segoe UI"/>
                <w:i/>
                <w:color w:val="014171"/>
                <w:sz w:val="20"/>
                <w:szCs w:val="24"/>
              </w:rPr>
              <w:t>Risk to Client</w:t>
            </w:r>
            <w:r w:rsidRPr="00D4087C">
              <w:rPr>
                <w:rFonts w:ascii="Segoe UI" w:hAnsi="Segoe UI" w:cs="Segoe UI"/>
                <w:color w:val="014171"/>
                <w:sz w:val="20"/>
                <w:szCs w:val="24"/>
              </w:rPr>
              <w:t xml:space="preserve">, </w:t>
            </w:r>
            <w:r w:rsidR="00B81A57" w:rsidRPr="00D4087C">
              <w:rPr>
                <w:rFonts w:ascii="Segoe UI" w:hAnsi="Segoe UI" w:cs="Segoe UI"/>
                <w:color w:val="014171"/>
                <w:sz w:val="20"/>
                <w:szCs w:val="24"/>
              </w:rPr>
              <w:t>“RtC”)</w:t>
            </w:r>
          </w:p>
        </w:tc>
        <w:tc>
          <w:tcPr>
            <w:tcW w:w="3300" w:type="dxa"/>
            <w:vAlign w:val="center"/>
          </w:tcPr>
          <w:p w14:paraId="28608C52" w14:textId="77777777" w:rsidR="00B81A57" w:rsidRPr="00D4087C" w:rsidRDefault="00B81A57" w:rsidP="00AC51F9">
            <w:pPr>
              <w:spacing w:after="0" w:line="240" w:lineRule="auto"/>
              <w:jc w:val="both"/>
              <w:rPr>
                <w:rFonts w:ascii="Segoe UI" w:hAnsi="Segoe UI" w:cs="Segoe UI"/>
                <w:color w:val="014171"/>
                <w:sz w:val="20"/>
                <w:szCs w:val="24"/>
              </w:rPr>
            </w:pPr>
            <w:r w:rsidRPr="00D4087C">
              <w:rPr>
                <w:rFonts w:ascii="Segoe UI" w:hAnsi="Segoe UI" w:cs="Segoe UI"/>
                <w:color w:val="014171"/>
                <w:sz w:val="20"/>
                <w:szCs w:val="24"/>
              </w:rPr>
              <w:t>∑ K-AUM, K-CMH, K-ASA, K-COH</w:t>
            </w:r>
          </w:p>
        </w:tc>
        <w:tc>
          <w:tcPr>
            <w:tcW w:w="1893" w:type="dxa"/>
            <w:vAlign w:val="center"/>
          </w:tcPr>
          <w:p w14:paraId="1AF3DF30" w14:textId="59D72AEF" w:rsidR="00B81A57" w:rsidRPr="0040745F" w:rsidRDefault="00F3377B" w:rsidP="000F358C">
            <w:pPr>
              <w:spacing w:after="0" w:line="240" w:lineRule="auto"/>
              <w:jc w:val="right"/>
              <w:rPr>
                <w:rFonts w:ascii="Segoe UI" w:hAnsi="Segoe UI" w:cs="Segoe UI"/>
                <w:color w:val="014171"/>
                <w:sz w:val="20"/>
                <w:szCs w:val="24"/>
                <w:lang w:val="de-DE"/>
              </w:rPr>
            </w:pPr>
            <w:r w:rsidRPr="0040745F">
              <w:rPr>
                <w:rFonts w:ascii="Segoe UI" w:hAnsi="Segoe UI" w:cs="Segoe UI"/>
                <w:color w:val="014171"/>
                <w:sz w:val="20"/>
                <w:szCs w:val="24"/>
                <w:lang w:val="de-DE"/>
              </w:rPr>
              <w:t>86</w:t>
            </w:r>
            <w:r w:rsidR="003420A4" w:rsidRPr="0040745F">
              <w:rPr>
                <w:rFonts w:ascii="Segoe UI" w:hAnsi="Segoe UI" w:cs="Segoe UI"/>
                <w:color w:val="014171"/>
                <w:sz w:val="20"/>
                <w:szCs w:val="24"/>
                <w:lang w:val="de-DE"/>
              </w:rPr>
              <w:t>,</w:t>
            </w:r>
            <w:r w:rsidRPr="0040745F">
              <w:rPr>
                <w:rFonts w:ascii="Segoe UI" w:hAnsi="Segoe UI" w:cs="Segoe UI"/>
                <w:color w:val="014171"/>
                <w:sz w:val="20"/>
                <w:szCs w:val="24"/>
                <w:lang w:val="de-DE"/>
              </w:rPr>
              <w:t>5</w:t>
            </w:r>
          </w:p>
        </w:tc>
      </w:tr>
      <w:tr w:rsidR="00B81A57" w:rsidRPr="0040745F" w14:paraId="682C3620" w14:textId="77777777" w:rsidTr="000F358C">
        <w:trPr>
          <w:jc w:val="center"/>
        </w:trPr>
        <w:tc>
          <w:tcPr>
            <w:tcW w:w="1275" w:type="dxa"/>
            <w:vMerge/>
            <w:vAlign w:val="center"/>
          </w:tcPr>
          <w:p w14:paraId="7C2804A0" w14:textId="77777777" w:rsidR="00B81A57" w:rsidRPr="0040745F" w:rsidRDefault="00B81A57" w:rsidP="00AC51F9">
            <w:pPr>
              <w:spacing w:after="0" w:line="240" w:lineRule="auto"/>
              <w:jc w:val="both"/>
              <w:rPr>
                <w:rFonts w:ascii="Segoe UI" w:hAnsi="Segoe UI" w:cs="Segoe UI"/>
                <w:color w:val="014171"/>
                <w:sz w:val="20"/>
                <w:szCs w:val="24"/>
                <w:lang w:val="de-DE"/>
              </w:rPr>
            </w:pPr>
          </w:p>
        </w:tc>
        <w:tc>
          <w:tcPr>
            <w:tcW w:w="2548" w:type="dxa"/>
          </w:tcPr>
          <w:p w14:paraId="1E98193C" w14:textId="77777777" w:rsidR="00F32DDF" w:rsidRDefault="003420A4" w:rsidP="00AC51F9">
            <w:pPr>
              <w:spacing w:after="0" w:line="240" w:lineRule="auto"/>
              <w:jc w:val="both"/>
              <w:rPr>
                <w:rFonts w:ascii="Segoe UI" w:hAnsi="Segoe UI" w:cs="Segoe UI"/>
                <w:color w:val="014171"/>
                <w:sz w:val="20"/>
                <w:szCs w:val="24"/>
              </w:rPr>
            </w:pPr>
            <w:r w:rsidRPr="00D815A9">
              <w:rPr>
                <w:rFonts w:ascii="Segoe UI" w:hAnsi="Segoe UI" w:cs="Segoe UI"/>
                <w:color w:val="014171"/>
                <w:sz w:val="20"/>
                <w:szCs w:val="24"/>
              </w:rPr>
              <w:t>Firmenrisiken</w:t>
            </w:r>
          </w:p>
          <w:p w14:paraId="264659F3" w14:textId="4ACE88A2" w:rsidR="00B81A57" w:rsidRPr="00D4087C" w:rsidRDefault="003420A4" w:rsidP="00AC51F9">
            <w:pPr>
              <w:spacing w:after="0" w:line="240" w:lineRule="auto"/>
              <w:jc w:val="both"/>
              <w:rPr>
                <w:rFonts w:ascii="Segoe UI" w:hAnsi="Segoe UI" w:cs="Segoe UI"/>
                <w:color w:val="014171"/>
                <w:sz w:val="20"/>
                <w:szCs w:val="24"/>
              </w:rPr>
            </w:pPr>
            <w:r w:rsidRPr="00D4087C">
              <w:rPr>
                <w:rFonts w:ascii="Segoe UI" w:hAnsi="Segoe UI" w:cs="Segoe UI"/>
                <w:color w:val="014171"/>
                <w:sz w:val="20"/>
                <w:szCs w:val="24"/>
              </w:rPr>
              <w:t>(</w:t>
            </w:r>
            <w:r w:rsidR="00B81A57" w:rsidRPr="00D4087C">
              <w:rPr>
                <w:rFonts w:ascii="Segoe UI" w:hAnsi="Segoe UI" w:cs="Segoe UI"/>
                <w:i/>
                <w:color w:val="014171"/>
                <w:sz w:val="20"/>
                <w:szCs w:val="24"/>
              </w:rPr>
              <w:t>Risk to Firm</w:t>
            </w:r>
            <w:r w:rsidRPr="00D4087C">
              <w:rPr>
                <w:rFonts w:ascii="Segoe UI" w:hAnsi="Segoe UI" w:cs="Segoe UI"/>
                <w:color w:val="014171"/>
                <w:sz w:val="20"/>
                <w:szCs w:val="24"/>
              </w:rPr>
              <w:t>,</w:t>
            </w:r>
            <w:r w:rsidR="00B81A57" w:rsidRPr="00D4087C">
              <w:rPr>
                <w:rFonts w:ascii="Segoe UI" w:hAnsi="Segoe UI" w:cs="Segoe UI"/>
                <w:color w:val="014171"/>
                <w:sz w:val="20"/>
                <w:szCs w:val="24"/>
              </w:rPr>
              <w:t xml:space="preserve"> “RtF”)</w:t>
            </w:r>
          </w:p>
        </w:tc>
        <w:tc>
          <w:tcPr>
            <w:tcW w:w="3300" w:type="dxa"/>
            <w:vAlign w:val="center"/>
          </w:tcPr>
          <w:p w14:paraId="73F58170" w14:textId="77777777" w:rsidR="00B81A57" w:rsidRPr="00D4087C" w:rsidRDefault="00B81A57" w:rsidP="00AC51F9">
            <w:pPr>
              <w:spacing w:after="0" w:line="240" w:lineRule="auto"/>
              <w:jc w:val="both"/>
              <w:rPr>
                <w:rFonts w:ascii="Segoe UI" w:hAnsi="Segoe UI" w:cs="Segoe UI"/>
                <w:color w:val="014171"/>
                <w:sz w:val="20"/>
                <w:szCs w:val="24"/>
              </w:rPr>
            </w:pPr>
            <w:r w:rsidRPr="00D4087C">
              <w:rPr>
                <w:rFonts w:ascii="Segoe UI" w:hAnsi="Segoe UI" w:cs="Segoe UI"/>
                <w:color w:val="014171"/>
                <w:sz w:val="20"/>
                <w:szCs w:val="24"/>
              </w:rPr>
              <w:t>∑ K-TCD, K-DTF, K-CON</w:t>
            </w:r>
            <w:r w:rsidRPr="00D4087C" w:rsidDel="00EF601D">
              <w:rPr>
                <w:rFonts w:ascii="Segoe UI" w:hAnsi="Segoe UI" w:cs="Segoe UI"/>
                <w:color w:val="014171"/>
                <w:sz w:val="20"/>
                <w:szCs w:val="24"/>
              </w:rPr>
              <w:t xml:space="preserve"> </w:t>
            </w:r>
          </w:p>
        </w:tc>
        <w:tc>
          <w:tcPr>
            <w:tcW w:w="1893" w:type="dxa"/>
            <w:vAlign w:val="center"/>
          </w:tcPr>
          <w:p w14:paraId="2C738E70" w14:textId="73A25225" w:rsidR="00B81A57" w:rsidRPr="0040745F" w:rsidRDefault="00F3377B" w:rsidP="000F358C">
            <w:pPr>
              <w:spacing w:after="0" w:line="240" w:lineRule="auto"/>
              <w:jc w:val="right"/>
              <w:rPr>
                <w:rFonts w:ascii="Segoe UI" w:hAnsi="Segoe UI" w:cs="Segoe UI"/>
                <w:color w:val="014171"/>
                <w:sz w:val="20"/>
                <w:szCs w:val="24"/>
                <w:lang w:val="de-DE"/>
              </w:rPr>
            </w:pPr>
            <w:r w:rsidRPr="0040745F">
              <w:rPr>
                <w:rFonts w:ascii="Segoe UI" w:hAnsi="Segoe UI" w:cs="Segoe UI"/>
                <w:color w:val="014171"/>
                <w:sz w:val="20"/>
                <w:szCs w:val="24"/>
                <w:lang w:val="de-DE"/>
              </w:rPr>
              <w:t>317</w:t>
            </w:r>
            <w:r w:rsidR="003420A4" w:rsidRPr="0040745F">
              <w:rPr>
                <w:rFonts w:ascii="Segoe UI" w:hAnsi="Segoe UI" w:cs="Segoe UI"/>
                <w:color w:val="014171"/>
                <w:sz w:val="20"/>
                <w:szCs w:val="24"/>
                <w:lang w:val="de-DE"/>
              </w:rPr>
              <w:t>,</w:t>
            </w:r>
            <w:r w:rsidRPr="0040745F">
              <w:rPr>
                <w:rFonts w:ascii="Segoe UI" w:hAnsi="Segoe UI" w:cs="Segoe UI"/>
                <w:color w:val="014171"/>
                <w:sz w:val="20"/>
                <w:szCs w:val="24"/>
                <w:lang w:val="de-DE"/>
              </w:rPr>
              <w:t>9</w:t>
            </w:r>
          </w:p>
        </w:tc>
      </w:tr>
      <w:tr w:rsidR="00B81A57" w:rsidRPr="0040745F" w14:paraId="713B896C" w14:textId="77777777" w:rsidTr="000F358C">
        <w:trPr>
          <w:jc w:val="center"/>
        </w:trPr>
        <w:tc>
          <w:tcPr>
            <w:tcW w:w="1275" w:type="dxa"/>
            <w:vMerge/>
            <w:vAlign w:val="center"/>
          </w:tcPr>
          <w:p w14:paraId="032568DB" w14:textId="77777777" w:rsidR="00B81A57" w:rsidRPr="0040745F" w:rsidRDefault="00B81A57" w:rsidP="00AC51F9">
            <w:pPr>
              <w:spacing w:after="0" w:line="240" w:lineRule="auto"/>
              <w:jc w:val="both"/>
              <w:rPr>
                <w:rFonts w:ascii="Segoe UI" w:hAnsi="Segoe UI" w:cs="Segoe UI"/>
                <w:color w:val="014171"/>
                <w:sz w:val="20"/>
                <w:szCs w:val="24"/>
                <w:lang w:val="de-DE"/>
              </w:rPr>
            </w:pPr>
          </w:p>
        </w:tc>
        <w:tc>
          <w:tcPr>
            <w:tcW w:w="2548" w:type="dxa"/>
          </w:tcPr>
          <w:p w14:paraId="01049A1B" w14:textId="77777777" w:rsidR="00F32DDF" w:rsidRDefault="003420A4" w:rsidP="00AC51F9">
            <w:pPr>
              <w:spacing w:after="0" w:line="240" w:lineRule="auto"/>
              <w:jc w:val="both"/>
              <w:rPr>
                <w:rFonts w:ascii="Segoe UI" w:hAnsi="Segoe UI" w:cs="Segoe UI"/>
                <w:color w:val="014171"/>
                <w:sz w:val="20"/>
                <w:szCs w:val="24"/>
              </w:rPr>
            </w:pPr>
            <w:r w:rsidRPr="00D815A9">
              <w:rPr>
                <w:rFonts w:ascii="Segoe UI" w:hAnsi="Segoe UI" w:cs="Segoe UI"/>
                <w:color w:val="014171"/>
                <w:sz w:val="20"/>
                <w:szCs w:val="24"/>
              </w:rPr>
              <w:t>Marktrisiken</w:t>
            </w:r>
          </w:p>
          <w:p w14:paraId="4D345D5E" w14:textId="6C49C3C8" w:rsidR="00B81A57" w:rsidRPr="00D4087C" w:rsidRDefault="003420A4" w:rsidP="00AC51F9">
            <w:pPr>
              <w:spacing w:after="0" w:line="240" w:lineRule="auto"/>
              <w:jc w:val="both"/>
              <w:rPr>
                <w:rFonts w:ascii="Segoe UI" w:hAnsi="Segoe UI" w:cs="Segoe UI"/>
                <w:color w:val="014171"/>
                <w:sz w:val="20"/>
                <w:szCs w:val="24"/>
              </w:rPr>
            </w:pPr>
            <w:r w:rsidRPr="00D4087C">
              <w:rPr>
                <w:rFonts w:ascii="Segoe UI" w:hAnsi="Segoe UI" w:cs="Segoe UI"/>
                <w:color w:val="014171"/>
                <w:sz w:val="20"/>
                <w:szCs w:val="24"/>
              </w:rPr>
              <w:t>(</w:t>
            </w:r>
            <w:r w:rsidR="00B81A57" w:rsidRPr="00D4087C">
              <w:rPr>
                <w:rFonts w:ascii="Segoe UI" w:hAnsi="Segoe UI" w:cs="Segoe UI"/>
                <w:i/>
                <w:color w:val="014171"/>
                <w:sz w:val="20"/>
                <w:szCs w:val="24"/>
              </w:rPr>
              <w:t>Risk to Market</w:t>
            </w:r>
            <w:r w:rsidRPr="00D4087C">
              <w:rPr>
                <w:rFonts w:ascii="Segoe UI" w:hAnsi="Segoe UI" w:cs="Segoe UI"/>
                <w:color w:val="014171"/>
                <w:sz w:val="20"/>
                <w:szCs w:val="24"/>
              </w:rPr>
              <w:t xml:space="preserve">, </w:t>
            </w:r>
            <w:r w:rsidR="00B81A57" w:rsidRPr="00D4087C">
              <w:rPr>
                <w:rFonts w:ascii="Segoe UI" w:hAnsi="Segoe UI" w:cs="Segoe UI"/>
                <w:color w:val="014171"/>
                <w:sz w:val="20"/>
                <w:szCs w:val="24"/>
              </w:rPr>
              <w:t>“RtM”)</w:t>
            </w:r>
          </w:p>
        </w:tc>
        <w:tc>
          <w:tcPr>
            <w:tcW w:w="3300" w:type="dxa"/>
            <w:vAlign w:val="center"/>
          </w:tcPr>
          <w:p w14:paraId="6CEEC7C0" w14:textId="7AD4D860" w:rsidR="00B81A57" w:rsidRPr="0040745F" w:rsidRDefault="00D214FF" w:rsidP="00AC51F9">
            <w:pPr>
              <w:spacing w:after="0" w:line="240" w:lineRule="auto"/>
              <w:jc w:val="both"/>
              <w:rPr>
                <w:rFonts w:ascii="Segoe UI" w:hAnsi="Segoe UI" w:cs="Segoe UI"/>
                <w:color w:val="014171"/>
                <w:sz w:val="20"/>
                <w:szCs w:val="24"/>
                <w:lang w:val="de-DE"/>
              </w:rPr>
            </w:pPr>
            <w:r>
              <w:rPr>
                <w:rFonts w:ascii="Segoe UI" w:hAnsi="Segoe UI" w:cs="Segoe UI"/>
                <w:color w:val="014171"/>
                <w:sz w:val="20"/>
                <w:szCs w:val="24"/>
                <w:lang w:val="de-DE"/>
              </w:rPr>
              <w:t>Entweder</w:t>
            </w:r>
            <w:r w:rsidR="00B81A57" w:rsidRPr="0040745F">
              <w:rPr>
                <w:rFonts w:ascii="Segoe UI" w:hAnsi="Segoe UI" w:cs="Segoe UI"/>
                <w:color w:val="014171"/>
                <w:sz w:val="20"/>
                <w:szCs w:val="24"/>
                <w:lang w:val="de-DE"/>
              </w:rPr>
              <w:t xml:space="preserve"> K-NPR o</w:t>
            </w:r>
            <w:r>
              <w:rPr>
                <w:rFonts w:ascii="Segoe UI" w:hAnsi="Segoe UI" w:cs="Segoe UI"/>
                <w:color w:val="014171"/>
                <w:sz w:val="20"/>
                <w:szCs w:val="24"/>
                <w:lang w:val="de-DE"/>
              </w:rPr>
              <w:t>de</w:t>
            </w:r>
            <w:r w:rsidR="00B81A57" w:rsidRPr="0040745F">
              <w:rPr>
                <w:rFonts w:ascii="Segoe UI" w:hAnsi="Segoe UI" w:cs="Segoe UI"/>
                <w:color w:val="014171"/>
                <w:sz w:val="20"/>
                <w:szCs w:val="24"/>
                <w:lang w:val="de-DE"/>
              </w:rPr>
              <w:t>r K-CMG</w:t>
            </w:r>
          </w:p>
        </w:tc>
        <w:tc>
          <w:tcPr>
            <w:tcW w:w="1893" w:type="dxa"/>
            <w:vAlign w:val="center"/>
          </w:tcPr>
          <w:p w14:paraId="1F71F11C" w14:textId="7EF3BE88" w:rsidR="00B81A57" w:rsidRPr="0040745F" w:rsidRDefault="00F3377B" w:rsidP="000F358C">
            <w:pPr>
              <w:spacing w:after="0" w:line="240" w:lineRule="auto"/>
              <w:jc w:val="right"/>
              <w:rPr>
                <w:rFonts w:ascii="Segoe UI" w:hAnsi="Segoe UI" w:cs="Segoe UI"/>
                <w:color w:val="014171"/>
                <w:sz w:val="20"/>
                <w:szCs w:val="24"/>
                <w:lang w:val="de-DE"/>
              </w:rPr>
            </w:pPr>
            <w:r w:rsidRPr="0040745F">
              <w:rPr>
                <w:rFonts w:ascii="Segoe UI" w:hAnsi="Segoe UI" w:cs="Segoe UI"/>
                <w:color w:val="014171"/>
                <w:sz w:val="20"/>
                <w:szCs w:val="24"/>
                <w:lang w:val="de-DE"/>
              </w:rPr>
              <w:t>23</w:t>
            </w:r>
            <w:r w:rsidR="003420A4" w:rsidRPr="0040745F">
              <w:rPr>
                <w:rFonts w:ascii="Segoe UI" w:hAnsi="Segoe UI" w:cs="Segoe UI"/>
                <w:color w:val="014171"/>
                <w:sz w:val="20"/>
                <w:szCs w:val="24"/>
                <w:lang w:val="de-DE"/>
              </w:rPr>
              <w:t>,</w:t>
            </w:r>
            <w:r w:rsidRPr="0040745F">
              <w:rPr>
                <w:rFonts w:ascii="Segoe UI" w:hAnsi="Segoe UI" w:cs="Segoe UI"/>
                <w:color w:val="014171"/>
                <w:sz w:val="20"/>
                <w:szCs w:val="24"/>
                <w:lang w:val="de-DE"/>
              </w:rPr>
              <w:t>9</w:t>
            </w:r>
          </w:p>
        </w:tc>
      </w:tr>
      <w:tr w:rsidR="00B81A57" w:rsidRPr="0040745F" w14:paraId="2F5F263A" w14:textId="77777777" w:rsidTr="000F358C">
        <w:trPr>
          <w:trHeight w:val="397"/>
          <w:jc w:val="center"/>
        </w:trPr>
        <w:tc>
          <w:tcPr>
            <w:tcW w:w="7123" w:type="dxa"/>
            <w:gridSpan w:val="3"/>
            <w:vAlign w:val="center"/>
          </w:tcPr>
          <w:p w14:paraId="1413F4AA" w14:textId="5DDDD4AF" w:rsidR="00B81A57" w:rsidRPr="0040745F" w:rsidRDefault="003420A4" w:rsidP="007E4D50">
            <w:pPr>
              <w:spacing w:after="0" w:line="240" w:lineRule="auto"/>
              <w:rPr>
                <w:rFonts w:ascii="Segoe UI" w:hAnsi="Segoe UI" w:cs="Segoe UI"/>
                <w:b/>
                <w:color w:val="014171"/>
                <w:sz w:val="20"/>
                <w:szCs w:val="24"/>
                <w:lang w:val="de-DE"/>
              </w:rPr>
            </w:pPr>
            <w:r w:rsidRPr="0040745F">
              <w:rPr>
                <w:rFonts w:ascii="Segoe UI" w:hAnsi="Segoe UI" w:cs="Segoe UI"/>
                <w:b/>
                <w:color w:val="014171"/>
                <w:sz w:val="20"/>
                <w:szCs w:val="24"/>
                <w:lang w:val="de-DE"/>
              </w:rPr>
              <w:t>Anforderung für f</w:t>
            </w:r>
            <w:r w:rsidR="00B81A57" w:rsidRPr="0040745F">
              <w:rPr>
                <w:rFonts w:ascii="Segoe UI" w:hAnsi="Segoe UI" w:cs="Segoe UI"/>
                <w:b/>
                <w:color w:val="014171"/>
                <w:sz w:val="20"/>
                <w:szCs w:val="24"/>
                <w:lang w:val="de-DE"/>
              </w:rPr>
              <w:t xml:space="preserve">ixe </w:t>
            </w:r>
            <w:r w:rsidRPr="0040745F">
              <w:rPr>
                <w:rFonts w:ascii="Segoe UI" w:hAnsi="Segoe UI" w:cs="Segoe UI"/>
                <w:b/>
                <w:color w:val="014171"/>
                <w:sz w:val="20"/>
                <w:szCs w:val="24"/>
                <w:lang w:val="de-DE"/>
              </w:rPr>
              <w:t>Gemeinkosten</w:t>
            </w:r>
          </w:p>
        </w:tc>
        <w:tc>
          <w:tcPr>
            <w:tcW w:w="1893" w:type="dxa"/>
            <w:vAlign w:val="center"/>
          </w:tcPr>
          <w:p w14:paraId="5C9DDE1F" w14:textId="6DA722F3" w:rsidR="00B81A57" w:rsidRPr="0040745F" w:rsidRDefault="00B81A57" w:rsidP="000F358C">
            <w:pPr>
              <w:spacing w:after="0" w:line="240" w:lineRule="auto"/>
              <w:jc w:val="right"/>
              <w:rPr>
                <w:rFonts w:ascii="Segoe UI" w:hAnsi="Segoe UI" w:cs="Segoe UI"/>
                <w:color w:val="014171"/>
                <w:sz w:val="20"/>
                <w:szCs w:val="24"/>
                <w:lang w:val="de-DE"/>
              </w:rPr>
            </w:pPr>
            <w:r w:rsidRPr="0040745F">
              <w:rPr>
                <w:rFonts w:ascii="Segoe UI" w:hAnsi="Segoe UI" w:cs="Segoe UI"/>
                <w:color w:val="014171"/>
                <w:sz w:val="20"/>
                <w:szCs w:val="24"/>
                <w:lang w:val="de-DE"/>
              </w:rPr>
              <w:t>1</w:t>
            </w:r>
            <w:r w:rsidR="003420A4" w:rsidRPr="0040745F">
              <w:rPr>
                <w:rFonts w:ascii="Segoe UI" w:hAnsi="Segoe UI" w:cs="Segoe UI"/>
                <w:color w:val="014171"/>
                <w:sz w:val="20"/>
                <w:szCs w:val="24"/>
                <w:lang w:val="de-DE"/>
              </w:rPr>
              <w:t>.</w:t>
            </w:r>
            <w:r w:rsidRPr="0040745F">
              <w:rPr>
                <w:rFonts w:ascii="Segoe UI" w:hAnsi="Segoe UI" w:cs="Segoe UI"/>
                <w:color w:val="014171"/>
                <w:sz w:val="20"/>
                <w:szCs w:val="24"/>
                <w:lang w:val="de-DE"/>
              </w:rPr>
              <w:t>560</w:t>
            </w:r>
            <w:r w:rsidR="003420A4" w:rsidRPr="0040745F">
              <w:rPr>
                <w:rFonts w:ascii="Segoe UI" w:hAnsi="Segoe UI" w:cs="Segoe UI"/>
                <w:color w:val="014171"/>
                <w:sz w:val="20"/>
                <w:szCs w:val="24"/>
                <w:lang w:val="de-DE"/>
              </w:rPr>
              <w:t>,</w:t>
            </w:r>
            <w:r w:rsidRPr="0040745F">
              <w:rPr>
                <w:rFonts w:ascii="Segoe UI" w:hAnsi="Segoe UI" w:cs="Segoe UI"/>
                <w:color w:val="014171"/>
                <w:sz w:val="20"/>
                <w:szCs w:val="24"/>
                <w:lang w:val="de-DE"/>
              </w:rPr>
              <w:t>0</w:t>
            </w:r>
          </w:p>
        </w:tc>
      </w:tr>
    </w:tbl>
    <w:p w14:paraId="704A462D" w14:textId="77777777" w:rsidR="00B81A57" w:rsidRPr="0040745F" w:rsidRDefault="00B81A57" w:rsidP="00B81A57">
      <w:pPr>
        <w:spacing w:after="0"/>
        <w:jc w:val="both"/>
        <w:rPr>
          <w:rFonts w:ascii="Segoe UI" w:hAnsi="Segoe UI" w:cs="Segoe UI"/>
          <w:color w:val="014171"/>
          <w:lang w:val="de-DE"/>
        </w:rPr>
      </w:pPr>
    </w:p>
    <w:p w14:paraId="266C7F5E" w14:textId="77777777" w:rsidR="00B81A57" w:rsidRPr="0040745F" w:rsidRDefault="00B81A57" w:rsidP="00E27BB3">
      <w:pPr>
        <w:spacing w:after="0"/>
        <w:jc w:val="both"/>
        <w:rPr>
          <w:rFonts w:ascii="Segoe UI" w:hAnsi="Segoe UI" w:cs="Segoe UI"/>
          <w:color w:val="014171"/>
          <w:lang w:val="de-DE"/>
        </w:rPr>
      </w:pPr>
    </w:p>
    <w:p w14:paraId="6979F5A1" w14:textId="77777777" w:rsidR="00E360A0" w:rsidRPr="0040745F" w:rsidRDefault="00E360A0" w:rsidP="00FA2278">
      <w:pPr>
        <w:spacing w:after="0" w:line="240" w:lineRule="auto"/>
        <w:jc w:val="both"/>
        <w:rPr>
          <w:rFonts w:ascii="Times New Roman" w:hAnsi="Times New Roman"/>
          <w:color w:val="0F243E" w:themeColor="text2" w:themeShade="80"/>
          <w:sz w:val="24"/>
          <w:szCs w:val="24"/>
          <w:lang w:val="de-DE"/>
        </w:rPr>
      </w:pPr>
    </w:p>
    <w:p w14:paraId="2DE4670A" w14:textId="77777777" w:rsidR="00E360A0" w:rsidRPr="0040745F" w:rsidRDefault="00E360A0" w:rsidP="00FA2278">
      <w:pPr>
        <w:spacing w:after="0" w:line="240" w:lineRule="auto"/>
        <w:jc w:val="both"/>
        <w:rPr>
          <w:rFonts w:ascii="Times New Roman" w:hAnsi="Times New Roman"/>
          <w:color w:val="0F243E" w:themeColor="text2" w:themeShade="80"/>
          <w:sz w:val="24"/>
          <w:szCs w:val="24"/>
          <w:lang w:val="de-DE"/>
        </w:rPr>
      </w:pPr>
    </w:p>
    <w:p w14:paraId="2B4BFC88" w14:textId="77777777" w:rsidR="003274E4" w:rsidRPr="0040745F" w:rsidRDefault="003274E4" w:rsidP="00FA2278">
      <w:pPr>
        <w:spacing w:after="0" w:line="240" w:lineRule="auto"/>
        <w:jc w:val="both"/>
        <w:rPr>
          <w:rFonts w:ascii="Times New Roman" w:hAnsi="Times New Roman"/>
          <w:b/>
          <w:color w:val="0F243E" w:themeColor="text2" w:themeShade="80"/>
          <w:sz w:val="24"/>
          <w:szCs w:val="24"/>
          <w:lang w:val="de-DE"/>
        </w:rPr>
      </w:pPr>
      <w:r w:rsidRPr="0040745F">
        <w:rPr>
          <w:rFonts w:ascii="Times New Roman" w:hAnsi="Times New Roman"/>
          <w:color w:val="0F243E" w:themeColor="text2" w:themeShade="80"/>
          <w:sz w:val="24"/>
          <w:szCs w:val="24"/>
          <w:lang w:val="de-DE"/>
        </w:rPr>
        <w:br w:type="page"/>
      </w:r>
    </w:p>
    <w:p w14:paraId="3BECACEB" w14:textId="573AAA4E" w:rsidR="00C81EA2" w:rsidRPr="0040745F" w:rsidRDefault="00954EE6" w:rsidP="00834F0A">
      <w:pPr>
        <w:pStyle w:val="Heading1"/>
        <w:rPr>
          <w:lang w:val="de-DE"/>
        </w:rPr>
      </w:pPr>
      <w:bookmarkStart w:id="80" w:name="_Toc102121168"/>
      <w:bookmarkStart w:id="81" w:name="_Toc123138026"/>
      <w:r w:rsidRPr="0040745F">
        <w:rPr>
          <w:lang w:val="de-DE"/>
        </w:rPr>
        <w:lastRenderedPageBreak/>
        <w:t>Vergütungspolitik und -praxis</w:t>
      </w:r>
      <w:bookmarkEnd w:id="78"/>
      <w:bookmarkEnd w:id="80"/>
      <w:r w:rsidR="00E20DF3" w:rsidRPr="0040745F">
        <w:rPr>
          <w:lang w:val="de-DE"/>
        </w:rPr>
        <w:t xml:space="preserve"> (Arti</w:t>
      </w:r>
      <w:r w:rsidRPr="0040745F">
        <w:rPr>
          <w:lang w:val="de-DE"/>
        </w:rPr>
        <w:t>kel</w:t>
      </w:r>
      <w:r w:rsidR="00E20DF3" w:rsidRPr="0040745F">
        <w:rPr>
          <w:lang w:val="de-DE"/>
        </w:rPr>
        <w:t xml:space="preserve"> 51 IFR</w:t>
      </w:r>
      <w:r w:rsidR="00CF78E4" w:rsidRPr="0040745F">
        <w:rPr>
          <w:lang w:val="de-DE"/>
        </w:rPr>
        <w:t>)</w:t>
      </w:r>
      <w:bookmarkEnd w:id="81"/>
    </w:p>
    <w:p w14:paraId="55C08866" w14:textId="165ED8AF" w:rsidR="00C81EA2" w:rsidRPr="0040745F" w:rsidRDefault="007E4D50" w:rsidP="00F442FE">
      <w:pPr>
        <w:spacing w:after="0"/>
        <w:jc w:val="both"/>
        <w:rPr>
          <w:rFonts w:ascii="Segoe UI" w:hAnsi="Segoe UI" w:cs="Segoe UI"/>
          <w:color w:val="014171"/>
          <w:lang w:val="de-DE"/>
        </w:rPr>
      </w:pPr>
      <w:r w:rsidRPr="0040745F">
        <w:rPr>
          <w:rFonts w:ascii="Segoe UI" w:hAnsi="Segoe UI" w:cs="Segoe UI"/>
          <w:color w:val="014171"/>
          <w:lang w:val="de-DE"/>
        </w:rPr>
        <w:t xml:space="preserve">DCMD richtet sich </w:t>
      </w:r>
      <w:r w:rsidR="006D4873" w:rsidRPr="0040745F">
        <w:rPr>
          <w:rFonts w:ascii="Segoe UI" w:hAnsi="Segoe UI" w:cs="Segoe UI"/>
          <w:color w:val="014171"/>
          <w:lang w:val="de-DE"/>
        </w:rPr>
        <w:t xml:space="preserve">nach den Anforderungen für die Veröffentlichung der Informationen in Bezug auf die Vergütung der </w:t>
      </w:r>
      <w:r w:rsidR="00EC1917">
        <w:rPr>
          <w:rFonts w:ascii="Segoe UI" w:hAnsi="Segoe UI" w:cs="Segoe UI"/>
          <w:color w:val="014171"/>
          <w:lang w:val="de-DE"/>
        </w:rPr>
        <w:t>Gesellschaft</w:t>
      </w:r>
      <w:r w:rsidR="006D4873" w:rsidRPr="0040745F">
        <w:rPr>
          <w:rFonts w:ascii="Segoe UI" w:hAnsi="Segoe UI" w:cs="Segoe UI"/>
          <w:color w:val="014171"/>
          <w:lang w:val="de-DE"/>
        </w:rPr>
        <w:t xml:space="preserve"> für 2021/2022 gemäß Art</w:t>
      </w:r>
      <w:r w:rsidR="00CA6DE8">
        <w:rPr>
          <w:rFonts w:ascii="Segoe UI" w:hAnsi="Segoe UI" w:cs="Segoe UI"/>
          <w:color w:val="014171"/>
          <w:lang w:val="de-DE"/>
        </w:rPr>
        <w:t>.</w:t>
      </w:r>
      <w:r w:rsidR="006D4873" w:rsidRPr="0040745F">
        <w:rPr>
          <w:rFonts w:ascii="Segoe UI" w:hAnsi="Segoe UI" w:cs="Segoe UI"/>
          <w:color w:val="014171"/>
          <w:lang w:val="de-DE"/>
        </w:rPr>
        <w:t xml:space="preserve"> 51 IFR.</w:t>
      </w:r>
    </w:p>
    <w:p w14:paraId="563D831A" w14:textId="77777777" w:rsidR="00C81EA2" w:rsidRPr="0040745F" w:rsidRDefault="00C81EA2" w:rsidP="00834F0A">
      <w:pPr>
        <w:spacing w:after="0"/>
        <w:jc w:val="both"/>
        <w:rPr>
          <w:rFonts w:ascii="Segoe UI" w:hAnsi="Segoe UI" w:cs="Segoe UI"/>
          <w:color w:val="014171"/>
          <w:lang w:val="de-DE"/>
        </w:rPr>
      </w:pPr>
    </w:p>
    <w:p w14:paraId="10DB5251" w14:textId="025B6AD1" w:rsidR="00C81EA2" w:rsidRPr="0040745F" w:rsidRDefault="006D4873" w:rsidP="00834F0A">
      <w:pPr>
        <w:pStyle w:val="Heading2"/>
        <w:rPr>
          <w:lang w:val="de-DE"/>
        </w:rPr>
      </w:pPr>
      <w:bookmarkStart w:id="82" w:name="_Toc422754655"/>
      <w:bookmarkStart w:id="83" w:name="_Toc453148092"/>
      <w:bookmarkStart w:id="84" w:name="_Toc102121169"/>
      <w:bookmarkStart w:id="85" w:name="_Toc123138027"/>
      <w:bookmarkStart w:id="86" w:name="_Toc297650835"/>
      <w:bookmarkStart w:id="87" w:name="_Toc387742204"/>
      <w:r w:rsidRPr="0040745F">
        <w:rPr>
          <w:lang w:val="de-DE"/>
        </w:rPr>
        <w:t>Grundsätzliches zur Offenlegung</w:t>
      </w:r>
      <w:bookmarkEnd w:id="82"/>
      <w:bookmarkEnd w:id="83"/>
      <w:bookmarkEnd w:id="84"/>
      <w:bookmarkEnd w:id="85"/>
    </w:p>
    <w:p w14:paraId="0FD5AF24" w14:textId="41E79620" w:rsidR="00141659" w:rsidRPr="0040745F" w:rsidRDefault="006D4873" w:rsidP="00834F0A">
      <w:pPr>
        <w:spacing w:after="0"/>
        <w:jc w:val="both"/>
        <w:rPr>
          <w:rFonts w:ascii="Segoe UI" w:hAnsi="Segoe UI" w:cs="Segoe UI"/>
          <w:color w:val="014171"/>
          <w:lang w:val="de-DE"/>
        </w:rPr>
      </w:pPr>
      <w:r w:rsidRPr="0040745F">
        <w:rPr>
          <w:rFonts w:ascii="Segoe UI" w:hAnsi="Segoe UI" w:cs="Segoe UI"/>
          <w:color w:val="014171"/>
          <w:lang w:val="de-DE"/>
        </w:rPr>
        <w:t>DCMD unterliegt gemäß § 1 WpIG seit dem 26. Juni 2021 dem WpIG. DCMD qualifiziert sich als mittelgroße Wertpapierfirma gemäß § 2 Abs. 17 WpIG. Ausgehend von dieser Einstufung finden sich Regelungen zum Vergütungssystem in § 46 WpIG und gemäß der Verordnungsermächtigung in § 46 Abs. 3 WpIG in der Wertpapierinstituts-Vergütungsverordnung (</w:t>
      </w:r>
      <w:r w:rsidR="00A5642B">
        <w:rPr>
          <w:rFonts w:ascii="Segoe UI" w:hAnsi="Segoe UI" w:cs="Segoe UI"/>
          <w:color w:val="014171"/>
          <w:lang w:val="de-DE"/>
        </w:rPr>
        <w:t>„</w:t>
      </w:r>
      <w:r w:rsidRPr="0040745F">
        <w:rPr>
          <w:rFonts w:ascii="Segoe UI" w:hAnsi="Segoe UI" w:cs="Segoe UI"/>
          <w:color w:val="014171"/>
          <w:lang w:val="de-DE"/>
        </w:rPr>
        <w:t>WVV</w:t>
      </w:r>
      <w:r w:rsidR="00A5642B">
        <w:rPr>
          <w:rFonts w:ascii="Segoe UI" w:hAnsi="Segoe UI" w:cs="Segoe UI"/>
          <w:color w:val="014171"/>
          <w:lang w:val="de-DE"/>
        </w:rPr>
        <w:t>“</w:t>
      </w:r>
      <w:r w:rsidRPr="0040745F">
        <w:rPr>
          <w:rFonts w:ascii="Segoe UI" w:hAnsi="Segoe UI" w:cs="Segoe UI"/>
          <w:color w:val="014171"/>
          <w:lang w:val="de-DE"/>
        </w:rPr>
        <w:t xml:space="preserve">), welche sich noch im Entwurfsmodus befindet und noch nicht als endgültige Version verabschiedet wurde. Als mittelgroße Wertpapierfirma unterliegt die DCMD als solche grundsätzlich nicht mehr den </w:t>
      </w:r>
      <w:r w:rsidRPr="00CB11C6">
        <w:rPr>
          <w:rFonts w:ascii="Segoe UI" w:hAnsi="Segoe UI" w:cs="Segoe UI"/>
          <w:color w:val="014171"/>
          <w:lang w:val="de-DE"/>
        </w:rPr>
        <w:t>Anforderungen des § 25a Abs. 5 bis 6 KWG und der damit verbundenen Institutsvergütungsverordnung (</w:t>
      </w:r>
      <w:r w:rsidR="00A5642B" w:rsidRPr="00CB11C6">
        <w:rPr>
          <w:rFonts w:ascii="Segoe UI" w:hAnsi="Segoe UI" w:cs="Segoe UI"/>
          <w:color w:val="014171"/>
          <w:lang w:val="de-DE"/>
        </w:rPr>
        <w:t>„</w:t>
      </w:r>
      <w:r w:rsidR="00CB11C6" w:rsidRPr="00CB11C6">
        <w:rPr>
          <w:rFonts w:ascii="Segoe UI" w:hAnsi="Segoe UI" w:cs="Segoe UI"/>
          <w:color w:val="014171"/>
          <w:lang w:val="de-DE"/>
        </w:rPr>
        <w:t>IV</w:t>
      </w:r>
      <w:r w:rsidRPr="00CB11C6">
        <w:rPr>
          <w:rFonts w:ascii="Segoe UI" w:hAnsi="Segoe UI" w:cs="Segoe UI"/>
          <w:color w:val="014171"/>
          <w:lang w:val="de-DE"/>
        </w:rPr>
        <w:t>V</w:t>
      </w:r>
      <w:r w:rsidR="00A5642B" w:rsidRPr="00CB11C6">
        <w:rPr>
          <w:rFonts w:ascii="Segoe UI" w:hAnsi="Segoe UI" w:cs="Segoe UI"/>
          <w:color w:val="014171"/>
          <w:lang w:val="de-DE"/>
        </w:rPr>
        <w:t>“</w:t>
      </w:r>
      <w:r w:rsidRPr="00CB11C6">
        <w:rPr>
          <w:rFonts w:ascii="Segoe UI" w:hAnsi="Segoe UI" w:cs="Segoe UI"/>
          <w:color w:val="014171"/>
          <w:lang w:val="de-DE"/>
        </w:rPr>
        <w:t xml:space="preserve"> 4.0). Aufgrund der noch nicht final in Kraft getretenen Regeln der WVV folgt DCMD den Regeln der IVV 3.0.</w:t>
      </w:r>
    </w:p>
    <w:p w14:paraId="32AE6B02" w14:textId="77777777" w:rsidR="006D4873" w:rsidRPr="0040745F" w:rsidRDefault="006D4873" w:rsidP="00834F0A">
      <w:pPr>
        <w:spacing w:after="0"/>
        <w:jc w:val="both"/>
        <w:rPr>
          <w:rFonts w:ascii="Segoe UI" w:hAnsi="Segoe UI" w:cs="Segoe UI"/>
          <w:color w:val="014171"/>
          <w:lang w:val="de-DE"/>
        </w:rPr>
      </w:pPr>
    </w:p>
    <w:p w14:paraId="27B0636B" w14:textId="0C994504" w:rsidR="00763841" w:rsidRPr="0040745F" w:rsidRDefault="006D4873" w:rsidP="00834F0A">
      <w:pPr>
        <w:spacing w:after="0"/>
        <w:jc w:val="both"/>
        <w:rPr>
          <w:rFonts w:ascii="Segoe UI" w:hAnsi="Segoe UI" w:cs="Segoe UI"/>
          <w:color w:val="014171"/>
          <w:lang w:val="de-DE"/>
        </w:rPr>
      </w:pPr>
      <w:r w:rsidRPr="0040745F">
        <w:rPr>
          <w:rFonts w:ascii="Segoe UI" w:hAnsi="Segoe UI" w:cs="Segoe UI"/>
          <w:color w:val="014171"/>
          <w:lang w:val="de-DE"/>
        </w:rPr>
        <w:t>Die europäischen Regelungen der EBA/GL/2021/13, die den Vergütungsregeln für Wertpapierfirmen zugrunde liegen, sind für Referenzzeiträume umzusetzen, die am oder nach dem 30. April 2022 beginnen, was Auswirkungen auf das Geschäftsjahr der DCMD vom 01. April 2022 – 31. März 2023</w:t>
      </w:r>
      <w:r w:rsidR="00A5642B" w:rsidRPr="00A5642B">
        <w:rPr>
          <w:rFonts w:ascii="Segoe UI" w:hAnsi="Segoe UI" w:cs="Segoe UI"/>
          <w:color w:val="014171"/>
          <w:lang w:val="de-DE"/>
        </w:rPr>
        <w:t xml:space="preserve"> </w:t>
      </w:r>
      <w:r w:rsidR="00A5642B" w:rsidRPr="0040745F">
        <w:rPr>
          <w:rFonts w:ascii="Segoe UI" w:hAnsi="Segoe UI" w:cs="Segoe UI"/>
          <w:color w:val="014171"/>
          <w:lang w:val="de-DE"/>
        </w:rPr>
        <w:t>hätte</w:t>
      </w:r>
      <w:r w:rsidRPr="0040745F">
        <w:rPr>
          <w:rFonts w:ascii="Segoe UI" w:hAnsi="Segoe UI" w:cs="Segoe UI"/>
          <w:color w:val="014171"/>
          <w:lang w:val="de-DE"/>
        </w:rPr>
        <w:t>. Dennoch hat die BaFin, wie erwähnt, die neue WVV noch nicht fertiggestellt, und DCMD wird ihre Vergütungspolitik gemäß den neuen Vorschriften aktualisieren, wenn diese in Deutschland final durch die BaFin umgesetzt werden.</w:t>
      </w:r>
    </w:p>
    <w:p w14:paraId="3D3D786B" w14:textId="10D77C79" w:rsidR="00C81EA2" w:rsidRPr="0040745F" w:rsidRDefault="00C81EA2" w:rsidP="00834F0A">
      <w:pPr>
        <w:spacing w:after="0"/>
        <w:jc w:val="both"/>
        <w:rPr>
          <w:rFonts w:ascii="Segoe UI" w:hAnsi="Segoe UI" w:cs="Segoe UI"/>
          <w:color w:val="014171"/>
          <w:lang w:val="de-DE"/>
        </w:rPr>
      </w:pPr>
      <w:bookmarkStart w:id="88" w:name="_Toc297650836"/>
      <w:bookmarkStart w:id="89" w:name="_Toc387742205"/>
      <w:bookmarkStart w:id="90" w:name="_Toc422754657"/>
      <w:bookmarkStart w:id="91" w:name="_Toc453148094"/>
      <w:bookmarkEnd w:id="86"/>
      <w:bookmarkEnd w:id="87"/>
    </w:p>
    <w:p w14:paraId="3A1C4BAC" w14:textId="1D78E265" w:rsidR="00C81EA2" w:rsidRPr="0040745F" w:rsidRDefault="006D4873" w:rsidP="00834F0A">
      <w:pPr>
        <w:pStyle w:val="Heading2"/>
        <w:rPr>
          <w:lang w:val="de-DE"/>
        </w:rPr>
      </w:pPr>
      <w:bookmarkStart w:id="92" w:name="_Toc102121170"/>
      <w:bookmarkStart w:id="93" w:name="_Toc123138028"/>
      <w:r w:rsidRPr="0040745F">
        <w:rPr>
          <w:lang w:val="de-DE"/>
        </w:rPr>
        <w:t>Vergütungsstrategie</w:t>
      </w:r>
      <w:bookmarkEnd w:id="92"/>
      <w:bookmarkEnd w:id="93"/>
    </w:p>
    <w:p w14:paraId="6C166401" w14:textId="698D939E" w:rsidR="006D4873" w:rsidRPr="0040745F" w:rsidRDefault="006D4873" w:rsidP="00834F0A">
      <w:pPr>
        <w:spacing w:after="0"/>
        <w:jc w:val="both"/>
        <w:rPr>
          <w:rFonts w:ascii="Segoe UI" w:hAnsi="Segoe UI" w:cs="Segoe UI"/>
          <w:color w:val="014171"/>
          <w:lang w:val="de-DE"/>
        </w:rPr>
      </w:pPr>
      <w:r w:rsidRPr="0040745F">
        <w:rPr>
          <w:rFonts w:ascii="Segoe UI" w:hAnsi="Segoe UI" w:cs="Segoe UI"/>
          <w:color w:val="014171"/>
          <w:lang w:val="de-DE"/>
        </w:rPr>
        <w:t>Die Z</w:t>
      </w:r>
      <w:r w:rsidR="0047418F">
        <w:rPr>
          <w:rFonts w:ascii="Segoe UI" w:hAnsi="Segoe UI" w:cs="Segoe UI"/>
          <w:color w:val="014171"/>
          <w:lang w:val="de-DE"/>
        </w:rPr>
        <w:t>iele der Vergütungsstrategie der</w:t>
      </w:r>
      <w:r w:rsidRPr="0040745F">
        <w:rPr>
          <w:rFonts w:ascii="Segoe UI" w:hAnsi="Segoe UI" w:cs="Segoe UI"/>
          <w:color w:val="014171"/>
          <w:lang w:val="de-DE"/>
        </w:rPr>
        <w:t xml:space="preserve"> </w:t>
      </w:r>
      <w:r w:rsidR="0047418F">
        <w:rPr>
          <w:rFonts w:ascii="Segoe UI" w:hAnsi="Segoe UI" w:cs="Segoe UI"/>
          <w:color w:val="014171"/>
          <w:lang w:val="de-DE"/>
        </w:rPr>
        <w:t>Gesellschaft</w:t>
      </w:r>
      <w:r w:rsidRPr="0040745F">
        <w:rPr>
          <w:rFonts w:ascii="Segoe UI" w:hAnsi="Segoe UI" w:cs="Segoe UI"/>
          <w:color w:val="014171"/>
          <w:lang w:val="de-DE"/>
        </w:rPr>
        <w:t xml:space="preserve"> lauten wie folgt:</w:t>
      </w:r>
    </w:p>
    <w:p w14:paraId="2D3ABC08" w14:textId="77777777" w:rsidR="00C81EA2" w:rsidRPr="0040745F" w:rsidRDefault="00C81EA2" w:rsidP="00834F0A">
      <w:pPr>
        <w:spacing w:after="0"/>
        <w:jc w:val="both"/>
        <w:rPr>
          <w:rFonts w:ascii="Segoe UI" w:hAnsi="Segoe UI" w:cs="Segoe UI"/>
          <w:color w:val="014171"/>
          <w:lang w:val="de-DE"/>
        </w:rPr>
      </w:pPr>
    </w:p>
    <w:p w14:paraId="414C4C9B" w14:textId="5E85569A" w:rsidR="00C81EA2" w:rsidRPr="0040745F" w:rsidRDefault="00C13516" w:rsidP="00834F0A">
      <w:pPr>
        <w:pStyle w:val="ListParagraph"/>
        <w:numPr>
          <w:ilvl w:val="0"/>
          <w:numId w:val="79"/>
        </w:numPr>
        <w:spacing w:after="0"/>
        <w:jc w:val="both"/>
        <w:rPr>
          <w:rFonts w:ascii="Segoe UI" w:hAnsi="Segoe UI" w:cs="Segoe UI"/>
          <w:color w:val="014171"/>
          <w:lang w:val="de-DE"/>
        </w:rPr>
      </w:pPr>
      <w:r w:rsidRPr="0040745F">
        <w:rPr>
          <w:rFonts w:ascii="Segoe UI" w:hAnsi="Segoe UI" w:cs="Segoe UI"/>
          <w:color w:val="014171"/>
          <w:lang w:val="de-DE"/>
        </w:rPr>
        <w:t>DCMD verpflichtet sich, alle Mitarbeiter fair zu entlohnen, unabhängig von Funktion, Rasse, Religion, Hautfarbe, nationaler Herkunft, Geschlecht, sexueller Orientierung, Familienstand, Schwangerschaft, Behinderung oder Alter.</w:t>
      </w:r>
    </w:p>
    <w:p w14:paraId="2723BE03" w14:textId="35995E96" w:rsidR="00C81EA2" w:rsidRPr="0040745F" w:rsidRDefault="00C13516" w:rsidP="00C13516">
      <w:pPr>
        <w:pStyle w:val="ListParagraph"/>
        <w:numPr>
          <w:ilvl w:val="0"/>
          <w:numId w:val="79"/>
        </w:numPr>
        <w:spacing w:after="0"/>
        <w:jc w:val="both"/>
        <w:rPr>
          <w:rFonts w:ascii="Segoe UI" w:hAnsi="Segoe UI" w:cs="Segoe UI"/>
          <w:color w:val="014171"/>
          <w:lang w:val="de-DE"/>
        </w:rPr>
      </w:pPr>
      <w:r w:rsidRPr="0040745F">
        <w:rPr>
          <w:rFonts w:ascii="Segoe UI" w:hAnsi="Segoe UI" w:cs="Segoe UI"/>
          <w:color w:val="014171"/>
          <w:lang w:val="de-DE"/>
        </w:rPr>
        <w:t>Es ist die Politik von DCMD, eine wettbewerbsfähige Vergütungspolitik zu betreiben, um eine geeignete Belegschaft für die Gesellschaft zu gewinnen, zu halten und zu motivieren.</w:t>
      </w:r>
    </w:p>
    <w:p w14:paraId="213D3B8E" w14:textId="475F17C6" w:rsidR="00C81EA2" w:rsidRPr="0040745F" w:rsidRDefault="00C13516" w:rsidP="00C13516">
      <w:pPr>
        <w:pStyle w:val="ListParagraph"/>
        <w:numPr>
          <w:ilvl w:val="0"/>
          <w:numId w:val="79"/>
        </w:numPr>
        <w:spacing w:after="0"/>
        <w:jc w:val="both"/>
        <w:rPr>
          <w:rFonts w:ascii="Segoe UI" w:hAnsi="Segoe UI" w:cs="Segoe UI"/>
          <w:color w:val="014171"/>
          <w:lang w:val="de-DE"/>
        </w:rPr>
      </w:pPr>
      <w:r w:rsidRPr="0040745F">
        <w:rPr>
          <w:rFonts w:ascii="Segoe UI" w:hAnsi="Segoe UI" w:cs="Segoe UI"/>
          <w:color w:val="014171"/>
          <w:lang w:val="de-DE"/>
        </w:rPr>
        <w:t xml:space="preserve">DCMD verpflichtet sich sicherzustellen, dass ihre Vergütungspraktiken hohe Standards des persönlichen und beruflichen Verhaltens fördern, ein solides Risikomanagement unterstützen und keine Risikobereitschaft fördern, die das von der </w:t>
      </w:r>
      <w:r w:rsidR="00EC1917">
        <w:rPr>
          <w:rFonts w:ascii="Segoe UI" w:hAnsi="Segoe UI" w:cs="Segoe UI"/>
          <w:color w:val="014171"/>
          <w:lang w:val="de-DE"/>
        </w:rPr>
        <w:t>Gesellschaft</w:t>
      </w:r>
      <w:r w:rsidRPr="0040745F">
        <w:rPr>
          <w:rFonts w:ascii="Segoe UI" w:hAnsi="Segoe UI" w:cs="Segoe UI"/>
          <w:color w:val="014171"/>
          <w:lang w:val="de-DE"/>
        </w:rPr>
        <w:t xml:space="preserve"> tolerierte Risiko übersteigt, und mit den aufsichtsrechtlichen Anforderungen der </w:t>
      </w:r>
      <w:r w:rsidR="00EC1917">
        <w:rPr>
          <w:rFonts w:ascii="Segoe UI" w:hAnsi="Segoe UI" w:cs="Segoe UI"/>
          <w:color w:val="014171"/>
          <w:lang w:val="de-DE"/>
        </w:rPr>
        <w:t>Gesellschaft</w:t>
      </w:r>
      <w:r w:rsidRPr="0040745F">
        <w:rPr>
          <w:rFonts w:ascii="Segoe UI" w:hAnsi="Segoe UI" w:cs="Segoe UI"/>
          <w:color w:val="014171"/>
          <w:lang w:val="de-DE"/>
        </w:rPr>
        <w:t xml:space="preserve"> in Einklang stehen.</w:t>
      </w:r>
    </w:p>
    <w:p w14:paraId="45226E7C" w14:textId="68C014CB" w:rsidR="00C81EA2" w:rsidRPr="0040745F" w:rsidRDefault="00C13516" w:rsidP="00C13516">
      <w:pPr>
        <w:pStyle w:val="ListParagraph"/>
        <w:numPr>
          <w:ilvl w:val="0"/>
          <w:numId w:val="79"/>
        </w:numPr>
        <w:spacing w:after="0"/>
        <w:jc w:val="both"/>
        <w:rPr>
          <w:rFonts w:ascii="Segoe UI" w:hAnsi="Segoe UI" w:cs="Segoe UI"/>
          <w:color w:val="014171"/>
          <w:lang w:val="de-DE"/>
        </w:rPr>
      </w:pPr>
      <w:r w:rsidRPr="0040745F">
        <w:rPr>
          <w:rFonts w:ascii="Segoe UI" w:hAnsi="Segoe UI" w:cs="Segoe UI"/>
          <w:color w:val="014171"/>
          <w:lang w:val="de-DE"/>
        </w:rPr>
        <w:t xml:space="preserve">Vergütungen für alle Mitarbeiter werden an finanziellen und nicht finanziellen Leistungskriterien und Risikoprofilen ausgerichtet und stehen in im Einklang mit der </w:t>
      </w:r>
      <w:r w:rsidRPr="0040745F">
        <w:rPr>
          <w:rFonts w:ascii="Segoe UI" w:hAnsi="Segoe UI" w:cs="Segoe UI"/>
          <w:color w:val="014171"/>
          <w:lang w:val="de-DE"/>
        </w:rPr>
        <w:lastRenderedPageBreak/>
        <w:t xml:space="preserve">Geschäftsstrategie, den Zielen, Werten, der Kultur und </w:t>
      </w:r>
      <w:r w:rsidR="0047418F">
        <w:rPr>
          <w:rFonts w:ascii="Segoe UI" w:hAnsi="Segoe UI" w:cs="Segoe UI"/>
          <w:color w:val="014171"/>
          <w:lang w:val="de-DE"/>
        </w:rPr>
        <w:t>den langfristigen Interessen der</w:t>
      </w:r>
      <w:r w:rsidRPr="0040745F">
        <w:rPr>
          <w:rFonts w:ascii="Segoe UI" w:hAnsi="Segoe UI" w:cs="Segoe UI"/>
          <w:color w:val="014171"/>
          <w:lang w:val="de-DE"/>
        </w:rPr>
        <w:t xml:space="preserve"> </w:t>
      </w:r>
      <w:r w:rsidR="0047418F">
        <w:rPr>
          <w:rFonts w:ascii="Segoe UI" w:hAnsi="Segoe UI" w:cs="Segoe UI"/>
          <w:color w:val="014171"/>
          <w:lang w:val="de-DE"/>
        </w:rPr>
        <w:t>Gesellschaft</w:t>
      </w:r>
      <w:r w:rsidRPr="0040745F">
        <w:rPr>
          <w:rFonts w:ascii="Segoe UI" w:hAnsi="Segoe UI" w:cs="Segoe UI"/>
          <w:color w:val="014171"/>
          <w:lang w:val="de-DE"/>
        </w:rPr>
        <w:t>.</w:t>
      </w:r>
    </w:p>
    <w:p w14:paraId="3B2AF888" w14:textId="7536C46D" w:rsidR="00C81EA2" w:rsidRPr="00F57D2D" w:rsidRDefault="00C13516" w:rsidP="00C13516">
      <w:pPr>
        <w:pStyle w:val="ListParagraph"/>
        <w:numPr>
          <w:ilvl w:val="0"/>
          <w:numId w:val="79"/>
        </w:numPr>
        <w:spacing w:after="0"/>
        <w:jc w:val="both"/>
        <w:rPr>
          <w:rFonts w:ascii="Segoe UI" w:hAnsi="Segoe UI" w:cs="Segoe UI"/>
          <w:color w:val="014171"/>
          <w:lang w:val="de-DE"/>
        </w:rPr>
      </w:pPr>
      <w:r w:rsidRPr="0040745F">
        <w:rPr>
          <w:rFonts w:ascii="Segoe UI" w:hAnsi="Segoe UI" w:cs="Segoe UI"/>
          <w:color w:val="014171"/>
          <w:lang w:val="de-DE"/>
        </w:rPr>
        <w:t xml:space="preserve">DCMD wird keine unfairen oder ungerechten Praktiken zulassen, die sich auf die </w:t>
      </w:r>
      <w:r w:rsidRPr="00F57D2D">
        <w:rPr>
          <w:rFonts w:ascii="Segoe UI" w:hAnsi="Segoe UI" w:cs="Segoe UI"/>
          <w:color w:val="014171"/>
          <w:lang w:val="de-DE"/>
        </w:rPr>
        <w:t>Bezahlung auswirken.</w:t>
      </w:r>
    </w:p>
    <w:p w14:paraId="7A8D514C" w14:textId="77777777" w:rsidR="00C81EA2" w:rsidRPr="00F57D2D" w:rsidRDefault="00C81EA2" w:rsidP="00834F0A">
      <w:pPr>
        <w:spacing w:after="0"/>
        <w:jc w:val="both"/>
        <w:rPr>
          <w:rFonts w:ascii="Segoe UI" w:hAnsi="Segoe UI" w:cs="Segoe UI"/>
          <w:color w:val="014171"/>
          <w:lang w:val="de-DE"/>
        </w:rPr>
      </w:pPr>
    </w:p>
    <w:p w14:paraId="0AD27779" w14:textId="6C6E0276" w:rsidR="00C81EA2" w:rsidRPr="00F57D2D" w:rsidRDefault="00F57D2D" w:rsidP="00834F0A">
      <w:pPr>
        <w:pStyle w:val="Heading2"/>
        <w:rPr>
          <w:lang w:val="de-DE"/>
        </w:rPr>
      </w:pPr>
      <w:bookmarkStart w:id="94" w:name="_Toc123138029"/>
      <w:r w:rsidRPr="00F57D2D">
        <w:rPr>
          <w:lang w:val="de-DE"/>
        </w:rPr>
        <w:t>Steuerung und Zuständigkeit</w:t>
      </w:r>
      <w:bookmarkEnd w:id="94"/>
    </w:p>
    <w:p w14:paraId="01753F56" w14:textId="6811CB42" w:rsidR="00C13516" w:rsidRPr="0040745F" w:rsidRDefault="00C13516" w:rsidP="00C13516">
      <w:pPr>
        <w:spacing w:after="0"/>
        <w:jc w:val="both"/>
        <w:rPr>
          <w:rFonts w:ascii="Segoe UI" w:hAnsi="Segoe UI" w:cs="Segoe UI"/>
          <w:color w:val="014171"/>
          <w:lang w:val="de-DE"/>
        </w:rPr>
      </w:pPr>
      <w:r w:rsidRPr="00F57D2D">
        <w:rPr>
          <w:rFonts w:ascii="Segoe UI" w:hAnsi="Segoe UI" w:cs="Segoe UI"/>
          <w:color w:val="014171"/>
          <w:lang w:val="de-DE"/>
        </w:rPr>
        <w:t>Aufgrund der Unternehmensgröße</w:t>
      </w:r>
      <w:r w:rsidRPr="0040745F">
        <w:rPr>
          <w:rFonts w:ascii="Segoe UI" w:hAnsi="Segoe UI" w:cs="Segoe UI"/>
          <w:color w:val="014171"/>
          <w:lang w:val="de-DE"/>
        </w:rPr>
        <w:t xml:space="preserve"> hat DCMD weder einen Vergütungsbeauftragten noch einen Vergütungskontrollausschuss eingerichtet, da DCMD kein bedeutendes Institut gemäß </w:t>
      </w:r>
      <w:r w:rsidRPr="00D815A9">
        <w:rPr>
          <w:rFonts w:ascii="Segoe UI" w:hAnsi="Segoe UI" w:cs="Segoe UI"/>
          <w:color w:val="014171"/>
          <w:lang w:val="de-DE"/>
        </w:rPr>
        <w:t xml:space="preserve">§ 1 Abs. 3c KWG ist </w:t>
      </w:r>
      <w:r w:rsidR="004B1FD8" w:rsidRPr="00D815A9">
        <w:rPr>
          <w:rFonts w:ascii="Segoe UI" w:hAnsi="Segoe UI" w:cs="Segoe UI"/>
          <w:color w:val="014171"/>
          <w:lang w:val="de-DE"/>
        </w:rPr>
        <w:t>und sich die IVV 3.0 noch auf das KWG bezieht.</w:t>
      </w:r>
    </w:p>
    <w:p w14:paraId="37E35F1D" w14:textId="77777777" w:rsidR="00F922F1" w:rsidRDefault="00F922F1" w:rsidP="00C13516">
      <w:pPr>
        <w:spacing w:after="0"/>
        <w:jc w:val="both"/>
        <w:rPr>
          <w:rFonts w:ascii="Segoe UI" w:hAnsi="Segoe UI" w:cs="Segoe UI"/>
          <w:color w:val="014171"/>
          <w:lang w:val="de-DE"/>
        </w:rPr>
      </w:pPr>
    </w:p>
    <w:p w14:paraId="5AE92C15" w14:textId="02C41842" w:rsidR="00034E96" w:rsidRPr="0040745F" w:rsidRDefault="00C13516" w:rsidP="00C13516">
      <w:pPr>
        <w:spacing w:after="0"/>
        <w:jc w:val="both"/>
        <w:rPr>
          <w:rFonts w:ascii="Segoe UI" w:hAnsi="Segoe UI" w:cs="Segoe UI"/>
          <w:color w:val="014171"/>
          <w:lang w:val="de-DE"/>
        </w:rPr>
      </w:pPr>
      <w:r w:rsidRPr="0040745F">
        <w:rPr>
          <w:rFonts w:ascii="Segoe UI" w:hAnsi="Segoe UI" w:cs="Segoe UI"/>
          <w:color w:val="014171"/>
          <w:lang w:val="de-DE"/>
        </w:rPr>
        <w:t>Die Vergütungsregeln liegen in der Verantwortung der Geschäftsführung bzw. der Anteilseigner. Um über eine ausreichende Kontrolle zu verfügen, nutzt DCMD den Vergütungsausschuss seiner Muttergesellschaft in London, um die variablen Vergütungskomponenten jährlich zu überprüfen und genehmigen zu lassen.</w:t>
      </w:r>
    </w:p>
    <w:p w14:paraId="29C80D32" w14:textId="77777777" w:rsidR="00C81EA2" w:rsidRPr="0040745F" w:rsidRDefault="00C81EA2" w:rsidP="00834F0A">
      <w:pPr>
        <w:spacing w:after="0"/>
        <w:jc w:val="both"/>
        <w:rPr>
          <w:rFonts w:ascii="Segoe UI" w:hAnsi="Segoe UI" w:cs="Segoe UI"/>
          <w:color w:val="014171"/>
          <w:lang w:val="de-DE"/>
        </w:rPr>
      </w:pPr>
    </w:p>
    <w:p w14:paraId="7AAEF653" w14:textId="1FB8D423" w:rsidR="00C81EA2" w:rsidRPr="0040745F" w:rsidRDefault="00C13516" w:rsidP="00834F0A">
      <w:pPr>
        <w:pStyle w:val="Heading2"/>
        <w:rPr>
          <w:lang w:val="de-DE"/>
        </w:rPr>
      </w:pPr>
      <w:bookmarkStart w:id="95" w:name="_Toc123138030"/>
      <w:bookmarkStart w:id="96" w:name="_Toc102121172"/>
      <w:r w:rsidRPr="0040745F">
        <w:rPr>
          <w:lang w:val="de-DE"/>
        </w:rPr>
        <w:t>Kontrollfunktionen</w:t>
      </w:r>
      <w:bookmarkEnd w:id="95"/>
    </w:p>
    <w:p w14:paraId="497D9007" w14:textId="5DDFD83F" w:rsidR="00C13516" w:rsidRPr="0040745F" w:rsidRDefault="00C13516" w:rsidP="00834F0A">
      <w:pPr>
        <w:spacing w:after="0"/>
        <w:jc w:val="both"/>
        <w:rPr>
          <w:rFonts w:ascii="Segoe UI" w:hAnsi="Segoe UI" w:cs="Segoe UI"/>
          <w:color w:val="014171"/>
          <w:lang w:val="de-DE"/>
        </w:rPr>
      </w:pPr>
      <w:r w:rsidRPr="0040745F">
        <w:rPr>
          <w:rFonts w:ascii="Segoe UI" w:hAnsi="Segoe UI" w:cs="Segoe UI"/>
          <w:color w:val="014171"/>
          <w:lang w:val="de-DE"/>
        </w:rPr>
        <w:t xml:space="preserve">Leitende Mitarbeiter in den nachgelagerten Kontrollfunktionen, einschließlich Risiko und Compliance, müssen Angaben zu Vergütungsentscheidungen machen, insbesondere in Bezug auf Personen, die an meldepflichtigen Vorfällen oder besonderen Ereignissen beteiligt sind. Die </w:t>
      </w:r>
      <w:r w:rsidR="00EC1917">
        <w:rPr>
          <w:rFonts w:ascii="Segoe UI" w:hAnsi="Segoe UI" w:cs="Segoe UI"/>
          <w:color w:val="014171"/>
          <w:lang w:val="de-DE"/>
        </w:rPr>
        <w:t>Gesellschaft</w:t>
      </w:r>
      <w:r w:rsidRPr="0040745F">
        <w:rPr>
          <w:rFonts w:ascii="Segoe UI" w:hAnsi="Segoe UI" w:cs="Segoe UI"/>
          <w:color w:val="014171"/>
          <w:lang w:val="de-DE"/>
        </w:rPr>
        <w:t xml:space="preserve"> betrachtet deshalb die Bereiche Risikomanagement, Compliance, Finanzen und Interne Revision als ihre Kontrollfunktionen.</w:t>
      </w:r>
    </w:p>
    <w:p w14:paraId="43AA62BC" w14:textId="77777777" w:rsidR="00C81EA2" w:rsidRPr="0040745F" w:rsidRDefault="00C81EA2" w:rsidP="00834F0A">
      <w:pPr>
        <w:spacing w:after="0"/>
        <w:jc w:val="both"/>
        <w:rPr>
          <w:rFonts w:ascii="Segoe UI" w:hAnsi="Segoe UI" w:cs="Segoe UI"/>
          <w:color w:val="014171"/>
          <w:lang w:val="de-DE"/>
        </w:rPr>
      </w:pPr>
    </w:p>
    <w:p w14:paraId="1EDFFB8E" w14:textId="49E7E0FA" w:rsidR="00C13516" w:rsidRPr="0040745F" w:rsidRDefault="00C13516" w:rsidP="00C13516">
      <w:pPr>
        <w:spacing w:after="0"/>
        <w:jc w:val="both"/>
        <w:rPr>
          <w:rFonts w:ascii="Segoe UI" w:hAnsi="Segoe UI" w:cs="Segoe UI"/>
          <w:color w:val="014171"/>
          <w:lang w:val="de-DE"/>
        </w:rPr>
      </w:pPr>
      <w:r w:rsidRPr="0040745F">
        <w:rPr>
          <w:rFonts w:ascii="Segoe UI" w:hAnsi="Segoe UI" w:cs="Segoe UI"/>
          <w:color w:val="014171"/>
          <w:lang w:val="de-DE"/>
        </w:rPr>
        <w:t xml:space="preserve">DCMD ist gemäß dem einschlägigen Vergütungskodex verpflichtet, sicherzustellen, dass Mitarbeiter in Kontrollfunktionen von den von ihnen beaufsichtigten Geschäftsbereichen unabhängig sind. Sie müssen über angemessene Befugnisse verfügen und so entlohnt werden, dass qualifizierte und erfahrene Mitarbeiter angesprochen bzw. gehalten werden können. Die Vergütung muss außerdem unabhängig einzelnen Handelsbereichen sein, kann aber die Gesamtentwicklung der </w:t>
      </w:r>
      <w:r w:rsidR="00EC1917">
        <w:rPr>
          <w:rFonts w:ascii="Segoe UI" w:hAnsi="Segoe UI" w:cs="Segoe UI"/>
          <w:color w:val="014171"/>
          <w:lang w:val="de-DE"/>
        </w:rPr>
        <w:t>Gesellschaft</w:t>
      </w:r>
      <w:r w:rsidRPr="0040745F">
        <w:rPr>
          <w:rFonts w:ascii="Segoe UI" w:hAnsi="Segoe UI" w:cs="Segoe UI"/>
          <w:color w:val="014171"/>
          <w:lang w:val="de-DE"/>
        </w:rPr>
        <w:t xml:space="preserve"> berücksichtigen. Der Fokus muss auf den persönlich vereinbarten Zielen aus dem jeweiligen Bereich der nachgelagerten Funktion liegen.</w:t>
      </w:r>
    </w:p>
    <w:p w14:paraId="485AC508" w14:textId="77777777" w:rsidR="00C13516" w:rsidRPr="0040745F" w:rsidRDefault="00C13516" w:rsidP="00C13516">
      <w:pPr>
        <w:spacing w:after="0"/>
        <w:jc w:val="both"/>
        <w:rPr>
          <w:rFonts w:ascii="Segoe UI" w:hAnsi="Segoe UI" w:cs="Segoe UI"/>
          <w:color w:val="014171"/>
          <w:lang w:val="de-DE"/>
        </w:rPr>
      </w:pPr>
    </w:p>
    <w:p w14:paraId="36034269" w14:textId="691E6375" w:rsidR="00110E32" w:rsidRPr="0040745F" w:rsidRDefault="00C13516" w:rsidP="00C13516">
      <w:pPr>
        <w:spacing w:after="0"/>
        <w:jc w:val="both"/>
        <w:rPr>
          <w:rFonts w:ascii="Segoe UI" w:hAnsi="Segoe UI" w:cs="Segoe UI"/>
          <w:color w:val="014171"/>
          <w:lang w:val="de-DE"/>
        </w:rPr>
      </w:pPr>
      <w:r w:rsidRPr="0040745F">
        <w:rPr>
          <w:rFonts w:ascii="Segoe UI" w:hAnsi="Segoe UI" w:cs="Segoe UI"/>
          <w:color w:val="014171"/>
          <w:lang w:val="de-DE"/>
        </w:rPr>
        <w:t>DCMD nutzt den Vergütungsausschuss ihrer Muttergesellschaft, um alle seine variablen Vergütungen zu überprüfen. In Bezug auf den Beitrag der einzelnen Kontrollfunktionen zu Vergütungsentscheidungen müssen der Chief Risk Officer („CRO“) und der Chief Financial Officer („CFO“) von DCMD die Auswirkungen etwaiger Bonuszahlungen auf das Kapital und die Liquidität schriftlich berücksichtigen und deren Angemessenheit schriftlich bestätigen.</w:t>
      </w:r>
    </w:p>
    <w:p w14:paraId="20E57FA4" w14:textId="6F813239" w:rsidR="00C81EA2" w:rsidRPr="0040745F" w:rsidRDefault="00C81EA2" w:rsidP="00834F0A">
      <w:pPr>
        <w:spacing w:after="0"/>
        <w:jc w:val="both"/>
        <w:rPr>
          <w:rFonts w:ascii="Segoe UI" w:hAnsi="Segoe UI" w:cs="Segoe UI"/>
          <w:color w:val="014171"/>
          <w:lang w:val="de-DE"/>
        </w:rPr>
      </w:pPr>
    </w:p>
    <w:p w14:paraId="1F5E6F9A" w14:textId="4940C377" w:rsidR="00C81EA2" w:rsidRPr="0040745F" w:rsidRDefault="00C13516" w:rsidP="00834F0A">
      <w:pPr>
        <w:spacing w:after="0"/>
        <w:jc w:val="both"/>
        <w:rPr>
          <w:rFonts w:ascii="Segoe UI" w:hAnsi="Segoe UI" w:cs="Segoe UI"/>
          <w:color w:val="014171"/>
          <w:lang w:val="de-DE"/>
        </w:rPr>
      </w:pPr>
      <w:r w:rsidRPr="0040745F">
        <w:rPr>
          <w:rFonts w:ascii="Segoe UI" w:hAnsi="Segoe UI" w:cs="Segoe UI"/>
          <w:color w:val="014171"/>
          <w:lang w:val="de-DE"/>
        </w:rPr>
        <w:t>Die Interne Revision ist dafür verantwortlich, dass die Umsetzung der Vergütungsrichtlinie mindestens einmal jährlich von einer zentralen und unabhängigen internen oder externen Stelle überprüft wird.</w:t>
      </w:r>
    </w:p>
    <w:p w14:paraId="5F5D9EF6" w14:textId="77777777" w:rsidR="00C81EA2" w:rsidRPr="0040745F" w:rsidRDefault="00C81EA2" w:rsidP="00834F0A">
      <w:pPr>
        <w:spacing w:after="0"/>
        <w:jc w:val="both"/>
        <w:rPr>
          <w:rFonts w:ascii="Segoe UI" w:hAnsi="Segoe UI" w:cs="Segoe UI"/>
          <w:color w:val="014171"/>
          <w:lang w:val="de-DE"/>
        </w:rPr>
      </w:pPr>
    </w:p>
    <w:p w14:paraId="04EC2331" w14:textId="1920289F" w:rsidR="00C81EA2" w:rsidRPr="006D051B" w:rsidRDefault="006D051B" w:rsidP="00834F0A">
      <w:pPr>
        <w:pStyle w:val="Heading2"/>
        <w:ind w:left="578" w:hanging="578"/>
        <w:rPr>
          <w:lang w:val="de-DE"/>
        </w:rPr>
      </w:pPr>
      <w:bookmarkStart w:id="97" w:name="_Toc123138031"/>
      <w:r w:rsidRPr="006D051B">
        <w:rPr>
          <w:lang w:val="de-DE"/>
        </w:rPr>
        <w:lastRenderedPageBreak/>
        <w:t>Risikoträger</w:t>
      </w:r>
      <w:bookmarkEnd w:id="97"/>
    </w:p>
    <w:p w14:paraId="34C7E004" w14:textId="7CE8FA4E" w:rsidR="00034E96" w:rsidRPr="0040745F" w:rsidRDefault="002B16F5" w:rsidP="00834F0A">
      <w:pPr>
        <w:spacing w:after="0"/>
        <w:jc w:val="both"/>
        <w:rPr>
          <w:rFonts w:ascii="Segoe UI" w:hAnsi="Segoe UI" w:cs="Segoe UI"/>
          <w:color w:val="014171"/>
          <w:lang w:val="de-DE"/>
        </w:rPr>
      </w:pPr>
      <w:r w:rsidRPr="006D051B">
        <w:rPr>
          <w:rFonts w:ascii="Segoe UI" w:hAnsi="Segoe UI" w:cs="Segoe UI"/>
          <w:color w:val="014171"/>
          <w:lang w:val="de-DE"/>
        </w:rPr>
        <w:t>Basierend auf der IVV 3.0 müssen</w:t>
      </w:r>
      <w:r w:rsidRPr="0040745F">
        <w:rPr>
          <w:rFonts w:ascii="Segoe UI" w:hAnsi="Segoe UI" w:cs="Segoe UI"/>
          <w:color w:val="014171"/>
          <w:lang w:val="de-DE"/>
        </w:rPr>
        <w:t xml:space="preserve"> nur bedeutende Institute im Rahmen einer Risikoanalyse feststellen, ob sie Mitarbeiter haben, die als </w:t>
      </w:r>
      <w:r w:rsidR="006D051B">
        <w:rPr>
          <w:rFonts w:ascii="Segoe UI" w:hAnsi="Segoe UI" w:cs="Segoe UI"/>
          <w:color w:val="014171"/>
          <w:lang w:val="de-DE"/>
        </w:rPr>
        <w:t>Risikoträger</w:t>
      </w:r>
      <w:r w:rsidRPr="0040745F">
        <w:rPr>
          <w:rFonts w:ascii="Segoe UI" w:hAnsi="Segoe UI" w:cs="Segoe UI"/>
          <w:color w:val="014171"/>
          <w:lang w:val="de-DE"/>
        </w:rPr>
        <w:t xml:space="preserve"> qualifiziert sind, also Mitarbeiter, deren berufliche Tätigkeit einen wesentlichen Einfluss auf das Gesamtrisikoprofil hat. DCMD hat im Sommer 2021 alle Mitarbeiter gemäß den neuen bevorstehenden Regeln entweder als „</w:t>
      </w:r>
      <w:r w:rsidR="00A67A2A">
        <w:rPr>
          <w:rFonts w:ascii="Segoe UI" w:hAnsi="Segoe UI" w:cs="Segoe UI"/>
          <w:color w:val="014171"/>
          <w:lang w:val="de-DE"/>
        </w:rPr>
        <w:t>Risikoträger</w:t>
      </w:r>
      <w:r w:rsidRPr="0040745F">
        <w:rPr>
          <w:rFonts w:ascii="Segoe UI" w:hAnsi="Segoe UI" w:cs="Segoe UI"/>
          <w:color w:val="014171"/>
          <w:lang w:val="de-DE"/>
        </w:rPr>
        <w:t xml:space="preserve">“ oder „nicht </w:t>
      </w:r>
      <w:r w:rsidR="00A67A2A">
        <w:rPr>
          <w:rFonts w:ascii="Segoe UI" w:hAnsi="Segoe UI" w:cs="Segoe UI"/>
          <w:color w:val="014171"/>
          <w:lang w:val="de-DE"/>
        </w:rPr>
        <w:t>Risikoträger</w:t>
      </w:r>
      <w:r w:rsidRPr="0040745F">
        <w:rPr>
          <w:rFonts w:ascii="Segoe UI" w:hAnsi="Segoe UI" w:cs="Segoe UI"/>
          <w:color w:val="014171"/>
          <w:lang w:val="de-DE"/>
        </w:rPr>
        <w:t xml:space="preserve">“ kategorisiert. Dies hat jedoch noch keine direkten Konsequenzen im Kontext der Vergütungsrichtlinie von DCMD. Obwohl die englische Muttergesellschaft von DCMD als bedeutende Institution im Vereinigten Königreich angesehen wird und verpflichtet ist, </w:t>
      </w:r>
      <w:r w:rsidR="00A67A2A">
        <w:rPr>
          <w:rFonts w:ascii="Segoe UI" w:hAnsi="Segoe UI" w:cs="Segoe UI"/>
          <w:color w:val="014171"/>
          <w:lang w:val="de-DE"/>
        </w:rPr>
        <w:t>Risikoträger</w:t>
      </w:r>
      <w:r w:rsidRPr="0040745F">
        <w:rPr>
          <w:rFonts w:ascii="Segoe UI" w:hAnsi="Segoe UI" w:cs="Segoe UI"/>
          <w:color w:val="014171"/>
          <w:lang w:val="de-DE"/>
        </w:rPr>
        <w:t xml:space="preserve"> zu identifizieren, ist DCMD (obwohl sie zur selben Gruppe wie DCME gehört) nicht bedeutend. Ihre Bilanzsumme hat im Durchschnitt (oder einzeln pro Jahr) die Grenze von 15 Mrd. EUR zu den jeweiligen Stichtagen der letzten vier Geschäftsjahre nach § 1 Abs. 3c KWG nie erreicht oder überschritten.</w:t>
      </w:r>
    </w:p>
    <w:p w14:paraId="3A27C476" w14:textId="77777777" w:rsidR="002B16F5" w:rsidRPr="0040745F" w:rsidRDefault="002B16F5" w:rsidP="00834F0A">
      <w:pPr>
        <w:spacing w:after="0"/>
        <w:jc w:val="both"/>
        <w:rPr>
          <w:rFonts w:ascii="Segoe UI" w:hAnsi="Segoe UI" w:cs="Segoe UI"/>
          <w:color w:val="014171"/>
          <w:highlight w:val="green"/>
          <w:lang w:val="de-DE"/>
        </w:rPr>
      </w:pPr>
    </w:p>
    <w:p w14:paraId="240922D3" w14:textId="0336D23A" w:rsidR="00C81EA2" w:rsidRPr="0040745F" w:rsidRDefault="002B16F5" w:rsidP="00834F0A">
      <w:pPr>
        <w:spacing w:after="0"/>
        <w:jc w:val="both"/>
        <w:rPr>
          <w:rFonts w:ascii="Segoe UI" w:hAnsi="Segoe UI" w:cs="Segoe UI"/>
          <w:color w:val="014171"/>
          <w:lang w:val="de-DE"/>
        </w:rPr>
      </w:pPr>
      <w:r w:rsidRPr="0040745F">
        <w:rPr>
          <w:rFonts w:ascii="Segoe UI" w:hAnsi="Segoe UI" w:cs="Segoe UI"/>
          <w:color w:val="014171"/>
          <w:lang w:val="de-DE"/>
        </w:rPr>
        <w:t xml:space="preserve">Aus der Gruppenperspektive können Mitarbeiter von DCMD als </w:t>
      </w:r>
      <w:r w:rsidR="00A67A2A">
        <w:rPr>
          <w:rFonts w:ascii="Segoe UI" w:hAnsi="Segoe UI" w:cs="Segoe UI"/>
          <w:color w:val="014171"/>
          <w:lang w:val="de-DE"/>
        </w:rPr>
        <w:t>Risikoträger</w:t>
      </w:r>
      <w:r w:rsidRPr="0040745F">
        <w:rPr>
          <w:rFonts w:ascii="Segoe UI" w:hAnsi="Segoe UI" w:cs="Segoe UI"/>
          <w:color w:val="014171"/>
          <w:lang w:val="de-DE"/>
        </w:rPr>
        <w:t xml:space="preserve"> der Gruppe identifiziert werden. Wenn Mitarbeiter als </w:t>
      </w:r>
      <w:r w:rsidR="00A67A2A">
        <w:rPr>
          <w:rFonts w:ascii="Segoe UI" w:hAnsi="Segoe UI" w:cs="Segoe UI"/>
          <w:color w:val="014171"/>
          <w:lang w:val="de-DE"/>
        </w:rPr>
        <w:t>Risikoträger</w:t>
      </w:r>
      <w:r w:rsidRPr="0040745F">
        <w:rPr>
          <w:rFonts w:ascii="Segoe UI" w:hAnsi="Segoe UI" w:cs="Segoe UI"/>
          <w:color w:val="014171"/>
          <w:lang w:val="de-DE"/>
        </w:rPr>
        <w:t xml:space="preserve"> identifiziert werden, entsprechen die Vergütungsvereinbarungen für diese Personen zusätzlich den für DCME-Mitarbeiter geltenden relevanten Vergütungsvorschriften. Die Geschäftsführer von DCMD gelten gemäß dieser Richtli</w:t>
      </w:r>
      <w:r w:rsidR="006E65CF">
        <w:rPr>
          <w:rFonts w:ascii="Segoe UI" w:hAnsi="Segoe UI" w:cs="Segoe UI"/>
          <w:color w:val="014171"/>
          <w:lang w:val="de-DE"/>
        </w:rPr>
        <w:t xml:space="preserve">nie der Muttergesellschaft als </w:t>
      </w:r>
      <w:r w:rsidR="00A67A2A">
        <w:rPr>
          <w:rFonts w:ascii="Segoe UI" w:hAnsi="Segoe UI" w:cs="Segoe UI"/>
          <w:color w:val="014171"/>
          <w:lang w:val="de-DE"/>
        </w:rPr>
        <w:t>Risikoträger auch der Muttergesellschaft</w:t>
      </w:r>
      <w:r w:rsidRPr="0040745F">
        <w:rPr>
          <w:rFonts w:ascii="Segoe UI" w:hAnsi="Segoe UI" w:cs="Segoe UI"/>
          <w:color w:val="014171"/>
          <w:lang w:val="de-DE"/>
        </w:rPr>
        <w:t xml:space="preserve">. Die Vergütungspolitik der Muttergesellschaft wird somit konsequent auf </w:t>
      </w:r>
      <w:r w:rsidR="00A67A2A">
        <w:rPr>
          <w:rFonts w:ascii="Segoe UI" w:hAnsi="Segoe UI" w:cs="Segoe UI"/>
          <w:color w:val="014171"/>
          <w:lang w:val="de-DE"/>
        </w:rPr>
        <w:t>Risikoträger</w:t>
      </w:r>
      <w:r w:rsidRPr="0040745F">
        <w:rPr>
          <w:rFonts w:ascii="Segoe UI" w:hAnsi="Segoe UI" w:cs="Segoe UI"/>
          <w:color w:val="014171"/>
          <w:lang w:val="de-DE"/>
        </w:rPr>
        <w:t xml:space="preserve"> in DCMD und DCME angewendet.</w:t>
      </w:r>
    </w:p>
    <w:p w14:paraId="0D89CF46" w14:textId="77777777" w:rsidR="00C81EA2" w:rsidRPr="0040745F" w:rsidRDefault="00C81EA2" w:rsidP="00834F0A">
      <w:pPr>
        <w:spacing w:after="0"/>
        <w:jc w:val="both"/>
        <w:rPr>
          <w:rFonts w:ascii="Segoe UI" w:hAnsi="Segoe UI" w:cs="Segoe UI"/>
          <w:color w:val="014171"/>
          <w:lang w:val="de-DE"/>
        </w:rPr>
      </w:pPr>
    </w:p>
    <w:p w14:paraId="33A00E82" w14:textId="5B03F5CC" w:rsidR="00C81EA2" w:rsidRPr="0040745F" w:rsidRDefault="002B16F5" w:rsidP="00CE319F">
      <w:pPr>
        <w:pStyle w:val="Heading2"/>
        <w:rPr>
          <w:lang w:val="de-DE"/>
        </w:rPr>
      </w:pPr>
      <w:bookmarkStart w:id="98" w:name="_Toc123138032"/>
      <w:r w:rsidRPr="0040745F">
        <w:rPr>
          <w:lang w:val="de-DE"/>
        </w:rPr>
        <w:t>Vergütungsstrategie in der Praxis</w:t>
      </w:r>
      <w:bookmarkEnd w:id="96"/>
      <w:bookmarkEnd w:id="98"/>
    </w:p>
    <w:p w14:paraId="634B6C70" w14:textId="1599A233" w:rsidR="00C81EA2" w:rsidRPr="0040745F" w:rsidRDefault="002B16F5" w:rsidP="00CE319F">
      <w:pPr>
        <w:spacing w:after="0"/>
        <w:jc w:val="both"/>
        <w:rPr>
          <w:rFonts w:ascii="Segoe UI" w:hAnsi="Segoe UI" w:cs="Segoe UI"/>
          <w:color w:val="014171"/>
          <w:lang w:val="de-DE"/>
        </w:rPr>
      </w:pPr>
      <w:r w:rsidRPr="0040745F">
        <w:rPr>
          <w:rFonts w:ascii="Segoe UI" w:hAnsi="Segoe UI" w:cs="Segoe UI"/>
          <w:color w:val="014171"/>
          <w:lang w:val="de-DE"/>
        </w:rPr>
        <w:t>DCMD vergütet die Mitarbeiter mit einer festen und häufig mit einer variablen Vergütung in Form von Gehältern bzw. Boni. Alle Vergütungen werden derzeit in bar angeboten; es wurden bisher keine anderen Instrumente als Vergütung angeboten. Diese Praxis wird sic</w:t>
      </w:r>
      <w:r w:rsidR="006B79BD">
        <w:rPr>
          <w:rFonts w:ascii="Segoe UI" w:hAnsi="Segoe UI" w:cs="Segoe UI"/>
          <w:color w:val="014171"/>
          <w:lang w:val="de-DE"/>
        </w:rPr>
        <w:t>h mit den von der BaFin bekanntzu</w:t>
      </w:r>
      <w:r w:rsidRPr="0040745F">
        <w:rPr>
          <w:rFonts w:ascii="Segoe UI" w:hAnsi="Segoe UI" w:cs="Segoe UI"/>
          <w:color w:val="014171"/>
          <w:lang w:val="de-DE"/>
        </w:rPr>
        <w:t>gebenden neuen Vergütungsregeln ändern.</w:t>
      </w:r>
    </w:p>
    <w:p w14:paraId="26EAAC7B" w14:textId="77777777" w:rsidR="002B16F5" w:rsidRPr="0040745F" w:rsidRDefault="002B16F5" w:rsidP="00CE319F">
      <w:pPr>
        <w:spacing w:after="0"/>
        <w:jc w:val="both"/>
        <w:rPr>
          <w:rFonts w:ascii="Segoe UI" w:hAnsi="Segoe UI" w:cs="Segoe UI"/>
          <w:color w:val="014171"/>
          <w:lang w:val="de-DE"/>
        </w:rPr>
      </w:pPr>
    </w:p>
    <w:p w14:paraId="3028743E" w14:textId="397C48E5" w:rsidR="002B16F5" w:rsidRPr="0040745F" w:rsidRDefault="002B16F5" w:rsidP="002B16F5">
      <w:pPr>
        <w:spacing w:after="0"/>
        <w:jc w:val="both"/>
        <w:rPr>
          <w:rFonts w:ascii="Segoe UI" w:hAnsi="Segoe UI" w:cs="Segoe UI"/>
          <w:color w:val="014171"/>
          <w:lang w:val="de-DE"/>
        </w:rPr>
      </w:pPr>
      <w:r w:rsidRPr="0040745F">
        <w:rPr>
          <w:rFonts w:ascii="Segoe UI" w:hAnsi="Segoe UI" w:cs="Segoe UI"/>
          <w:color w:val="014171"/>
          <w:lang w:val="de-DE"/>
        </w:rPr>
        <w:t>Zu den Faktoren, die die Vergütung bestimmen, gehören die zuständigen Verantwortlichkeiten, die Erfahrung und die Seniorität eines Mitarbeiters. Es ist möglich, dass es auch zu keiner variablen Vergütung kommt. Die Festvergütung wird als hoch genug angesehen, dass die Mitarbeiter ihren Lebensunterhalt bestreiten können.</w:t>
      </w:r>
    </w:p>
    <w:p w14:paraId="70053EB9" w14:textId="77777777" w:rsidR="002B16F5" w:rsidRPr="0040745F" w:rsidRDefault="002B16F5" w:rsidP="002B16F5">
      <w:pPr>
        <w:spacing w:after="0"/>
        <w:jc w:val="both"/>
        <w:rPr>
          <w:rFonts w:ascii="Segoe UI" w:hAnsi="Segoe UI" w:cs="Segoe UI"/>
          <w:color w:val="014171"/>
          <w:lang w:val="de-DE"/>
        </w:rPr>
      </w:pPr>
    </w:p>
    <w:p w14:paraId="1B00351C" w14:textId="7218E4AE" w:rsidR="002B16F5" w:rsidRPr="0040745F" w:rsidRDefault="002B16F5" w:rsidP="002B16F5">
      <w:pPr>
        <w:spacing w:after="0"/>
        <w:jc w:val="both"/>
        <w:rPr>
          <w:rFonts w:ascii="Segoe UI" w:hAnsi="Segoe UI" w:cs="Segoe UI"/>
          <w:color w:val="014171"/>
          <w:lang w:val="de-DE"/>
        </w:rPr>
      </w:pPr>
      <w:r w:rsidRPr="0040745F">
        <w:rPr>
          <w:rFonts w:ascii="Segoe UI" w:hAnsi="Segoe UI" w:cs="Segoe UI"/>
          <w:color w:val="014171"/>
          <w:lang w:val="de-DE"/>
        </w:rPr>
        <w:t>Ein diskretionäres Bonusverfahren wird jährlich gestartet, um gute Leistungen (im finanziellen und nicht finanzielle Sinne) sowie hohe Standards für persönliches und berufliches Verhalten zu belohnen und zu fördern. Alle Mitarbeiter sind Teil dieses Bonusverfahren, es gibt kein separates Verfahren für</w:t>
      </w:r>
      <w:r w:rsidR="00152A96">
        <w:rPr>
          <w:rFonts w:ascii="Segoe UI" w:hAnsi="Segoe UI" w:cs="Segoe UI"/>
          <w:color w:val="014171"/>
          <w:lang w:val="de-DE"/>
        </w:rPr>
        <w:t xml:space="preserve"> die Risikoträger</w:t>
      </w:r>
      <w:r w:rsidRPr="0040745F">
        <w:rPr>
          <w:rFonts w:ascii="Segoe UI" w:hAnsi="Segoe UI" w:cs="Segoe UI"/>
          <w:color w:val="014171"/>
          <w:lang w:val="de-DE"/>
        </w:rPr>
        <w:t xml:space="preserve"> der </w:t>
      </w:r>
      <w:r w:rsidR="00EC1917">
        <w:rPr>
          <w:rFonts w:ascii="Segoe UI" w:hAnsi="Segoe UI" w:cs="Segoe UI"/>
          <w:color w:val="014171"/>
          <w:lang w:val="de-DE"/>
        </w:rPr>
        <w:t>Gesellschaft</w:t>
      </w:r>
      <w:r w:rsidRPr="0040745F">
        <w:rPr>
          <w:rFonts w:ascii="Segoe UI" w:hAnsi="Segoe UI" w:cs="Segoe UI"/>
          <w:color w:val="014171"/>
          <w:lang w:val="de-DE"/>
        </w:rPr>
        <w:t>.</w:t>
      </w:r>
    </w:p>
    <w:p w14:paraId="1E44718D" w14:textId="77777777" w:rsidR="002B16F5" w:rsidRPr="0040745F" w:rsidRDefault="002B16F5" w:rsidP="002B16F5">
      <w:pPr>
        <w:spacing w:after="0"/>
        <w:jc w:val="both"/>
        <w:rPr>
          <w:rFonts w:ascii="Segoe UI" w:hAnsi="Segoe UI" w:cs="Segoe UI"/>
          <w:color w:val="014171"/>
          <w:lang w:val="de-DE"/>
        </w:rPr>
      </w:pPr>
    </w:p>
    <w:p w14:paraId="72022AB1" w14:textId="73CA9A8B" w:rsidR="002B16F5" w:rsidRPr="0040745F" w:rsidRDefault="002B16F5" w:rsidP="002B16F5">
      <w:pPr>
        <w:spacing w:after="0"/>
        <w:jc w:val="both"/>
        <w:rPr>
          <w:rFonts w:ascii="Segoe UI" w:hAnsi="Segoe UI" w:cs="Segoe UI"/>
          <w:color w:val="014171"/>
          <w:lang w:val="de-DE"/>
        </w:rPr>
      </w:pPr>
      <w:r w:rsidRPr="0040745F">
        <w:rPr>
          <w:rFonts w:ascii="Segoe UI" w:hAnsi="Segoe UI" w:cs="Segoe UI"/>
          <w:color w:val="014171"/>
          <w:lang w:val="de-DE"/>
        </w:rPr>
        <w:t>Die Festvergütung besteht aus dem Grundgehalt, Beiträgen zum Pensionsplan von DCMD und „sonstigen Leistungen“. Die Festvergütung wird jährlich anhand allgemeiner Marktbenchmarks überprüft, wobei jede Erhöhun</w:t>
      </w:r>
      <w:r w:rsidR="0047418F">
        <w:rPr>
          <w:rFonts w:ascii="Segoe UI" w:hAnsi="Segoe UI" w:cs="Segoe UI"/>
          <w:color w:val="014171"/>
          <w:lang w:val="de-DE"/>
        </w:rPr>
        <w:t>g ausschließlich im Ermessen der</w:t>
      </w:r>
      <w:r w:rsidRPr="0040745F">
        <w:rPr>
          <w:rFonts w:ascii="Segoe UI" w:hAnsi="Segoe UI" w:cs="Segoe UI"/>
          <w:color w:val="014171"/>
          <w:lang w:val="de-DE"/>
        </w:rPr>
        <w:t xml:space="preserve"> </w:t>
      </w:r>
      <w:r w:rsidR="0047418F">
        <w:rPr>
          <w:rFonts w:ascii="Segoe UI" w:hAnsi="Segoe UI" w:cs="Segoe UI"/>
          <w:color w:val="014171"/>
          <w:lang w:val="de-DE"/>
        </w:rPr>
        <w:t>Gesellschaft</w:t>
      </w:r>
      <w:r w:rsidRPr="0040745F">
        <w:rPr>
          <w:rFonts w:ascii="Segoe UI" w:hAnsi="Segoe UI" w:cs="Segoe UI"/>
          <w:color w:val="014171"/>
          <w:lang w:val="de-DE"/>
        </w:rPr>
        <w:t xml:space="preserve"> liegt. Die </w:t>
      </w:r>
      <w:r w:rsidRPr="0040745F">
        <w:rPr>
          <w:rFonts w:ascii="Segoe UI" w:hAnsi="Segoe UI" w:cs="Segoe UI"/>
          <w:color w:val="014171"/>
          <w:lang w:val="de-DE"/>
        </w:rPr>
        <w:lastRenderedPageBreak/>
        <w:t xml:space="preserve">Basisvergütung ist auf ein angemessenes Niveau festgelegt, um eine vollständig flexible Politik in Bezug auf die Gewährung eines möglichen Bonus zu ermöglichen. Die Festvergütung ist ein durch zwölf geteiltes Jahresgehalt, das monatlich ausgezahlt wird. Zusätzlich zahlt DCMD monatlich einen Betrag in Höhe von 3,5% des Bruttogehalts (max. 500,00 EUR) in einen Pensionsfonds für Banken und Finanzdienstleister (BVV Versicherungsverein des Bankgewerbes, „BVV“) ein. Die Höhe dieser Gehaltsbestandteile wurde im Voraus festgelegt und ihre Bedingungen wurden allen Mitarbeitern kommuniziert. Darüber hinaus ist die Gewährung solcher Zuwendungen und deren Höhe transparent und kann von der </w:t>
      </w:r>
      <w:r w:rsidR="00EC1917">
        <w:rPr>
          <w:rFonts w:ascii="Segoe UI" w:hAnsi="Segoe UI" w:cs="Segoe UI"/>
          <w:color w:val="014171"/>
          <w:lang w:val="de-DE"/>
        </w:rPr>
        <w:t>Gesellschaft</w:t>
      </w:r>
      <w:r w:rsidRPr="0040745F">
        <w:rPr>
          <w:rFonts w:ascii="Segoe UI" w:hAnsi="Segoe UI" w:cs="Segoe UI"/>
          <w:color w:val="014171"/>
          <w:lang w:val="de-DE"/>
        </w:rPr>
        <w:t xml:space="preserve"> nicht einseitig geändert werden. Diese Zuwendungen sind weder erfolgsabhängig noch an </w:t>
      </w:r>
      <w:r w:rsidR="0047418F">
        <w:rPr>
          <w:rFonts w:ascii="Segoe UI" w:hAnsi="Segoe UI" w:cs="Segoe UI"/>
          <w:color w:val="014171"/>
          <w:lang w:val="de-DE"/>
        </w:rPr>
        <w:t>andere Bedingungen geknüpft. Die</w:t>
      </w:r>
      <w:r w:rsidRPr="0040745F">
        <w:rPr>
          <w:rFonts w:ascii="Segoe UI" w:hAnsi="Segoe UI" w:cs="Segoe UI"/>
          <w:color w:val="014171"/>
          <w:lang w:val="de-DE"/>
        </w:rPr>
        <w:t xml:space="preserve"> </w:t>
      </w:r>
      <w:r w:rsidR="0047418F">
        <w:rPr>
          <w:rFonts w:ascii="Segoe UI" w:hAnsi="Segoe UI" w:cs="Segoe UI"/>
          <w:color w:val="014171"/>
          <w:lang w:val="de-DE"/>
        </w:rPr>
        <w:t>Gesellschaft</w:t>
      </w:r>
      <w:r w:rsidRPr="0040745F">
        <w:rPr>
          <w:rFonts w:ascii="Segoe UI" w:hAnsi="Segoe UI" w:cs="Segoe UI"/>
          <w:color w:val="014171"/>
          <w:lang w:val="de-DE"/>
        </w:rPr>
        <w:t xml:space="preserve"> bietet Mitarbeitern keine zusätzlichen freiwilligen Vorruhestandsleistungen.</w:t>
      </w:r>
    </w:p>
    <w:p w14:paraId="4E1D190A" w14:textId="77777777" w:rsidR="002B16F5" w:rsidRPr="0040745F" w:rsidRDefault="002B16F5" w:rsidP="002B16F5">
      <w:pPr>
        <w:spacing w:after="0"/>
        <w:jc w:val="both"/>
        <w:rPr>
          <w:rFonts w:ascii="Segoe UI" w:hAnsi="Segoe UI" w:cs="Segoe UI"/>
          <w:color w:val="014171"/>
          <w:lang w:val="de-DE"/>
        </w:rPr>
      </w:pPr>
    </w:p>
    <w:p w14:paraId="582CB8FE" w14:textId="09EEA311" w:rsidR="002B16F5" w:rsidRPr="0040745F" w:rsidRDefault="002B16F5" w:rsidP="002B16F5">
      <w:pPr>
        <w:spacing w:after="0"/>
        <w:jc w:val="both"/>
        <w:rPr>
          <w:rFonts w:ascii="Segoe UI" w:hAnsi="Segoe UI" w:cs="Segoe UI"/>
          <w:color w:val="014171"/>
          <w:lang w:val="de-DE"/>
        </w:rPr>
      </w:pPr>
      <w:r w:rsidRPr="0040745F">
        <w:rPr>
          <w:rFonts w:ascii="Segoe UI" w:hAnsi="Segoe UI" w:cs="Segoe UI"/>
          <w:color w:val="014171"/>
          <w:lang w:val="de-DE"/>
        </w:rPr>
        <w:t xml:space="preserve">Die variable Vergütung wird auf der Grundlage eines mehrjährigen Leistungsbeurteilungsrahmens in der Vergütungsrichtlinie von DCMD festgelegt. DCMD unternimmt Anstrengungen, um sicherzustellen, dass die variable Vergütung von „Delegierten“ mit den Bestimmungen </w:t>
      </w:r>
      <w:r w:rsidRPr="00152A96">
        <w:rPr>
          <w:rFonts w:ascii="Segoe UI" w:hAnsi="Segoe UI" w:cs="Segoe UI"/>
          <w:color w:val="014171"/>
          <w:lang w:val="de-DE"/>
        </w:rPr>
        <w:t>der alten IVV 3.0</w:t>
      </w:r>
      <w:r w:rsidRPr="0040745F">
        <w:rPr>
          <w:rFonts w:ascii="Segoe UI" w:hAnsi="Segoe UI" w:cs="Segoe UI"/>
          <w:color w:val="014171"/>
          <w:lang w:val="de-DE"/>
        </w:rPr>
        <w:t xml:space="preserve"> und den EBA-Richtlinien zur Vergütung in Einklang steht, wie sie in dieser Vergütungsrichtlinie zum Ausdruck kommen. Gleichwohl ist zu beachten, dass DCMD eine „Aktienkomponente“ oder ähnliches als variablen Vergütungsbestandteil für erst dann einführen wird, wenn die BaFin die endgültige WVV in Kraft gesetzt hat. DCMD ist sich bewusst, dass zukünftige Vergütungsrichtlinien eine solche „Aktienkomponente“ enthalten werden, da dies eine formale Anforderung ist, die DCMD auf der Grundlage der externen BaFin-Regeln befolgen wird.</w:t>
      </w:r>
    </w:p>
    <w:p w14:paraId="22F27169" w14:textId="77777777" w:rsidR="002B16F5" w:rsidRPr="0040745F" w:rsidRDefault="002B16F5" w:rsidP="002B16F5">
      <w:pPr>
        <w:spacing w:after="0"/>
        <w:jc w:val="both"/>
        <w:rPr>
          <w:rFonts w:ascii="Segoe UI" w:hAnsi="Segoe UI" w:cs="Segoe UI"/>
          <w:color w:val="014171"/>
          <w:lang w:val="de-DE"/>
        </w:rPr>
      </w:pPr>
    </w:p>
    <w:p w14:paraId="46C1C94E" w14:textId="69505E29" w:rsidR="002B16F5" w:rsidRPr="0040745F" w:rsidRDefault="002B16F5" w:rsidP="002B16F5">
      <w:pPr>
        <w:spacing w:after="0"/>
        <w:jc w:val="both"/>
        <w:rPr>
          <w:rFonts w:ascii="Segoe UI" w:hAnsi="Segoe UI" w:cs="Segoe UI"/>
          <w:color w:val="014171"/>
          <w:lang w:val="de-DE"/>
        </w:rPr>
      </w:pPr>
      <w:r w:rsidRPr="0040745F">
        <w:rPr>
          <w:rFonts w:ascii="Segoe UI" w:hAnsi="Segoe UI" w:cs="Segoe UI"/>
          <w:color w:val="014171"/>
          <w:lang w:val="de-DE"/>
        </w:rPr>
        <w:t>Die variable Vergütung wird nach eigenem Ermessen und ohne Garantie auf der Grundlage der folgenden Ziele und Leistungsindikatoren gezahlt:</w:t>
      </w:r>
    </w:p>
    <w:p w14:paraId="4B392FBF" w14:textId="77777777" w:rsidR="002B16F5" w:rsidRPr="0040745F" w:rsidRDefault="002B16F5" w:rsidP="002B16F5">
      <w:pPr>
        <w:spacing w:after="0"/>
        <w:jc w:val="both"/>
        <w:rPr>
          <w:rFonts w:ascii="Segoe UI" w:hAnsi="Segoe UI" w:cs="Segoe UI"/>
          <w:color w:val="014171"/>
          <w:lang w:val="de-DE"/>
        </w:rPr>
      </w:pPr>
    </w:p>
    <w:p w14:paraId="135497CB" w14:textId="40F3CFC2" w:rsidR="002B16F5" w:rsidRPr="0040745F" w:rsidRDefault="002B16F5" w:rsidP="002B16F5">
      <w:pPr>
        <w:spacing w:after="0"/>
        <w:jc w:val="both"/>
        <w:rPr>
          <w:rFonts w:ascii="Segoe UI" w:hAnsi="Segoe UI" w:cs="Segoe UI"/>
          <w:color w:val="014171"/>
          <w:lang w:val="de-DE"/>
        </w:rPr>
      </w:pPr>
      <w:r w:rsidRPr="0040745F">
        <w:rPr>
          <w:rFonts w:ascii="Segoe UI" w:hAnsi="Segoe UI" w:cs="Segoe UI"/>
          <w:color w:val="014171"/>
          <w:lang w:val="de-DE"/>
        </w:rPr>
        <w:t>Die Summe der variablen Vergütungen für Fr</w:t>
      </w:r>
      <w:r w:rsidR="006130E5" w:rsidRPr="0040745F">
        <w:rPr>
          <w:rFonts w:ascii="Segoe UI" w:hAnsi="Segoe UI" w:cs="Segoe UI"/>
          <w:color w:val="014171"/>
          <w:lang w:val="de-DE"/>
        </w:rPr>
        <w:t>ont-Office-Mitarbeiter darf 100</w:t>
      </w:r>
      <w:r w:rsidRPr="0040745F">
        <w:rPr>
          <w:rFonts w:ascii="Segoe UI" w:hAnsi="Segoe UI" w:cs="Segoe UI"/>
          <w:color w:val="014171"/>
          <w:lang w:val="de-DE"/>
        </w:rPr>
        <w:t xml:space="preserve">% der Fixvergütung nicht übersteigen, es sei denn DCMD hat die Grenze für die variable Vergütung der </w:t>
      </w:r>
      <w:r w:rsidR="00D947BB">
        <w:rPr>
          <w:rFonts w:ascii="Segoe UI" w:hAnsi="Segoe UI" w:cs="Segoe UI"/>
          <w:color w:val="014171"/>
          <w:lang w:val="de-DE"/>
        </w:rPr>
        <w:t>Handel- und Verkaufs</w:t>
      </w:r>
      <w:r w:rsidRPr="0040745F">
        <w:rPr>
          <w:rFonts w:ascii="Segoe UI" w:hAnsi="Segoe UI" w:cs="Segoe UI"/>
          <w:color w:val="014171"/>
          <w:lang w:val="de-DE"/>
        </w:rPr>
        <w:t>-Mitarbeiter gemäß § 6 Abs</w:t>
      </w:r>
      <w:r w:rsidRPr="00D947BB">
        <w:rPr>
          <w:rFonts w:ascii="Segoe UI" w:hAnsi="Segoe UI" w:cs="Segoe UI"/>
          <w:color w:val="014171"/>
          <w:lang w:val="de-DE"/>
        </w:rPr>
        <w:t>. 2 alte IVV 3.0 in Verbindung</w:t>
      </w:r>
      <w:r w:rsidRPr="0040745F">
        <w:rPr>
          <w:rFonts w:ascii="Segoe UI" w:hAnsi="Segoe UI" w:cs="Segoe UI"/>
          <w:color w:val="014171"/>
          <w:lang w:val="de-DE"/>
        </w:rPr>
        <w:t xml:space="preserve"> mit § 25a </w:t>
      </w:r>
      <w:r w:rsidR="00CA6DE8">
        <w:rPr>
          <w:rFonts w:ascii="Segoe UI" w:hAnsi="Segoe UI" w:cs="Segoe UI"/>
          <w:color w:val="014171"/>
          <w:lang w:val="de-DE"/>
        </w:rPr>
        <w:t xml:space="preserve">Abs. </w:t>
      </w:r>
      <w:r w:rsidRPr="0040745F">
        <w:rPr>
          <w:rFonts w:ascii="Segoe UI" w:hAnsi="Segoe UI" w:cs="Segoe UI"/>
          <w:color w:val="014171"/>
          <w:lang w:val="de-DE"/>
        </w:rPr>
        <w:t>5 S</w:t>
      </w:r>
      <w:r w:rsidR="00CA6DE8">
        <w:rPr>
          <w:rFonts w:ascii="Segoe UI" w:hAnsi="Segoe UI" w:cs="Segoe UI"/>
          <w:color w:val="014171"/>
          <w:lang w:val="de-DE"/>
        </w:rPr>
        <w:t>.</w:t>
      </w:r>
      <w:r w:rsidRPr="0040745F">
        <w:rPr>
          <w:rFonts w:ascii="Segoe UI" w:hAnsi="Segoe UI" w:cs="Segoe UI"/>
          <w:color w:val="014171"/>
          <w:lang w:val="de-DE"/>
        </w:rPr>
        <w:t xml:space="preserve"> 5-9 KWG</w:t>
      </w:r>
      <w:r w:rsidR="00CA6DE8">
        <w:rPr>
          <w:rFonts w:ascii="Segoe UI" w:hAnsi="Segoe UI" w:cs="Segoe UI"/>
          <w:color w:val="014171"/>
          <w:lang w:val="de-DE"/>
        </w:rPr>
        <w:t xml:space="preserve"> </w:t>
      </w:r>
      <w:r w:rsidR="00CA6DE8" w:rsidRPr="0040745F">
        <w:rPr>
          <w:rFonts w:ascii="Segoe UI" w:hAnsi="Segoe UI" w:cs="Segoe UI"/>
          <w:color w:val="014171"/>
          <w:lang w:val="de-DE"/>
        </w:rPr>
        <w:t>angehoben</w:t>
      </w:r>
      <w:r w:rsidRPr="0040745F">
        <w:rPr>
          <w:rFonts w:ascii="Segoe UI" w:hAnsi="Segoe UI" w:cs="Segoe UI"/>
          <w:color w:val="014171"/>
          <w:lang w:val="de-DE"/>
        </w:rPr>
        <w:t>. Hierzu bedarf es der internen Genehmigung der Anteilseigner. Unter keinen Umständen darf die variable Gesamtvergütung</w:t>
      </w:r>
      <w:r w:rsidR="006130E5" w:rsidRPr="0040745F">
        <w:rPr>
          <w:rFonts w:ascii="Segoe UI" w:hAnsi="Segoe UI" w:cs="Segoe UI"/>
          <w:color w:val="014171"/>
          <w:lang w:val="de-DE"/>
        </w:rPr>
        <w:t xml:space="preserve"> die gesetzliche Grenze von 200</w:t>
      </w:r>
      <w:r w:rsidRPr="0040745F">
        <w:rPr>
          <w:rFonts w:ascii="Segoe UI" w:hAnsi="Segoe UI" w:cs="Segoe UI"/>
          <w:color w:val="014171"/>
          <w:lang w:val="de-DE"/>
        </w:rPr>
        <w:t>% der Festvergütung überschreiten.</w:t>
      </w:r>
    </w:p>
    <w:p w14:paraId="796A7CA6" w14:textId="77777777" w:rsidR="002B16F5" w:rsidRPr="0040745F" w:rsidRDefault="002B16F5" w:rsidP="002B16F5">
      <w:pPr>
        <w:spacing w:after="0"/>
        <w:jc w:val="both"/>
        <w:rPr>
          <w:rFonts w:ascii="Segoe UI" w:hAnsi="Segoe UI" w:cs="Segoe UI"/>
          <w:color w:val="014171"/>
          <w:lang w:val="de-DE"/>
        </w:rPr>
      </w:pPr>
    </w:p>
    <w:p w14:paraId="2F501426" w14:textId="0A6121BE" w:rsidR="002B16F5" w:rsidRPr="0040745F" w:rsidRDefault="002B16F5" w:rsidP="002B16F5">
      <w:pPr>
        <w:spacing w:after="0"/>
        <w:jc w:val="both"/>
        <w:rPr>
          <w:rFonts w:ascii="Segoe UI" w:hAnsi="Segoe UI" w:cs="Segoe UI"/>
          <w:color w:val="014171"/>
          <w:lang w:val="de-DE"/>
        </w:rPr>
      </w:pPr>
      <w:r w:rsidRPr="0040745F">
        <w:rPr>
          <w:rFonts w:ascii="Segoe UI" w:hAnsi="Segoe UI" w:cs="Segoe UI"/>
          <w:color w:val="014171"/>
          <w:lang w:val="de-DE"/>
        </w:rPr>
        <w:t xml:space="preserve">Die gesamte variable Vergütung für das Personal des </w:t>
      </w:r>
      <w:r w:rsidR="00B90DE2">
        <w:rPr>
          <w:rFonts w:ascii="Segoe UI" w:hAnsi="Segoe UI" w:cs="Segoe UI"/>
          <w:color w:val="014171"/>
          <w:lang w:val="de-DE"/>
        </w:rPr>
        <w:t xml:space="preserve">Bereiches Marktfolge </w:t>
      </w:r>
      <w:r w:rsidRPr="0040745F">
        <w:rPr>
          <w:rFonts w:ascii="Segoe UI" w:hAnsi="Segoe UI" w:cs="Segoe UI"/>
          <w:color w:val="014171"/>
          <w:lang w:val="de-DE"/>
        </w:rPr>
        <w:t>(einschließlich</w:t>
      </w:r>
      <w:r w:rsidR="006130E5" w:rsidRPr="0040745F">
        <w:rPr>
          <w:rFonts w:ascii="Segoe UI" w:hAnsi="Segoe UI" w:cs="Segoe UI"/>
          <w:color w:val="014171"/>
          <w:lang w:val="de-DE"/>
        </w:rPr>
        <w:t xml:space="preserve"> der Kontrolleinheiten) darf 50</w:t>
      </w:r>
      <w:r w:rsidRPr="0040745F">
        <w:rPr>
          <w:rFonts w:ascii="Segoe UI" w:hAnsi="Segoe UI" w:cs="Segoe UI"/>
          <w:color w:val="014171"/>
          <w:lang w:val="de-DE"/>
        </w:rPr>
        <w:t xml:space="preserve">% der jährlichen festen Gesamtvergütung nicht übersteigen. Wenn jemand nicht während eines ganzen Geschäftsjahres bei der </w:t>
      </w:r>
      <w:r w:rsidR="00EC1917">
        <w:rPr>
          <w:rFonts w:ascii="Segoe UI" w:hAnsi="Segoe UI" w:cs="Segoe UI"/>
          <w:color w:val="014171"/>
          <w:lang w:val="de-DE"/>
        </w:rPr>
        <w:t>Gesellschaft</w:t>
      </w:r>
      <w:r w:rsidRPr="0040745F">
        <w:rPr>
          <w:rFonts w:ascii="Segoe UI" w:hAnsi="Segoe UI" w:cs="Segoe UI"/>
          <w:color w:val="014171"/>
          <w:lang w:val="de-DE"/>
        </w:rPr>
        <w:t xml:space="preserve"> beschäftigt war, wird die variable Vergütung anteilig gezahlt.</w:t>
      </w:r>
    </w:p>
    <w:p w14:paraId="254AF89E" w14:textId="77777777" w:rsidR="002B16F5" w:rsidRPr="0040745F" w:rsidRDefault="002B16F5" w:rsidP="002B16F5">
      <w:pPr>
        <w:spacing w:after="0"/>
        <w:jc w:val="both"/>
        <w:rPr>
          <w:rFonts w:ascii="Segoe UI" w:hAnsi="Segoe UI" w:cs="Segoe UI"/>
          <w:color w:val="014171"/>
          <w:lang w:val="de-DE"/>
        </w:rPr>
      </w:pPr>
    </w:p>
    <w:p w14:paraId="2E21C1A2" w14:textId="12396730" w:rsidR="002B16F5" w:rsidRPr="0040745F" w:rsidRDefault="002B16F5" w:rsidP="002B16F5">
      <w:pPr>
        <w:spacing w:after="0"/>
        <w:jc w:val="both"/>
        <w:rPr>
          <w:rFonts w:ascii="Segoe UI" w:hAnsi="Segoe UI" w:cs="Segoe UI"/>
          <w:color w:val="014171"/>
          <w:lang w:val="de-DE"/>
        </w:rPr>
      </w:pPr>
      <w:r w:rsidRPr="00CF7B36">
        <w:rPr>
          <w:rFonts w:ascii="Segoe UI" w:hAnsi="Segoe UI" w:cs="Segoe UI"/>
          <w:color w:val="014171"/>
          <w:lang w:val="de-DE"/>
        </w:rPr>
        <w:t xml:space="preserve">Unter der derzeitigen Regelung gibt es </w:t>
      </w:r>
      <w:r w:rsidR="00CF7B36">
        <w:rPr>
          <w:rFonts w:ascii="Segoe UI" w:hAnsi="Segoe UI" w:cs="Segoe UI"/>
          <w:color w:val="014171"/>
          <w:lang w:val="de-DE"/>
        </w:rPr>
        <w:t>bei</w:t>
      </w:r>
      <w:r w:rsidRPr="00CF7B36">
        <w:rPr>
          <w:rFonts w:ascii="Segoe UI" w:hAnsi="Segoe UI" w:cs="Segoe UI"/>
          <w:color w:val="014171"/>
          <w:lang w:val="de-DE"/>
        </w:rPr>
        <w:t xml:space="preserve"> DCMD aufgrund </w:t>
      </w:r>
      <w:r w:rsidR="00CF7B36">
        <w:rPr>
          <w:rFonts w:ascii="Segoe UI" w:hAnsi="Segoe UI" w:cs="Segoe UI"/>
          <w:color w:val="014171"/>
          <w:lang w:val="de-DE"/>
        </w:rPr>
        <w:t>der</w:t>
      </w:r>
      <w:r w:rsidRPr="00CF7B36">
        <w:rPr>
          <w:rFonts w:ascii="Segoe UI" w:hAnsi="Segoe UI" w:cs="Segoe UI"/>
          <w:color w:val="014171"/>
          <w:lang w:val="de-DE"/>
        </w:rPr>
        <w:t xml:space="preserve"> Größe keine </w:t>
      </w:r>
      <w:r w:rsidR="00CF7B36" w:rsidRPr="00CF7B36">
        <w:rPr>
          <w:rFonts w:ascii="Segoe UI" w:hAnsi="Segoe UI" w:cs="Segoe UI"/>
          <w:color w:val="014171"/>
          <w:lang w:val="de-DE"/>
        </w:rPr>
        <w:t>ant</w:t>
      </w:r>
      <w:r w:rsidR="00CF7B36">
        <w:rPr>
          <w:rFonts w:ascii="Segoe UI" w:hAnsi="Segoe UI" w:cs="Segoe UI"/>
          <w:color w:val="014171"/>
          <w:lang w:val="de-DE"/>
        </w:rPr>
        <w:t>eilig</w:t>
      </w:r>
      <w:r w:rsidR="00CF7B36" w:rsidRPr="00CF7B36">
        <w:rPr>
          <w:rFonts w:ascii="Segoe UI" w:hAnsi="Segoe UI" w:cs="Segoe UI"/>
          <w:color w:val="014171"/>
          <w:lang w:val="de-DE"/>
        </w:rPr>
        <w:t xml:space="preserve"> abgegrenzte variable Vergütung, welche über mehrere Jahre gezahlt wird.</w:t>
      </w:r>
    </w:p>
    <w:p w14:paraId="49066AF2" w14:textId="77777777" w:rsidR="002B16F5" w:rsidRPr="0040745F" w:rsidRDefault="002B16F5" w:rsidP="002B16F5">
      <w:pPr>
        <w:spacing w:after="0"/>
        <w:jc w:val="both"/>
        <w:rPr>
          <w:rFonts w:ascii="Segoe UI" w:hAnsi="Segoe UI" w:cs="Segoe UI"/>
          <w:color w:val="014171"/>
          <w:lang w:val="de-DE"/>
        </w:rPr>
      </w:pPr>
    </w:p>
    <w:p w14:paraId="600E36CC" w14:textId="646BE1F8" w:rsidR="002B16F5" w:rsidRPr="0040745F" w:rsidRDefault="002B16F5" w:rsidP="002B16F5">
      <w:pPr>
        <w:spacing w:after="0"/>
        <w:jc w:val="both"/>
        <w:rPr>
          <w:rFonts w:ascii="Segoe UI" w:hAnsi="Segoe UI" w:cs="Segoe UI"/>
          <w:color w:val="014171"/>
          <w:lang w:val="de-DE"/>
        </w:rPr>
      </w:pPr>
      <w:r w:rsidRPr="0040745F">
        <w:rPr>
          <w:rFonts w:ascii="Segoe UI" w:hAnsi="Segoe UI" w:cs="Segoe UI"/>
          <w:color w:val="014171"/>
          <w:lang w:val="de-DE"/>
        </w:rPr>
        <w:t>DCMD hat seit seiner Gründung keinen garantierten Bonus oder Einstiegsbonus gezahlt.</w:t>
      </w:r>
    </w:p>
    <w:p w14:paraId="1C590CE0" w14:textId="3163F3C6" w:rsidR="002B16F5" w:rsidRPr="0040745F" w:rsidRDefault="002B16F5" w:rsidP="002B16F5">
      <w:pPr>
        <w:spacing w:after="0"/>
        <w:jc w:val="both"/>
        <w:rPr>
          <w:rFonts w:ascii="Segoe UI" w:hAnsi="Segoe UI" w:cs="Segoe UI"/>
          <w:color w:val="014171"/>
          <w:lang w:val="de-DE"/>
        </w:rPr>
      </w:pPr>
      <w:r w:rsidRPr="0040745F">
        <w:rPr>
          <w:rFonts w:ascii="Segoe UI" w:hAnsi="Segoe UI" w:cs="Segoe UI"/>
          <w:color w:val="014171"/>
          <w:lang w:val="de-DE"/>
        </w:rPr>
        <w:lastRenderedPageBreak/>
        <w:t>Garantierte Boni und/oder Aufkäufe aufgeschobener variabler Vergütung können unter außergewöhnlichen Umständen benutzt werden, um einzelne neue Mitarbeiter durch den Aufkauf von aufgelaufener, aber noch nicht gezahlter variabler Vergütung bei ihrem früheren Arbeitgeber zu gewinnen.</w:t>
      </w:r>
    </w:p>
    <w:p w14:paraId="628BB324" w14:textId="77777777" w:rsidR="002B16F5" w:rsidRPr="0040745F" w:rsidRDefault="002B16F5" w:rsidP="002B16F5">
      <w:pPr>
        <w:spacing w:after="0"/>
        <w:jc w:val="both"/>
        <w:rPr>
          <w:rFonts w:ascii="Segoe UI" w:hAnsi="Segoe UI" w:cs="Segoe UI"/>
          <w:color w:val="014171"/>
          <w:lang w:val="de-DE"/>
        </w:rPr>
      </w:pPr>
    </w:p>
    <w:p w14:paraId="1F4F9BE8" w14:textId="184F32B4" w:rsidR="002B16F5" w:rsidRPr="0040745F" w:rsidRDefault="002B16F5" w:rsidP="002B16F5">
      <w:pPr>
        <w:spacing w:after="0"/>
        <w:jc w:val="both"/>
        <w:rPr>
          <w:rFonts w:ascii="Segoe UI" w:hAnsi="Segoe UI" w:cs="Segoe UI"/>
          <w:color w:val="014171"/>
          <w:lang w:val="de-DE"/>
        </w:rPr>
      </w:pPr>
      <w:r w:rsidRPr="0040745F">
        <w:rPr>
          <w:rFonts w:ascii="Segoe UI" w:hAnsi="Segoe UI" w:cs="Segoe UI"/>
          <w:color w:val="014171"/>
          <w:lang w:val="de-DE"/>
        </w:rPr>
        <w:t xml:space="preserve">Die Vergütungspolitik in </w:t>
      </w:r>
      <w:r w:rsidRPr="006922EE">
        <w:rPr>
          <w:rFonts w:ascii="Segoe UI" w:hAnsi="Segoe UI" w:cs="Segoe UI"/>
          <w:color w:val="014171"/>
          <w:lang w:val="de-DE"/>
        </w:rPr>
        <w:t xml:space="preserve">DCMD wird vom </w:t>
      </w:r>
      <w:r w:rsidR="006922EE" w:rsidRPr="006922EE">
        <w:rPr>
          <w:rFonts w:ascii="Segoe UI" w:hAnsi="Segoe UI" w:cs="Segoe UI"/>
          <w:color w:val="014171"/>
          <w:lang w:val="de-DE"/>
        </w:rPr>
        <w:t>Leiter</w:t>
      </w:r>
      <w:r w:rsidRPr="006922EE">
        <w:rPr>
          <w:rFonts w:ascii="Segoe UI" w:hAnsi="Segoe UI" w:cs="Segoe UI"/>
          <w:color w:val="014171"/>
          <w:lang w:val="de-DE"/>
        </w:rPr>
        <w:t xml:space="preserve"> Compliance überprüft</w:t>
      </w:r>
      <w:r w:rsidRPr="0040745F">
        <w:rPr>
          <w:rFonts w:ascii="Segoe UI" w:hAnsi="Segoe UI" w:cs="Segoe UI"/>
          <w:color w:val="014171"/>
          <w:lang w:val="de-DE"/>
        </w:rPr>
        <w:t>.</w:t>
      </w:r>
    </w:p>
    <w:p w14:paraId="45B5A3E4" w14:textId="77777777" w:rsidR="002B16F5" w:rsidRPr="0040745F" w:rsidRDefault="002B16F5" w:rsidP="002B16F5">
      <w:pPr>
        <w:spacing w:after="0"/>
        <w:jc w:val="both"/>
        <w:rPr>
          <w:rFonts w:ascii="Segoe UI" w:hAnsi="Segoe UI" w:cs="Segoe UI"/>
          <w:color w:val="014171"/>
          <w:lang w:val="de-DE"/>
        </w:rPr>
      </w:pPr>
    </w:p>
    <w:p w14:paraId="27F99B0E" w14:textId="470B71A3" w:rsidR="00C81EA2" w:rsidRPr="0040745F" w:rsidRDefault="00CF7B36" w:rsidP="00CE319F">
      <w:pPr>
        <w:spacing w:after="0"/>
        <w:jc w:val="both"/>
        <w:rPr>
          <w:rFonts w:ascii="Segoe UI" w:hAnsi="Segoe UI" w:cs="Segoe UI"/>
          <w:color w:val="014171"/>
          <w:lang w:val="de-DE"/>
        </w:rPr>
      </w:pPr>
      <w:r>
        <w:rPr>
          <w:rFonts w:ascii="Segoe UI" w:hAnsi="Segoe UI" w:cs="Segoe UI"/>
          <w:color w:val="014171"/>
          <w:lang w:val="de-DE"/>
        </w:rPr>
        <w:t>Die Geschäftsführung</w:t>
      </w:r>
      <w:r w:rsidR="002B16F5" w:rsidRPr="0040745F">
        <w:rPr>
          <w:rFonts w:ascii="Segoe UI" w:hAnsi="Segoe UI" w:cs="Segoe UI"/>
          <w:color w:val="014171"/>
          <w:lang w:val="de-DE"/>
        </w:rPr>
        <w:t xml:space="preserve"> ist für die Überprüfung der Vergütungsvorschläge (fest und variabel) verantwortlich. DCMD nutzt wie erwähnt den Vergütungsausschuss der Muttergesellschaft in London, um die Übereinstimmung mit internen und externen Richtlinien sowie innerhalb der Daiwa-Gruppe sicherzustellen.</w:t>
      </w:r>
    </w:p>
    <w:p w14:paraId="50FEF9E2" w14:textId="041106DC" w:rsidR="00C81EA2" w:rsidRPr="0040745F" w:rsidRDefault="00C81EA2" w:rsidP="00CE319F">
      <w:pPr>
        <w:spacing w:after="0"/>
        <w:jc w:val="both"/>
        <w:rPr>
          <w:rFonts w:ascii="Segoe UI" w:hAnsi="Segoe UI" w:cs="Segoe UI"/>
          <w:color w:val="014171"/>
          <w:lang w:val="de-DE"/>
        </w:rPr>
      </w:pPr>
    </w:p>
    <w:p w14:paraId="0A118BEE" w14:textId="71B93AEF" w:rsidR="00C81EA2" w:rsidRPr="0040745F" w:rsidRDefault="002B16F5" w:rsidP="006420E8">
      <w:pPr>
        <w:pStyle w:val="Heading2"/>
        <w:rPr>
          <w:lang w:val="de-DE"/>
        </w:rPr>
      </w:pPr>
      <w:bookmarkStart w:id="99" w:name="_Toc102121173"/>
      <w:bookmarkStart w:id="100" w:name="_Toc123138033"/>
      <w:r w:rsidRPr="0040745F">
        <w:rPr>
          <w:lang w:val="de-DE"/>
        </w:rPr>
        <w:t>Zusammenhang zwischen Bezahlung und Leistung</w:t>
      </w:r>
      <w:bookmarkEnd w:id="99"/>
      <w:bookmarkEnd w:id="100"/>
    </w:p>
    <w:p w14:paraId="39EA3561" w14:textId="1C7D6017" w:rsidR="00C81EA2" w:rsidRPr="0040745F" w:rsidRDefault="002B16F5" w:rsidP="006420E8">
      <w:pPr>
        <w:spacing w:after="0"/>
        <w:jc w:val="both"/>
        <w:rPr>
          <w:rFonts w:ascii="Segoe UI" w:hAnsi="Segoe UI" w:cs="Segoe UI"/>
          <w:color w:val="014171"/>
          <w:lang w:val="de-DE"/>
        </w:rPr>
      </w:pPr>
      <w:r w:rsidRPr="0040745F">
        <w:rPr>
          <w:rFonts w:ascii="Segoe UI" w:hAnsi="Segoe UI" w:cs="Segoe UI"/>
          <w:color w:val="014171"/>
          <w:lang w:val="de-DE"/>
        </w:rPr>
        <w:t>Bei der Berechnung der Bonuspools berücksichtigt DCMD die Entwick</w:t>
      </w:r>
      <w:r w:rsidR="0047418F">
        <w:rPr>
          <w:rFonts w:ascii="Segoe UI" w:hAnsi="Segoe UI" w:cs="Segoe UI"/>
          <w:color w:val="014171"/>
          <w:lang w:val="de-DE"/>
        </w:rPr>
        <w:t>lung der</w:t>
      </w:r>
      <w:r w:rsidRPr="0040745F">
        <w:rPr>
          <w:rFonts w:ascii="Segoe UI" w:hAnsi="Segoe UI" w:cs="Segoe UI"/>
          <w:color w:val="014171"/>
          <w:lang w:val="de-DE"/>
        </w:rPr>
        <w:t xml:space="preserve"> </w:t>
      </w:r>
      <w:r w:rsidR="0047418F">
        <w:rPr>
          <w:rFonts w:ascii="Segoe UI" w:hAnsi="Segoe UI" w:cs="Segoe UI"/>
          <w:color w:val="014171"/>
          <w:lang w:val="de-DE"/>
        </w:rPr>
        <w:t>Gesellschaft</w:t>
      </w:r>
      <w:r w:rsidRPr="0040745F">
        <w:rPr>
          <w:rFonts w:ascii="Segoe UI" w:hAnsi="Segoe UI" w:cs="Segoe UI"/>
          <w:color w:val="014171"/>
          <w:lang w:val="de-DE"/>
        </w:rPr>
        <w:t xml:space="preserve"> im Einklang mit der allgemeinen Geschäftsstrategie sowie die Leistung jeder einzelnen Geschäftseinheit.</w:t>
      </w:r>
    </w:p>
    <w:p w14:paraId="5049550E" w14:textId="77777777" w:rsidR="002B16F5" w:rsidRPr="0040745F" w:rsidRDefault="002B16F5" w:rsidP="006420E8">
      <w:pPr>
        <w:spacing w:after="0"/>
        <w:jc w:val="both"/>
        <w:rPr>
          <w:rFonts w:ascii="Segoe UI" w:hAnsi="Segoe UI" w:cs="Segoe UI"/>
          <w:color w:val="014171"/>
          <w:lang w:val="de-DE"/>
        </w:rPr>
      </w:pPr>
    </w:p>
    <w:p w14:paraId="08988CC4" w14:textId="0C5F59AF" w:rsidR="00FA3EAE" w:rsidRPr="0040745F" w:rsidRDefault="002B16F5" w:rsidP="006420E8">
      <w:pPr>
        <w:spacing w:after="0"/>
        <w:jc w:val="both"/>
        <w:rPr>
          <w:rFonts w:ascii="Segoe UI" w:hAnsi="Segoe UI" w:cs="Segoe UI"/>
          <w:color w:val="014171"/>
          <w:lang w:val="de-DE"/>
        </w:rPr>
      </w:pPr>
      <w:r w:rsidRPr="0040745F">
        <w:rPr>
          <w:rFonts w:ascii="Segoe UI" w:hAnsi="Segoe UI" w:cs="Segoe UI"/>
          <w:color w:val="014171"/>
          <w:lang w:val="de-DE"/>
        </w:rPr>
        <w:t xml:space="preserve">Die Bonuspools für </w:t>
      </w:r>
      <w:r w:rsidR="00BB4C7F">
        <w:rPr>
          <w:rFonts w:ascii="Segoe UI" w:hAnsi="Segoe UI" w:cs="Segoe UI"/>
          <w:color w:val="014171"/>
          <w:lang w:val="de-DE"/>
        </w:rPr>
        <w:t>den Bereich Handel / Verkauf</w:t>
      </w:r>
      <w:r w:rsidRPr="0040745F">
        <w:rPr>
          <w:rFonts w:ascii="Segoe UI" w:hAnsi="Segoe UI" w:cs="Segoe UI"/>
          <w:color w:val="014171"/>
          <w:lang w:val="de-DE"/>
        </w:rPr>
        <w:t xml:space="preserve"> werden hauptsächlich auf der Grundlage ihrer finanziellen Leistung berechnet. Die Pools für </w:t>
      </w:r>
      <w:r w:rsidR="00BB4C7F">
        <w:rPr>
          <w:rFonts w:ascii="Segoe UI" w:hAnsi="Segoe UI" w:cs="Segoe UI"/>
          <w:color w:val="014171"/>
          <w:lang w:val="de-DE"/>
        </w:rPr>
        <w:t xml:space="preserve">die </w:t>
      </w:r>
      <w:r w:rsidRPr="0040745F">
        <w:rPr>
          <w:rFonts w:ascii="Segoe UI" w:hAnsi="Segoe UI" w:cs="Segoe UI"/>
          <w:color w:val="014171"/>
          <w:lang w:val="de-DE"/>
        </w:rPr>
        <w:t>Kontrollfunktionen werden separat berechnet, um sicherzustellen, dass ihre Vergütung unabhängig von den von ihnen kontrollierten Geschäftseinheiten ist. Die Leistung der einzelnen Mitarbeiter wird anhand finanzieller und nichtfinanzieller Faktoren gemessen und durch den jährlichen Leistungsbeurteilungsprozess unterstützt. Die Bandbreite der Kriterien, anhand derer die Boni ermittelt werden, variiert zwischen den einzelnen Geschäftsbereichen.</w:t>
      </w:r>
    </w:p>
    <w:p w14:paraId="4AAB0421" w14:textId="78D4A542" w:rsidR="00F922F1" w:rsidRDefault="00F922F1" w:rsidP="006420E8">
      <w:pPr>
        <w:spacing w:after="0"/>
        <w:jc w:val="both"/>
        <w:rPr>
          <w:rFonts w:ascii="Segoe UI" w:hAnsi="Segoe UI" w:cs="Segoe UI"/>
          <w:color w:val="014171"/>
          <w:lang w:val="de-DE"/>
        </w:rPr>
      </w:pPr>
      <w:r>
        <w:rPr>
          <w:rFonts w:ascii="Segoe UI" w:hAnsi="Segoe UI" w:cs="Segoe UI"/>
          <w:color w:val="014171"/>
          <w:lang w:val="de-DE"/>
        </w:rPr>
        <w:br w:type="page"/>
      </w:r>
    </w:p>
    <w:p w14:paraId="6AE61034" w14:textId="28D00ED9" w:rsidR="00C81EA2" w:rsidRPr="0040745F" w:rsidRDefault="002B16F5" w:rsidP="006420E8">
      <w:pPr>
        <w:pStyle w:val="Heading2"/>
        <w:rPr>
          <w:lang w:val="de-DE"/>
        </w:rPr>
      </w:pPr>
      <w:bookmarkStart w:id="101" w:name="_Toc123132049"/>
      <w:bookmarkStart w:id="102" w:name="_Toc102121175"/>
      <w:bookmarkStart w:id="103" w:name="_Toc123138034"/>
      <w:bookmarkEnd w:id="101"/>
      <w:r w:rsidRPr="0040745F">
        <w:rPr>
          <w:lang w:val="de-DE"/>
        </w:rPr>
        <w:lastRenderedPageBreak/>
        <w:t>Zusammengefasste Vergütungsinformationen</w:t>
      </w:r>
      <w:bookmarkEnd w:id="88"/>
      <w:bookmarkEnd w:id="89"/>
      <w:bookmarkEnd w:id="90"/>
      <w:bookmarkEnd w:id="91"/>
      <w:bookmarkEnd w:id="102"/>
      <w:bookmarkEnd w:id="103"/>
    </w:p>
    <w:p w14:paraId="2869C722" w14:textId="506F8BC6" w:rsidR="002B16F5" w:rsidRPr="0040745F" w:rsidRDefault="002B16F5" w:rsidP="00A02BEA">
      <w:pPr>
        <w:spacing w:after="0"/>
        <w:jc w:val="both"/>
        <w:rPr>
          <w:rFonts w:ascii="Segoe UI" w:hAnsi="Segoe UI" w:cs="Segoe UI"/>
          <w:color w:val="014171"/>
          <w:lang w:val="de-DE"/>
        </w:rPr>
      </w:pPr>
      <w:bookmarkStart w:id="104" w:name="_Toc99436151"/>
      <w:r w:rsidRPr="0040745F">
        <w:rPr>
          <w:rFonts w:ascii="Segoe UI" w:hAnsi="Segoe UI" w:cs="Segoe UI"/>
          <w:color w:val="014171"/>
          <w:lang w:val="de-DE"/>
        </w:rPr>
        <w:t>Zusätzlich zur Beschreibung der Vergütungspolitik von DCMD gemäß Art</w:t>
      </w:r>
      <w:r w:rsidR="00CA6DE8">
        <w:rPr>
          <w:rFonts w:ascii="Segoe UI" w:hAnsi="Segoe UI" w:cs="Segoe UI"/>
          <w:color w:val="014171"/>
          <w:lang w:val="de-DE"/>
        </w:rPr>
        <w:t>.</w:t>
      </w:r>
      <w:r w:rsidRPr="0040745F">
        <w:rPr>
          <w:rFonts w:ascii="Segoe UI" w:hAnsi="Segoe UI" w:cs="Segoe UI"/>
          <w:color w:val="014171"/>
          <w:lang w:val="de-DE"/>
        </w:rPr>
        <w:t xml:space="preserve"> 51 </w:t>
      </w:r>
      <w:r w:rsidR="00CA6DE8">
        <w:rPr>
          <w:rFonts w:ascii="Segoe UI" w:hAnsi="Segoe UI" w:cs="Segoe UI"/>
          <w:color w:val="014171"/>
          <w:lang w:val="de-DE"/>
        </w:rPr>
        <w:t xml:space="preserve">lit. </w:t>
      </w:r>
      <w:r w:rsidRPr="0040745F">
        <w:rPr>
          <w:rFonts w:ascii="Segoe UI" w:hAnsi="Segoe UI" w:cs="Segoe UI"/>
          <w:color w:val="014171"/>
          <w:lang w:val="de-DE"/>
        </w:rPr>
        <w:t>a-b IFR veröffentlicht DCMD die folgenden aggregierten Vergütungsdaten gemäß Art</w:t>
      </w:r>
      <w:r w:rsidR="00CA6DE8">
        <w:rPr>
          <w:rFonts w:ascii="Segoe UI" w:hAnsi="Segoe UI" w:cs="Segoe UI"/>
          <w:color w:val="014171"/>
          <w:lang w:val="de-DE"/>
        </w:rPr>
        <w:t>.</w:t>
      </w:r>
      <w:r w:rsidRPr="0040745F">
        <w:rPr>
          <w:rFonts w:ascii="Segoe UI" w:hAnsi="Segoe UI" w:cs="Segoe UI"/>
          <w:color w:val="014171"/>
          <w:lang w:val="de-DE"/>
        </w:rPr>
        <w:t xml:space="preserve"> 51 </w:t>
      </w:r>
      <w:r w:rsidR="00CA6DE8">
        <w:rPr>
          <w:rFonts w:ascii="Segoe UI" w:hAnsi="Segoe UI" w:cs="Segoe UI"/>
          <w:color w:val="014171"/>
          <w:lang w:val="de-DE"/>
        </w:rPr>
        <w:t xml:space="preserve">lit. </w:t>
      </w:r>
      <w:r w:rsidRPr="0040745F">
        <w:rPr>
          <w:rFonts w:ascii="Segoe UI" w:hAnsi="Segoe UI" w:cs="Segoe UI"/>
          <w:color w:val="014171"/>
          <w:lang w:val="de-DE"/>
        </w:rPr>
        <w:t>c IFR.</w:t>
      </w:r>
    </w:p>
    <w:p w14:paraId="44B48682" w14:textId="77777777" w:rsidR="00716A7E" w:rsidRPr="0040745F" w:rsidRDefault="00716A7E" w:rsidP="00A02BEA">
      <w:pPr>
        <w:spacing w:after="0"/>
        <w:jc w:val="both"/>
        <w:rPr>
          <w:rFonts w:ascii="Segoe UI" w:hAnsi="Segoe UI" w:cs="Segoe UI"/>
          <w:color w:val="014171"/>
          <w:lang w:val="de-DE"/>
        </w:rPr>
      </w:pPr>
    </w:p>
    <w:p w14:paraId="16C7B3F1" w14:textId="733A54F3" w:rsidR="00034E96" w:rsidRPr="0040745F" w:rsidRDefault="00034E96" w:rsidP="00034E96">
      <w:pPr>
        <w:spacing w:after="0"/>
        <w:jc w:val="center"/>
        <w:rPr>
          <w:rFonts w:ascii="Segoe UI" w:hAnsi="Segoe UI" w:cs="Segoe UI"/>
          <w:b/>
          <w:color w:val="014171"/>
          <w:lang w:val="de-DE"/>
        </w:rPr>
      </w:pPr>
      <w:r w:rsidRPr="0040745F">
        <w:rPr>
          <w:rFonts w:ascii="Segoe UI" w:hAnsi="Segoe UI" w:cs="Segoe UI"/>
          <w:b/>
          <w:color w:val="014171"/>
          <w:lang w:val="de-DE"/>
        </w:rPr>
        <w:t>Tab</w:t>
      </w:r>
      <w:r w:rsidR="00A32434" w:rsidRPr="0040745F">
        <w:rPr>
          <w:rFonts w:ascii="Segoe UI" w:hAnsi="Segoe UI" w:cs="Segoe UI"/>
          <w:b/>
          <w:color w:val="014171"/>
          <w:lang w:val="de-DE"/>
        </w:rPr>
        <w:t>elle</w:t>
      </w:r>
      <w:r w:rsidRPr="0040745F">
        <w:rPr>
          <w:rFonts w:ascii="Segoe UI" w:hAnsi="Segoe UI" w:cs="Segoe UI"/>
          <w:b/>
          <w:color w:val="014171"/>
          <w:lang w:val="de-DE"/>
        </w:rPr>
        <w:t xml:space="preserve"> </w:t>
      </w:r>
      <w:r w:rsidR="001142DC" w:rsidRPr="0040745F">
        <w:rPr>
          <w:rFonts w:ascii="Segoe UI" w:hAnsi="Segoe UI" w:cs="Segoe UI"/>
          <w:b/>
          <w:color w:val="014171"/>
          <w:lang w:val="de-DE"/>
        </w:rPr>
        <w:t>5</w:t>
      </w:r>
      <w:r w:rsidRPr="0040745F">
        <w:rPr>
          <w:rFonts w:ascii="Segoe UI" w:hAnsi="Segoe UI" w:cs="Segoe UI"/>
          <w:b/>
          <w:color w:val="014171"/>
          <w:lang w:val="de-DE"/>
        </w:rPr>
        <w:t xml:space="preserve"> – </w:t>
      </w:r>
      <w:r w:rsidR="002B16F5" w:rsidRPr="0040745F">
        <w:rPr>
          <w:rFonts w:ascii="Segoe UI" w:hAnsi="Segoe UI" w:cs="Segoe UI"/>
          <w:b/>
          <w:color w:val="014171"/>
          <w:lang w:val="de-DE"/>
        </w:rPr>
        <w:t>Zusammengefasste Vergütungsinformationen</w:t>
      </w:r>
      <w:r w:rsidR="00DA628A" w:rsidRPr="0040745F">
        <w:rPr>
          <w:rStyle w:val="FootnoteReference"/>
          <w:rFonts w:ascii="Segoe UI" w:hAnsi="Segoe UI" w:cs="Segoe UI"/>
          <w:b/>
          <w:color w:val="014171"/>
          <w:lang w:val="de-DE"/>
        </w:rPr>
        <w:footnoteReference w:id="1"/>
      </w:r>
    </w:p>
    <w:p w14:paraId="2641C7AF" w14:textId="244D3586" w:rsidR="00C81EA2" w:rsidRPr="0040745F" w:rsidRDefault="00180982" w:rsidP="006420E8">
      <w:pPr>
        <w:spacing w:after="0" w:line="240" w:lineRule="auto"/>
        <w:jc w:val="center"/>
        <w:rPr>
          <w:rFonts w:ascii="Segoe UI" w:hAnsi="Segoe UI" w:cs="Segoe UI"/>
          <w:color w:val="014171"/>
          <w:lang w:val="de-DE"/>
        </w:rPr>
      </w:pPr>
      <w:r w:rsidRPr="0040745F">
        <w:rPr>
          <w:rFonts w:ascii="Segoe UI" w:hAnsi="Segoe UI" w:cs="Segoe UI"/>
          <w:color w:val="014171"/>
          <w:lang w:val="de-DE"/>
        </w:rPr>
        <w:t>Geprüfter und genehmigter Jahresabschluss zum 31. März 2022</w:t>
      </w:r>
    </w:p>
    <w:p w14:paraId="5D0F756B" w14:textId="0304AFA1" w:rsidR="00DA628A" w:rsidRPr="0040745F" w:rsidRDefault="00DA628A" w:rsidP="006420E8">
      <w:pPr>
        <w:spacing w:after="0" w:line="240" w:lineRule="auto"/>
        <w:jc w:val="center"/>
        <w:rPr>
          <w:rFonts w:ascii="Segoe UI" w:hAnsi="Segoe UI" w:cs="Segoe UI"/>
          <w:color w:val="014171"/>
          <w:lang w:val="de-DE"/>
        </w:rPr>
      </w:pPr>
    </w:p>
    <w:tbl>
      <w:tblPr>
        <w:tblW w:w="7513" w:type="dxa"/>
        <w:jc w:val="center"/>
        <w:tblLayout w:type="fixed"/>
        <w:tblLook w:val="0000" w:firstRow="0" w:lastRow="0" w:firstColumn="0" w:lastColumn="0" w:noHBand="0" w:noVBand="0"/>
      </w:tblPr>
      <w:tblGrid>
        <w:gridCol w:w="567"/>
        <w:gridCol w:w="5103"/>
        <w:gridCol w:w="1843"/>
      </w:tblGrid>
      <w:tr w:rsidR="00DA628A" w:rsidRPr="0040745F" w14:paraId="60B2AED8" w14:textId="77777777" w:rsidTr="00A02BEA">
        <w:trPr>
          <w:trHeight w:val="148"/>
          <w:jc w:val="center"/>
        </w:trPr>
        <w:tc>
          <w:tcPr>
            <w:tcW w:w="567" w:type="dxa"/>
            <w:tcBorders>
              <w:top w:val="single" w:sz="4" w:space="0" w:color="014171"/>
              <w:bottom w:val="single" w:sz="4" w:space="0" w:color="014171"/>
            </w:tcBorders>
            <w:shd w:val="clear" w:color="auto" w:fill="002060"/>
          </w:tcPr>
          <w:p w14:paraId="641A6D55" w14:textId="77777777" w:rsidR="00DA628A" w:rsidRPr="0040745F" w:rsidRDefault="00DA628A" w:rsidP="00AC51F9">
            <w:pPr>
              <w:autoSpaceDE w:val="0"/>
              <w:autoSpaceDN w:val="0"/>
              <w:adjustRightInd w:val="0"/>
              <w:spacing w:after="0"/>
              <w:jc w:val="both"/>
              <w:rPr>
                <w:rFonts w:ascii="Segoe UI" w:hAnsi="Segoe UI" w:cs="Segoe UI"/>
                <w:b/>
                <w:bCs/>
                <w:color w:val="FFFFFF" w:themeColor="background1"/>
                <w:sz w:val="18"/>
                <w:szCs w:val="18"/>
                <w:lang w:val="de-DE" w:eastAsia="en-GB"/>
              </w:rPr>
            </w:pPr>
          </w:p>
        </w:tc>
        <w:tc>
          <w:tcPr>
            <w:tcW w:w="5103" w:type="dxa"/>
            <w:tcBorders>
              <w:top w:val="single" w:sz="4" w:space="0" w:color="014171"/>
              <w:bottom w:val="single" w:sz="4" w:space="0" w:color="014171"/>
            </w:tcBorders>
            <w:shd w:val="clear" w:color="auto" w:fill="002060"/>
            <w:vAlign w:val="center"/>
          </w:tcPr>
          <w:p w14:paraId="64E15302" w14:textId="1FD9E33E" w:rsidR="00DA628A" w:rsidRPr="0040745F" w:rsidRDefault="00E21185" w:rsidP="00AC51F9">
            <w:pPr>
              <w:autoSpaceDE w:val="0"/>
              <w:autoSpaceDN w:val="0"/>
              <w:adjustRightInd w:val="0"/>
              <w:spacing w:after="0"/>
              <w:jc w:val="both"/>
              <w:rPr>
                <w:rFonts w:ascii="Segoe UI" w:hAnsi="Segoe UI" w:cs="Segoe UI"/>
                <w:b/>
                <w:bCs/>
                <w:color w:val="FFFFFF" w:themeColor="background1"/>
                <w:sz w:val="18"/>
                <w:szCs w:val="18"/>
                <w:lang w:val="de-DE" w:eastAsia="en-GB"/>
              </w:rPr>
            </w:pPr>
            <w:r w:rsidRPr="0040745F">
              <w:rPr>
                <w:rFonts w:ascii="Segoe UI" w:hAnsi="Segoe UI" w:cs="Segoe UI"/>
                <w:b/>
                <w:bCs/>
                <w:color w:val="FFFFFF" w:themeColor="background1"/>
                <w:sz w:val="18"/>
                <w:szCs w:val="18"/>
                <w:lang w:val="de-DE" w:eastAsia="en-GB"/>
              </w:rPr>
              <w:t>Posten</w:t>
            </w:r>
          </w:p>
        </w:tc>
        <w:tc>
          <w:tcPr>
            <w:tcW w:w="1843" w:type="dxa"/>
            <w:tcBorders>
              <w:top w:val="single" w:sz="4" w:space="0" w:color="014171"/>
              <w:bottom w:val="single" w:sz="4" w:space="0" w:color="014171"/>
            </w:tcBorders>
            <w:shd w:val="clear" w:color="auto" w:fill="002060"/>
            <w:vAlign w:val="center"/>
          </w:tcPr>
          <w:p w14:paraId="333A5A9B" w14:textId="74876EB7" w:rsidR="00DA628A" w:rsidRPr="0040745F" w:rsidRDefault="00E21185" w:rsidP="00AC51F9">
            <w:pPr>
              <w:autoSpaceDE w:val="0"/>
              <w:autoSpaceDN w:val="0"/>
              <w:adjustRightInd w:val="0"/>
              <w:spacing w:after="0"/>
              <w:jc w:val="both"/>
              <w:rPr>
                <w:rFonts w:ascii="Segoe UI" w:hAnsi="Segoe UI" w:cs="Segoe UI"/>
                <w:b/>
                <w:bCs/>
                <w:color w:val="FFFFFF" w:themeColor="background1"/>
                <w:sz w:val="18"/>
                <w:szCs w:val="18"/>
                <w:lang w:val="de-DE" w:eastAsia="en-GB"/>
              </w:rPr>
            </w:pPr>
            <w:r w:rsidRPr="0040745F">
              <w:rPr>
                <w:rFonts w:ascii="Segoe UI" w:hAnsi="Segoe UI" w:cs="Segoe UI"/>
                <w:b/>
                <w:bCs/>
                <w:color w:val="FFFFFF" w:themeColor="background1"/>
                <w:sz w:val="18"/>
                <w:szCs w:val="18"/>
                <w:lang w:val="de-DE" w:eastAsia="en-GB"/>
              </w:rPr>
              <w:t xml:space="preserve">Betrag </w:t>
            </w:r>
            <w:r w:rsidR="00604DDF" w:rsidRPr="0040745F">
              <w:rPr>
                <w:rFonts w:ascii="Segoe UI" w:hAnsi="Segoe UI" w:cs="Segoe UI"/>
                <w:b/>
                <w:bCs/>
                <w:color w:val="FFFFFF" w:themeColor="background1"/>
                <w:sz w:val="18"/>
                <w:szCs w:val="18"/>
                <w:lang w:val="de-DE" w:eastAsia="en-GB"/>
              </w:rPr>
              <w:t xml:space="preserve">in </w:t>
            </w:r>
            <w:r w:rsidRPr="0040745F">
              <w:rPr>
                <w:rFonts w:ascii="Segoe UI" w:hAnsi="Segoe UI" w:cs="Segoe UI"/>
                <w:b/>
                <w:bCs/>
                <w:color w:val="FFFFFF" w:themeColor="background1"/>
                <w:sz w:val="18"/>
                <w:szCs w:val="18"/>
                <w:lang w:val="de-DE" w:eastAsia="en-GB"/>
              </w:rPr>
              <w:t>Tsd</w:t>
            </w:r>
            <w:r w:rsidR="00604DDF" w:rsidRPr="0040745F">
              <w:rPr>
                <w:rFonts w:ascii="Segoe UI" w:hAnsi="Segoe UI" w:cs="Segoe UI"/>
                <w:b/>
                <w:bCs/>
                <w:color w:val="FFFFFF" w:themeColor="background1"/>
                <w:sz w:val="18"/>
                <w:szCs w:val="18"/>
                <w:lang w:val="de-DE" w:eastAsia="en-GB"/>
              </w:rPr>
              <w:t xml:space="preserve"> EUR</w:t>
            </w:r>
          </w:p>
        </w:tc>
      </w:tr>
      <w:tr w:rsidR="00A32434" w:rsidRPr="0040745F" w14:paraId="5A5BB9F6" w14:textId="77777777" w:rsidTr="00A02BEA">
        <w:trPr>
          <w:trHeight w:val="142"/>
          <w:jc w:val="center"/>
        </w:trPr>
        <w:tc>
          <w:tcPr>
            <w:tcW w:w="567" w:type="dxa"/>
            <w:tcBorders>
              <w:top w:val="single" w:sz="12" w:space="0" w:color="014171"/>
              <w:bottom w:val="single" w:sz="4" w:space="0" w:color="014171"/>
            </w:tcBorders>
          </w:tcPr>
          <w:p w14:paraId="41EA79B2" w14:textId="77777777" w:rsidR="00A32434" w:rsidRPr="0040745F" w:rsidRDefault="00A32434" w:rsidP="00A32434">
            <w:pPr>
              <w:autoSpaceDE w:val="0"/>
              <w:autoSpaceDN w:val="0"/>
              <w:adjustRightInd w:val="0"/>
              <w:spacing w:after="0"/>
              <w:jc w:val="both"/>
              <w:rPr>
                <w:rFonts w:ascii="Segoe UI" w:hAnsi="Segoe UI" w:cs="Segoe UI"/>
                <w:b/>
                <w:color w:val="014171"/>
                <w:sz w:val="18"/>
                <w:szCs w:val="18"/>
                <w:lang w:val="de-DE" w:eastAsia="en-GB"/>
              </w:rPr>
            </w:pPr>
            <w:r w:rsidRPr="0040745F">
              <w:rPr>
                <w:rFonts w:ascii="Segoe UI" w:hAnsi="Segoe UI" w:cs="Segoe UI"/>
                <w:b/>
                <w:color w:val="014171"/>
                <w:sz w:val="18"/>
                <w:szCs w:val="18"/>
                <w:lang w:val="de-DE" w:eastAsia="en-GB"/>
              </w:rPr>
              <w:t>1</w:t>
            </w:r>
          </w:p>
        </w:tc>
        <w:tc>
          <w:tcPr>
            <w:tcW w:w="5103" w:type="dxa"/>
            <w:tcBorders>
              <w:top w:val="single" w:sz="12" w:space="0" w:color="014171"/>
              <w:bottom w:val="single" w:sz="4" w:space="0" w:color="014171"/>
            </w:tcBorders>
          </w:tcPr>
          <w:p w14:paraId="5B4B8AB6" w14:textId="0AAF677B" w:rsidR="00A32434" w:rsidRPr="0040745F" w:rsidRDefault="00A32434" w:rsidP="00A32434">
            <w:pPr>
              <w:autoSpaceDE w:val="0"/>
              <w:autoSpaceDN w:val="0"/>
              <w:adjustRightInd w:val="0"/>
              <w:spacing w:after="0"/>
              <w:jc w:val="both"/>
              <w:rPr>
                <w:rFonts w:ascii="Segoe UI" w:hAnsi="Segoe UI" w:cs="Segoe UI"/>
                <w:b/>
                <w:color w:val="014171"/>
                <w:sz w:val="18"/>
                <w:szCs w:val="18"/>
                <w:lang w:val="de-DE" w:eastAsia="en-GB"/>
              </w:rPr>
            </w:pPr>
            <w:r w:rsidRPr="0040745F">
              <w:rPr>
                <w:rFonts w:ascii="Segoe UI" w:hAnsi="Segoe UI" w:cs="Segoe UI"/>
                <w:b/>
                <w:color w:val="014171"/>
                <w:sz w:val="18"/>
                <w:szCs w:val="18"/>
                <w:lang w:val="de-DE"/>
              </w:rPr>
              <w:t>Im Geschäftsjahr gewährte Vergütungsbeträge</w:t>
            </w:r>
          </w:p>
        </w:tc>
        <w:tc>
          <w:tcPr>
            <w:tcW w:w="1843" w:type="dxa"/>
            <w:tcBorders>
              <w:top w:val="single" w:sz="12" w:space="0" w:color="014171"/>
              <w:bottom w:val="single" w:sz="4" w:space="0" w:color="014171"/>
            </w:tcBorders>
          </w:tcPr>
          <w:p w14:paraId="7C155B47" w14:textId="78FB8827" w:rsidR="00A32434" w:rsidRPr="0040745F" w:rsidRDefault="00180982" w:rsidP="00A32434">
            <w:pPr>
              <w:autoSpaceDE w:val="0"/>
              <w:autoSpaceDN w:val="0"/>
              <w:adjustRightInd w:val="0"/>
              <w:spacing w:after="0"/>
              <w:jc w:val="right"/>
              <w:rPr>
                <w:rFonts w:ascii="Segoe UI" w:hAnsi="Segoe UI" w:cs="Segoe UI"/>
                <w:b/>
                <w:color w:val="014171"/>
                <w:sz w:val="18"/>
                <w:szCs w:val="18"/>
                <w:lang w:val="de-DE" w:eastAsia="en-GB"/>
              </w:rPr>
            </w:pPr>
            <w:r w:rsidRPr="0040745F">
              <w:rPr>
                <w:rFonts w:ascii="Segoe UI" w:hAnsi="Segoe UI" w:cs="Segoe UI"/>
                <w:b/>
                <w:color w:val="014171"/>
                <w:sz w:val="18"/>
                <w:szCs w:val="18"/>
                <w:lang w:val="de-DE" w:eastAsia="en-GB"/>
              </w:rPr>
              <w:t>2.672</w:t>
            </w:r>
          </w:p>
        </w:tc>
      </w:tr>
      <w:tr w:rsidR="00A32434" w:rsidRPr="0040745F" w14:paraId="7A044732" w14:textId="77777777" w:rsidTr="00A02BEA">
        <w:trPr>
          <w:trHeight w:val="142"/>
          <w:jc w:val="center"/>
        </w:trPr>
        <w:tc>
          <w:tcPr>
            <w:tcW w:w="567" w:type="dxa"/>
            <w:tcBorders>
              <w:top w:val="single" w:sz="4" w:space="0" w:color="014171"/>
              <w:bottom w:val="single" w:sz="4" w:space="0" w:color="014171"/>
            </w:tcBorders>
          </w:tcPr>
          <w:p w14:paraId="0BFA0649" w14:textId="77777777" w:rsidR="00A32434" w:rsidRPr="0040745F" w:rsidRDefault="00A32434" w:rsidP="00A32434">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2</w:t>
            </w:r>
          </w:p>
        </w:tc>
        <w:tc>
          <w:tcPr>
            <w:tcW w:w="5103" w:type="dxa"/>
            <w:tcBorders>
              <w:top w:val="single" w:sz="4" w:space="0" w:color="014171"/>
              <w:bottom w:val="single" w:sz="4" w:space="0" w:color="014171"/>
            </w:tcBorders>
          </w:tcPr>
          <w:p w14:paraId="11CFD1EC" w14:textId="52929426" w:rsidR="00A32434" w:rsidRPr="0040745F" w:rsidRDefault="00A32434" w:rsidP="00A32434">
            <w:pPr>
              <w:autoSpaceDE w:val="0"/>
              <w:autoSpaceDN w:val="0"/>
              <w:adjustRightInd w:val="0"/>
              <w:spacing w:after="0"/>
              <w:ind w:left="113"/>
              <w:jc w:val="both"/>
              <w:rPr>
                <w:rFonts w:ascii="Segoe UI" w:hAnsi="Segoe UI" w:cs="Segoe UI"/>
                <w:color w:val="014171"/>
                <w:sz w:val="18"/>
                <w:szCs w:val="18"/>
                <w:lang w:val="de-DE"/>
              </w:rPr>
            </w:pPr>
            <w:r w:rsidRPr="0040745F">
              <w:rPr>
                <w:rFonts w:ascii="Segoe UI" w:hAnsi="Segoe UI" w:cs="Segoe UI"/>
                <w:color w:val="014171"/>
                <w:sz w:val="18"/>
                <w:szCs w:val="18"/>
                <w:lang w:val="de-DE"/>
              </w:rPr>
              <w:t>davon feste Vergütung (Bargeld und Sachbezüge)</w:t>
            </w:r>
          </w:p>
        </w:tc>
        <w:tc>
          <w:tcPr>
            <w:tcW w:w="1843" w:type="dxa"/>
            <w:tcBorders>
              <w:top w:val="single" w:sz="4" w:space="0" w:color="014171"/>
              <w:bottom w:val="single" w:sz="4" w:space="0" w:color="014171"/>
            </w:tcBorders>
          </w:tcPr>
          <w:p w14:paraId="6CB5156F" w14:textId="5C4A57E2" w:rsidR="00A32434" w:rsidRPr="0040745F" w:rsidRDefault="00A32434" w:rsidP="00A32434">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1.884</w:t>
            </w:r>
          </w:p>
        </w:tc>
      </w:tr>
      <w:tr w:rsidR="00A32434" w:rsidRPr="0040745F" w14:paraId="046A63E3" w14:textId="77777777" w:rsidTr="00A02BEA">
        <w:trPr>
          <w:trHeight w:val="142"/>
          <w:jc w:val="center"/>
        </w:trPr>
        <w:tc>
          <w:tcPr>
            <w:tcW w:w="567" w:type="dxa"/>
            <w:tcBorders>
              <w:top w:val="single" w:sz="4" w:space="0" w:color="014171"/>
              <w:bottom w:val="single" w:sz="4" w:space="0" w:color="014171"/>
            </w:tcBorders>
          </w:tcPr>
          <w:p w14:paraId="112C3D62" w14:textId="77777777" w:rsidR="00A32434" w:rsidRPr="0040745F" w:rsidRDefault="00A32434" w:rsidP="00A32434">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3</w:t>
            </w:r>
          </w:p>
        </w:tc>
        <w:tc>
          <w:tcPr>
            <w:tcW w:w="5103" w:type="dxa"/>
            <w:tcBorders>
              <w:top w:val="single" w:sz="4" w:space="0" w:color="014171"/>
              <w:bottom w:val="single" w:sz="4" w:space="0" w:color="014171"/>
            </w:tcBorders>
          </w:tcPr>
          <w:p w14:paraId="693B8196" w14:textId="2B1A7064" w:rsidR="00A32434" w:rsidRPr="0040745F" w:rsidRDefault="00A32434" w:rsidP="00A32434">
            <w:pPr>
              <w:autoSpaceDE w:val="0"/>
              <w:autoSpaceDN w:val="0"/>
              <w:adjustRightInd w:val="0"/>
              <w:spacing w:after="0"/>
              <w:ind w:left="113"/>
              <w:jc w:val="both"/>
              <w:rPr>
                <w:rFonts w:ascii="Segoe UI" w:hAnsi="Segoe UI" w:cs="Segoe UI"/>
                <w:color w:val="014171"/>
                <w:sz w:val="18"/>
                <w:szCs w:val="18"/>
                <w:lang w:val="de-DE"/>
              </w:rPr>
            </w:pPr>
            <w:r w:rsidRPr="0040745F">
              <w:rPr>
                <w:rFonts w:ascii="Segoe UI" w:hAnsi="Segoe UI" w:cs="Segoe UI"/>
                <w:color w:val="014171"/>
                <w:sz w:val="18"/>
                <w:szCs w:val="18"/>
                <w:lang w:val="de-DE"/>
              </w:rPr>
              <w:t>davon variable Vergütung</w:t>
            </w:r>
          </w:p>
        </w:tc>
        <w:tc>
          <w:tcPr>
            <w:tcW w:w="1843" w:type="dxa"/>
            <w:tcBorders>
              <w:top w:val="single" w:sz="4" w:space="0" w:color="014171"/>
              <w:bottom w:val="single" w:sz="4" w:space="0" w:color="014171"/>
            </w:tcBorders>
          </w:tcPr>
          <w:p w14:paraId="2AE73F0B" w14:textId="30566666" w:rsidR="00A32434" w:rsidRPr="0040745F" w:rsidRDefault="00A32434" w:rsidP="00A32434">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788</w:t>
            </w:r>
          </w:p>
        </w:tc>
      </w:tr>
      <w:tr w:rsidR="00A32434" w:rsidRPr="0040745F" w14:paraId="3B7EEC0A" w14:textId="77777777" w:rsidTr="00A02BEA">
        <w:trPr>
          <w:trHeight w:val="142"/>
          <w:jc w:val="center"/>
        </w:trPr>
        <w:tc>
          <w:tcPr>
            <w:tcW w:w="567" w:type="dxa"/>
            <w:tcBorders>
              <w:top w:val="single" w:sz="4" w:space="0" w:color="014171"/>
              <w:bottom w:val="single" w:sz="4" w:space="0" w:color="014171"/>
            </w:tcBorders>
          </w:tcPr>
          <w:p w14:paraId="0086BB9C" w14:textId="77777777" w:rsidR="00A32434" w:rsidRPr="0040745F" w:rsidRDefault="00A32434" w:rsidP="00A32434">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4</w:t>
            </w:r>
          </w:p>
        </w:tc>
        <w:tc>
          <w:tcPr>
            <w:tcW w:w="5103" w:type="dxa"/>
            <w:tcBorders>
              <w:top w:val="single" w:sz="4" w:space="0" w:color="014171"/>
              <w:bottom w:val="single" w:sz="4" w:space="0" w:color="014171"/>
            </w:tcBorders>
          </w:tcPr>
          <w:p w14:paraId="4BD7EF5E" w14:textId="7DA32820" w:rsidR="00A32434" w:rsidRPr="0040745F" w:rsidRDefault="00A32434" w:rsidP="00A32434">
            <w:pPr>
              <w:autoSpaceDE w:val="0"/>
              <w:autoSpaceDN w:val="0"/>
              <w:adjustRightInd w:val="0"/>
              <w:spacing w:after="0"/>
              <w:ind w:left="113"/>
              <w:jc w:val="both"/>
              <w:rPr>
                <w:rFonts w:ascii="Segoe UI" w:hAnsi="Segoe UI" w:cs="Segoe UI"/>
                <w:color w:val="014171"/>
                <w:sz w:val="18"/>
                <w:szCs w:val="18"/>
                <w:lang w:val="de-DE"/>
              </w:rPr>
            </w:pPr>
            <w:r w:rsidRPr="0040745F">
              <w:rPr>
                <w:rFonts w:ascii="Segoe UI" w:hAnsi="Segoe UI" w:cs="Segoe UI"/>
                <w:color w:val="014171"/>
                <w:sz w:val="18"/>
                <w:szCs w:val="18"/>
                <w:lang w:val="de-DE"/>
              </w:rPr>
              <w:t>Zahl der Begünstigten</w:t>
            </w:r>
          </w:p>
        </w:tc>
        <w:tc>
          <w:tcPr>
            <w:tcW w:w="1843" w:type="dxa"/>
            <w:tcBorders>
              <w:top w:val="single" w:sz="4" w:space="0" w:color="014171"/>
              <w:bottom w:val="single" w:sz="4" w:space="0" w:color="014171"/>
            </w:tcBorders>
          </w:tcPr>
          <w:p w14:paraId="3606BC9F" w14:textId="774741FE" w:rsidR="00A32434" w:rsidRPr="0040745F" w:rsidRDefault="00A32434" w:rsidP="00A32434">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13</w:t>
            </w:r>
          </w:p>
        </w:tc>
      </w:tr>
      <w:tr w:rsidR="00DA628A" w:rsidRPr="002800FC" w14:paraId="09F2C5A4" w14:textId="77777777" w:rsidTr="00A02BEA">
        <w:trPr>
          <w:trHeight w:val="142"/>
          <w:jc w:val="center"/>
        </w:trPr>
        <w:tc>
          <w:tcPr>
            <w:tcW w:w="567" w:type="dxa"/>
            <w:tcBorders>
              <w:top w:val="single" w:sz="4" w:space="0" w:color="014171"/>
              <w:bottom w:val="single" w:sz="4" w:space="0" w:color="014171"/>
            </w:tcBorders>
          </w:tcPr>
          <w:p w14:paraId="0F321207" w14:textId="77777777" w:rsidR="00DA628A" w:rsidRPr="0040745F" w:rsidRDefault="00DA628A" w:rsidP="00DA628A">
            <w:pPr>
              <w:autoSpaceDE w:val="0"/>
              <w:autoSpaceDN w:val="0"/>
              <w:adjustRightInd w:val="0"/>
              <w:spacing w:after="0"/>
              <w:jc w:val="both"/>
              <w:rPr>
                <w:rFonts w:ascii="Segoe UI" w:hAnsi="Segoe UI" w:cs="Segoe UI"/>
                <w:b/>
                <w:color w:val="014171"/>
                <w:sz w:val="18"/>
                <w:szCs w:val="18"/>
                <w:lang w:val="de-DE" w:eastAsia="en-GB"/>
              </w:rPr>
            </w:pPr>
            <w:r w:rsidRPr="0040745F">
              <w:rPr>
                <w:rFonts w:ascii="Segoe UI" w:hAnsi="Segoe UI" w:cs="Segoe UI"/>
                <w:b/>
                <w:color w:val="014171"/>
                <w:sz w:val="18"/>
                <w:szCs w:val="18"/>
                <w:lang w:val="de-DE" w:eastAsia="en-GB"/>
              </w:rPr>
              <w:t>5</w:t>
            </w:r>
          </w:p>
        </w:tc>
        <w:tc>
          <w:tcPr>
            <w:tcW w:w="5103" w:type="dxa"/>
            <w:tcBorders>
              <w:top w:val="single" w:sz="4" w:space="0" w:color="014171"/>
              <w:bottom w:val="single" w:sz="4" w:space="0" w:color="014171"/>
            </w:tcBorders>
          </w:tcPr>
          <w:p w14:paraId="0EEA5A95" w14:textId="03BB9C8C" w:rsidR="00DA628A" w:rsidRPr="0040745F" w:rsidRDefault="00E21185" w:rsidP="00DA628A">
            <w:pPr>
              <w:autoSpaceDE w:val="0"/>
              <w:autoSpaceDN w:val="0"/>
              <w:adjustRightInd w:val="0"/>
              <w:spacing w:after="0"/>
              <w:jc w:val="both"/>
              <w:rPr>
                <w:rFonts w:ascii="Segoe UI" w:hAnsi="Segoe UI" w:cs="Segoe UI"/>
                <w:b/>
                <w:color w:val="014171"/>
                <w:sz w:val="18"/>
                <w:szCs w:val="18"/>
                <w:lang w:val="de-DE"/>
              </w:rPr>
            </w:pPr>
            <w:r w:rsidRPr="0040745F">
              <w:rPr>
                <w:rFonts w:ascii="Segoe UI" w:hAnsi="Segoe UI" w:cs="Segoe UI"/>
                <w:b/>
                <w:color w:val="014171"/>
                <w:sz w:val="18"/>
                <w:szCs w:val="18"/>
                <w:lang w:val="de-DE"/>
              </w:rPr>
              <w:t>Beträge und Formen der gewährten variablen Vergütung</w:t>
            </w:r>
          </w:p>
        </w:tc>
        <w:tc>
          <w:tcPr>
            <w:tcW w:w="1843" w:type="dxa"/>
            <w:tcBorders>
              <w:top w:val="single" w:sz="4" w:space="0" w:color="014171"/>
              <w:bottom w:val="single" w:sz="4" w:space="0" w:color="014171"/>
            </w:tcBorders>
          </w:tcPr>
          <w:p w14:paraId="4FA1B6E8" w14:textId="4F71504B" w:rsidR="00DA628A" w:rsidRPr="0040745F" w:rsidRDefault="00DA628A" w:rsidP="00A02BEA">
            <w:pPr>
              <w:autoSpaceDE w:val="0"/>
              <w:autoSpaceDN w:val="0"/>
              <w:adjustRightInd w:val="0"/>
              <w:spacing w:after="0"/>
              <w:jc w:val="right"/>
              <w:rPr>
                <w:rFonts w:ascii="Segoe UI" w:hAnsi="Segoe UI" w:cs="Segoe UI"/>
                <w:b/>
                <w:color w:val="014171"/>
                <w:sz w:val="18"/>
                <w:szCs w:val="18"/>
                <w:lang w:val="de-DE" w:eastAsia="en-GB"/>
              </w:rPr>
            </w:pPr>
          </w:p>
        </w:tc>
      </w:tr>
      <w:tr w:rsidR="00DA628A" w:rsidRPr="0040745F" w14:paraId="2E5B34DF" w14:textId="77777777" w:rsidTr="00A02BEA">
        <w:trPr>
          <w:trHeight w:val="142"/>
          <w:jc w:val="center"/>
        </w:trPr>
        <w:tc>
          <w:tcPr>
            <w:tcW w:w="567" w:type="dxa"/>
            <w:tcBorders>
              <w:top w:val="single" w:sz="4" w:space="0" w:color="014171"/>
              <w:bottom w:val="single" w:sz="4" w:space="0" w:color="014171"/>
            </w:tcBorders>
          </w:tcPr>
          <w:p w14:paraId="4194D282" w14:textId="77777777" w:rsidR="00DA628A" w:rsidRPr="0040745F" w:rsidRDefault="00DA628A" w:rsidP="00DA628A">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6</w:t>
            </w:r>
          </w:p>
        </w:tc>
        <w:tc>
          <w:tcPr>
            <w:tcW w:w="5103" w:type="dxa"/>
            <w:tcBorders>
              <w:top w:val="single" w:sz="4" w:space="0" w:color="014171"/>
              <w:bottom w:val="single" w:sz="4" w:space="0" w:color="014171"/>
            </w:tcBorders>
          </w:tcPr>
          <w:p w14:paraId="055CAC55" w14:textId="4922383E" w:rsidR="00DA628A" w:rsidRPr="0040745F" w:rsidRDefault="00E21185" w:rsidP="00A02BEA">
            <w:pPr>
              <w:autoSpaceDE w:val="0"/>
              <w:autoSpaceDN w:val="0"/>
              <w:adjustRightInd w:val="0"/>
              <w:spacing w:after="0"/>
              <w:ind w:left="113"/>
              <w:jc w:val="both"/>
              <w:rPr>
                <w:rFonts w:ascii="Segoe UI" w:hAnsi="Segoe UI" w:cs="Segoe UI"/>
                <w:color w:val="014171"/>
                <w:sz w:val="18"/>
                <w:szCs w:val="18"/>
                <w:lang w:val="de-DE"/>
              </w:rPr>
            </w:pPr>
            <w:r w:rsidRPr="0040745F">
              <w:rPr>
                <w:rFonts w:ascii="Segoe UI" w:hAnsi="Segoe UI" w:cs="Segoe UI"/>
                <w:color w:val="014171"/>
                <w:sz w:val="18"/>
                <w:szCs w:val="18"/>
                <w:lang w:val="de-DE"/>
              </w:rPr>
              <w:t>davon im Geschäftsjahr ausgezahlt</w:t>
            </w:r>
          </w:p>
        </w:tc>
        <w:tc>
          <w:tcPr>
            <w:tcW w:w="1843" w:type="dxa"/>
            <w:tcBorders>
              <w:top w:val="single" w:sz="4" w:space="0" w:color="014171"/>
              <w:bottom w:val="single" w:sz="4" w:space="0" w:color="014171"/>
            </w:tcBorders>
          </w:tcPr>
          <w:p w14:paraId="4F4BE9F5" w14:textId="763F50A0" w:rsidR="00DA628A" w:rsidRPr="0040745F" w:rsidRDefault="00604DDF" w:rsidP="00A02BEA">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w:t>
            </w:r>
          </w:p>
        </w:tc>
      </w:tr>
      <w:tr w:rsidR="00DA628A" w:rsidRPr="0040745F" w14:paraId="3C4A3C3F" w14:textId="77777777" w:rsidTr="00A02BEA">
        <w:trPr>
          <w:trHeight w:val="142"/>
          <w:jc w:val="center"/>
        </w:trPr>
        <w:tc>
          <w:tcPr>
            <w:tcW w:w="567" w:type="dxa"/>
            <w:tcBorders>
              <w:top w:val="single" w:sz="4" w:space="0" w:color="014171"/>
              <w:bottom w:val="single" w:sz="4" w:space="0" w:color="014171"/>
            </w:tcBorders>
          </w:tcPr>
          <w:p w14:paraId="7C0812D2" w14:textId="77777777" w:rsidR="00DA628A" w:rsidRPr="0040745F" w:rsidRDefault="00DA628A" w:rsidP="00DA628A">
            <w:pPr>
              <w:autoSpaceDE w:val="0"/>
              <w:autoSpaceDN w:val="0"/>
              <w:adjustRightInd w:val="0"/>
              <w:spacing w:after="0"/>
              <w:jc w:val="both"/>
              <w:rPr>
                <w:rFonts w:ascii="Segoe UI" w:hAnsi="Segoe UI" w:cs="Segoe UI"/>
                <w:i/>
                <w:color w:val="014171"/>
                <w:sz w:val="18"/>
                <w:szCs w:val="18"/>
                <w:lang w:val="de-DE" w:eastAsia="en-GB"/>
              </w:rPr>
            </w:pPr>
            <w:r w:rsidRPr="0040745F">
              <w:rPr>
                <w:rFonts w:ascii="Segoe UI" w:hAnsi="Segoe UI" w:cs="Segoe UI"/>
                <w:i/>
                <w:color w:val="014171"/>
                <w:sz w:val="18"/>
                <w:szCs w:val="18"/>
                <w:lang w:val="de-DE" w:eastAsia="en-GB"/>
              </w:rPr>
              <w:t>7</w:t>
            </w:r>
          </w:p>
        </w:tc>
        <w:tc>
          <w:tcPr>
            <w:tcW w:w="5103" w:type="dxa"/>
            <w:tcBorders>
              <w:top w:val="single" w:sz="4" w:space="0" w:color="014171"/>
              <w:bottom w:val="single" w:sz="4" w:space="0" w:color="014171"/>
            </w:tcBorders>
          </w:tcPr>
          <w:p w14:paraId="5CC6EAE3" w14:textId="40D48B0C" w:rsidR="00DA628A" w:rsidRPr="0040745F" w:rsidRDefault="00E21185" w:rsidP="00A02BEA">
            <w:pPr>
              <w:autoSpaceDE w:val="0"/>
              <w:autoSpaceDN w:val="0"/>
              <w:adjustRightInd w:val="0"/>
              <w:spacing w:after="0"/>
              <w:ind w:left="227"/>
              <w:jc w:val="both"/>
              <w:rPr>
                <w:rFonts w:ascii="Segoe UI" w:hAnsi="Segoe UI" w:cs="Segoe UI"/>
                <w:i/>
                <w:color w:val="014171"/>
                <w:sz w:val="18"/>
                <w:szCs w:val="18"/>
                <w:lang w:val="de-DE"/>
              </w:rPr>
            </w:pPr>
            <w:r w:rsidRPr="0040745F">
              <w:rPr>
                <w:rFonts w:ascii="Segoe UI" w:hAnsi="Segoe UI" w:cs="Segoe UI"/>
                <w:i/>
                <w:color w:val="014171"/>
                <w:sz w:val="18"/>
                <w:szCs w:val="18"/>
                <w:lang w:val="de-DE"/>
              </w:rPr>
              <w:t>Bargeld</w:t>
            </w:r>
          </w:p>
        </w:tc>
        <w:tc>
          <w:tcPr>
            <w:tcW w:w="1843" w:type="dxa"/>
            <w:tcBorders>
              <w:top w:val="single" w:sz="4" w:space="0" w:color="014171"/>
              <w:bottom w:val="single" w:sz="4" w:space="0" w:color="014171"/>
            </w:tcBorders>
          </w:tcPr>
          <w:p w14:paraId="562DF62F" w14:textId="3AA48B34" w:rsidR="00DA628A" w:rsidRPr="0040745F" w:rsidRDefault="00604DDF" w:rsidP="00A02BEA">
            <w:pPr>
              <w:autoSpaceDE w:val="0"/>
              <w:autoSpaceDN w:val="0"/>
              <w:adjustRightInd w:val="0"/>
              <w:spacing w:after="0"/>
              <w:jc w:val="right"/>
              <w:rPr>
                <w:rFonts w:ascii="Segoe UI" w:hAnsi="Segoe UI" w:cs="Segoe UI"/>
                <w:i/>
                <w:color w:val="014171"/>
                <w:sz w:val="18"/>
                <w:szCs w:val="18"/>
                <w:lang w:val="de-DE" w:eastAsia="en-GB"/>
              </w:rPr>
            </w:pPr>
            <w:r w:rsidRPr="0040745F">
              <w:rPr>
                <w:rFonts w:ascii="Segoe UI" w:hAnsi="Segoe UI" w:cs="Segoe UI"/>
                <w:i/>
                <w:color w:val="014171"/>
                <w:sz w:val="18"/>
                <w:szCs w:val="18"/>
                <w:lang w:val="de-DE" w:eastAsia="en-GB"/>
              </w:rPr>
              <w:t>--</w:t>
            </w:r>
          </w:p>
        </w:tc>
      </w:tr>
      <w:tr w:rsidR="00DA628A" w:rsidRPr="0040745F" w14:paraId="2E3635E6" w14:textId="77777777" w:rsidTr="00A02BEA">
        <w:trPr>
          <w:trHeight w:val="142"/>
          <w:jc w:val="center"/>
        </w:trPr>
        <w:tc>
          <w:tcPr>
            <w:tcW w:w="567" w:type="dxa"/>
            <w:tcBorders>
              <w:top w:val="single" w:sz="4" w:space="0" w:color="014171"/>
              <w:bottom w:val="single" w:sz="4" w:space="0" w:color="014171"/>
            </w:tcBorders>
          </w:tcPr>
          <w:p w14:paraId="06F60832" w14:textId="77777777" w:rsidR="00DA628A" w:rsidRPr="0040745F" w:rsidRDefault="00DA628A" w:rsidP="00DA628A">
            <w:pPr>
              <w:autoSpaceDE w:val="0"/>
              <w:autoSpaceDN w:val="0"/>
              <w:adjustRightInd w:val="0"/>
              <w:spacing w:after="0"/>
              <w:jc w:val="both"/>
              <w:rPr>
                <w:rFonts w:ascii="Segoe UI" w:hAnsi="Segoe UI" w:cs="Segoe UI"/>
                <w:i/>
                <w:color w:val="014171"/>
                <w:sz w:val="18"/>
                <w:szCs w:val="18"/>
                <w:lang w:val="de-DE" w:eastAsia="en-GB"/>
              </w:rPr>
            </w:pPr>
            <w:r w:rsidRPr="0040745F">
              <w:rPr>
                <w:rFonts w:ascii="Segoe UI" w:hAnsi="Segoe UI" w:cs="Segoe UI"/>
                <w:i/>
                <w:color w:val="014171"/>
                <w:sz w:val="18"/>
                <w:szCs w:val="18"/>
                <w:lang w:val="de-DE" w:eastAsia="en-GB"/>
              </w:rPr>
              <w:t>8</w:t>
            </w:r>
          </w:p>
        </w:tc>
        <w:tc>
          <w:tcPr>
            <w:tcW w:w="5103" w:type="dxa"/>
            <w:tcBorders>
              <w:top w:val="single" w:sz="4" w:space="0" w:color="014171"/>
              <w:bottom w:val="single" w:sz="4" w:space="0" w:color="014171"/>
            </w:tcBorders>
          </w:tcPr>
          <w:p w14:paraId="27A50855" w14:textId="34E7341C" w:rsidR="00DA628A" w:rsidRPr="0040745F" w:rsidRDefault="00E21185" w:rsidP="00A02BEA">
            <w:pPr>
              <w:autoSpaceDE w:val="0"/>
              <w:autoSpaceDN w:val="0"/>
              <w:adjustRightInd w:val="0"/>
              <w:spacing w:after="0"/>
              <w:ind w:left="227"/>
              <w:jc w:val="both"/>
              <w:rPr>
                <w:rFonts w:ascii="Segoe UI" w:hAnsi="Segoe UI" w:cs="Segoe UI"/>
                <w:i/>
                <w:color w:val="014171"/>
                <w:sz w:val="18"/>
                <w:szCs w:val="18"/>
                <w:lang w:val="de-DE"/>
              </w:rPr>
            </w:pPr>
            <w:r w:rsidRPr="0040745F">
              <w:rPr>
                <w:rFonts w:ascii="Segoe UI" w:hAnsi="Segoe UI" w:cs="Segoe UI"/>
                <w:i/>
                <w:color w:val="014171"/>
                <w:sz w:val="18"/>
                <w:szCs w:val="18"/>
                <w:lang w:val="de-DE"/>
              </w:rPr>
              <w:t>Aktien</w:t>
            </w:r>
          </w:p>
        </w:tc>
        <w:tc>
          <w:tcPr>
            <w:tcW w:w="1843" w:type="dxa"/>
            <w:tcBorders>
              <w:top w:val="single" w:sz="4" w:space="0" w:color="014171"/>
              <w:bottom w:val="single" w:sz="4" w:space="0" w:color="014171"/>
            </w:tcBorders>
          </w:tcPr>
          <w:p w14:paraId="013D7821" w14:textId="44485B36" w:rsidR="00DA628A" w:rsidRPr="0040745F" w:rsidRDefault="00604DDF" w:rsidP="00A02BEA">
            <w:pPr>
              <w:autoSpaceDE w:val="0"/>
              <w:autoSpaceDN w:val="0"/>
              <w:adjustRightInd w:val="0"/>
              <w:spacing w:after="0"/>
              <w:jc w:val="right"/>
              <w:rPr>
                <w:rFonts w:ascii="Segoe UI" w:hAnsi="Segoe UI" w:cs="Segoe UI"/>
                <w:i/>
                <w:color w:val="014171"/>
                <w:sz w:val="18"/>
                <w:szCs w:val="18"/>
                <w:lang w:val="de-DE" w:eastAsia="en-GB"/>
              </w:rPr>
            </w:pPr>
            <w:r w:rsidRPr="0040745F">
              <w:rPr>
                <w:rFonts w:ascii="Segoe UI" w:hAnsi="Segoe UI" w:cs="Segoe UI"/>
                <w:i/>
                <w:color w:val="014171"/>
                <w:sz w:val="18"/>
                <w:szCs w:val="18"/>
                <w:lang w:val="de-DE" w:eastAsia="en-GB"/>
              </w:rPr>
              <w:t>--</w:t>
            </w:r>
          </w:p>
        </w:tc>
      </w:tr>
      <w:tr w:rsidR="00DA628A" w:rsidRPr="0040745F" w14:paraId="417C53BC" w14:textId="77777777" w:rsidTr="00A02BEA">
        <w:trPr>
          <w:trHeight w:val="142"/>
          <w:jc w:val="center"/>
        </w:trPr>
        <w:tc>
          <w:tcPr>
            <w:tcW w:w="567" w:type="dxa"/>
            <w:tcBorders>
              <w:top w:val="single" w:sz="4" w:space="0" w:color="014171"/>
              <w:bottom w:val="single" w:sz="4" w:space="0" w:color="014171"/>
            </w:tcBorders>
          </w:tcPr>
          <w:p w14:paraId="70BE7CF6" w14:textId="77777777" w:rsidR="00DA628A" w:rsidRPr="0040745F" w:rsidRDefault="00DA628A" w:rsidP="00DA628A">
            <w:pPr>
              <w:autoSpaceDE w:val="0"/>
              <w:autoSpaceDN w:val="0"/>
              <w:adjustRightInd w:val="0"/>
              <w:spacing w:after="0"/>
              <w:jc w:val="both"/>
              <w:rPr>
                <w:rFonts w:ascii="Segoe UI" w:hAnsi="Segoe UI" w:cs="Segoe UI"/>
                <w:i/>
                <w:color w:val="014171"/>
                <w:sz w:val="18"/>
                <w:szCs w:val="18"/>
                <w:lang w:val="de-DE" w:eastAsia="en-GB"/>
              </w:rPr>
            </w:pPr>
            <w:r w:rsidRPr="0040745F">
              <w:rPr>
                <w:rFonts w:ascii="Segoe UI" w:hAnsi="Segoe UI" w:cs="Segoe UI"/>
                <w:i/>
                <w:color w:val="014171"/>
                <w:sz w:val="18"/>
                <w:szCs w:val="18"/>
                <w:lang w:val="de-DE" w:eastAsia="en-GB"/>
              </w:rPr>
              <w:t>9</w:t>
            </w:r>
          </w:p>
        </w:tc>
        <w:tc>
          <w:tcPr>
            <w:tcW w:w="5103" w:type="dxa"/>
            <w:tcBorders>
              <w:top w:val="single" w:sz="4" w:space="0" w:color="014171"/>
              <w:bottom w:val="single" w:sz="4" w:space="0" w:color="014171"/>
            </w:tcBorders>
          </w:tcPr>
          <w:p w14:paraId="56CCEEDA" w14:textId="24C6ED77" w:rsidR="00DA628A" w:rsidRPr="0040745F" w:rsidRDefault="00A32434" w:rsidP="00A02BEA">
            <w:pPr>
              <w:autoSpaceDE w:val="0"/>
              <w:autoSpaceDN w:val="0"/>
              <w:adjustRightInd w:val="0"/>
              <w:spacing w:after="0"/>
              <w:ind w:left="227"/>
              <w:jc w:val="both"/>
              <w:rPr>
                <w:rFonts w:ascii="Segoe UI" w:hAnsi="Segoe UI" w:cs="Segoe UI"/>
                <w:i/>
                <w:color w:val="014171"/>
                <w:sz w:val="18"/>
                <w:szCs w:val="18"/>
                <w:lang w:val="de-DE"/>
              </w:rPr>
            </w:pPr>
            <w:r w:rsidRPr="0040745F">
              <w:rPr>
                <w:rFonts w:ascii="Segoe UI" w:hAnsi="Segoe UI" w:cs="Segoe UI"/>
                <w:i/>
                <w:color w:val="014171"/>
                <w:sz w:val="18"/>
                <w:szCs w:val="18"/>
                <w:lang w:val="de-DE"/>
              </w:rPr>
              <w:t>mit Aktien verknüpften Instrumente</w:t>
            </w:r>
          </w:p>
        </w:tc>
        <w:tc>
          <w:tcPr>
            <w:tcW w:w="1843" w:type="dxa"/>
            <w:tcBorders>
              <w:top w:val="single" w:sz="4" w:space="0" w:color="014171"/>
              <w:bottom w:val="single" w:sz="4" w:space="0" w:color="014171"/>
            </w:tcBorders>
          </w:tcPr>
          <w:p w14:paraId="0EF3FEA2" w14:textId="2CA8AED0" w:rsidR="00DA628A" w:rsidRPr="0040745F" w:rsidRDefault="00604DDF" w:rsidP="00A02BEA">
            <w:pPr>
              <w:autoSpaceDE w:val="0"/>
              <w:autoSpaceDN w:val="0"/>
              <w:adjustRightInd w:val="0"/>
              <w:spacing w:after="0"/>
              <w:jc w:val="right"/>
              <w:rPr>
                <w:rFonts w:ascii="Segoe UI" w:hAnsi="Segoe UI" w:cs="Segoe UI"/>
                <w:i/>
                <w:color w:val="014171"/>
                <w:sz w:val="18"/>
                <w:szCs w:val="18"/>
                <w:lang w:val="de-DE" w:eastAsia="en-GB"/>
              </w:rPr>
            </w:pPr>
            <w:r w:rsidRPr="0040745F">
              <w:rPr>
                <w:rFonts w:ascii="Segoe UI" w:hAnsi="Segoe UI" w:cs="Segoe UI"/>
                <w:i/>
                <w:color w:val="014171"/>
                <w:sz w:val="18"/>
                <w:szCs w:val="18"/>
                <w:lang w:val="de-DE" w:eastAsia="en-GB"/>
              </w:rPr>
              <w:t>--</w:t>
            </w:r>
          </w:p>
        </w:tc>
      </w:tr>
      <w:tr w:rsidR="00DA628A" w:rsidRPr="0040745F" w14:paraId="5DE083D8" w14:textId="77777777" w:rsidTr="00A02BEA">
        <w:trPr>
          <w:trHeight w:val="142"/>
          <w:jc w:val="center"/>
        </w:trPr>
        <w:tc>
          <w:tcPr>
            <w:tcW w:w="567" w:type="dxa"/>
            <w:tcBorders>
              <w:top w:val="single" w:sz="4" w:space="0" w:color="014171"/>
              <w:bottom w:val="single" w:sz="4" w:space="0" w:color="014171"/>
            </w:tcBorders>
          </w:tcPr>
          <w:p w14:paraId="59A526B1" w14:textId="77777777" w:rsidR="00DA628A" w:rsidRPr="0040745F" w:rsidRDefault="00DA628A" w:rsidP="00DA628A">
            <w:pPr>
              <w:autoSpaceDE w:val="0"/>
              <w:autoSpaceDN w:val="0"/>
              <w:adjustRightInd w:val="0"/>
              <w:spacing w:after="0"/>
              <w:jc w:val="both"/>
              <w:rPr>
                <w:rFonts w:ascii="Segoe UI" w:hAnsi="Segoe UI" w:cs="Segoe UI"/>
                <w:i/>
                <w:color w:val="014171"/>
                <w:sz w:val="18"/>
                <w:szCs w:val="18"/>
                <w:lang w:val="de-DE" w:eastAsia="en-GB"/>
              </w:rPr>
            </w:pPr>
            <w:r w:rsidRPr="0040745F">
              <w:rPr>
                <w:rFonts w:ascii="Segoe UI" w:hAnsi="Segoe UI" w:cs="Segoe UI"/>
                <w:i/>
                <w:color w:val="014171"/>
                <w:sz w:val="18"/>
                <w:szCs w:val="18"/>
                <w:lang w:val="de-DE" w:eastAsia="en-GB"/>
              </w:rPr>
              <w:t>10</w:t>
            </w:r>
          </w:p>
        </w:tc>
        <w:tc>
          <w:tcPr>
            <w:tcW w:w="5103" w:type="dxa"/>
            <w:tcBorders>
              <w:top w:val="single" w:sz="4" w:space="0" w:color="014171"/>
              <w:bottom w:val="single" w:sz="4" w:space="0" w:color="014171"/>
            </w:tcBorders>
          </w:tcPr>
          <w:p w14:paraId="2FCA3483" w14:textId="7E90B928" w:rsidR="00DA628A" w:rsidRPr="0040745F" w:rsidRDefault="00A32434" w:rsidP="00A02BEA">
            <w:pPr>
              <w:autoSpaceDE w:val="0"/>
              <w:autoSpaceDN w:val="0"/>
              <w:adjustRightInd w:val="0"/>
              <w:spacing w:after="0"/>
              <w:ind w:left="227"/>
              <w:jc w:val="both"/>
              <w:rPr>
                <w:rFonts w:ascii="Segoe UI" w:hAnsi="Segoe UI" w:cs="Segoe UI"/>
                <w:i/>
                <w:color w:val="014171"/>
                <w:sz w:val="18"/>
                <w:szCs w:val="18"/>
                <w:lang w:val="de-DE"/>
              </w:rPr>
            </w:pPr>
            <w:r w:rsidRPr="0040745F">
              <w:rPr>
                <w:rFonts w:ascii="Segoe UI" w:hAnsi="Segoe UI" w:cs="Segoe UI"/>
                <w:i/>
                <w:color w:val="014171"/>
                <w:sz w:val="18"/>
                <w:szCs w:val="18"/>
                <w:lang w:val="de-DE"/>
              </w:rPr>
              <w:t>andere Arten</w:t>
            </w:r>
          </w:p>
        </w:tc>
        <w:tc>
          <w:tcPr>
            <w:tcW w:w="1843" w:type="dxa"/>
            <w:tcBorders>
              <w:top w:val="single" w:sz="4" w:space="0" w:color="014171"/>
              <w:bottom w:val="single" w:sz="4" w:space="0" w:color="014171"/>
            </w:tcBorders>
          </w:tcPr>
          <w:p w14:paraId="7B4D41C1" w14:textId="6359C176" w:rsidR="00DA628A" w:rsidRPr="0040745F" w:rsidRDefault="00604DDF" w:rsidP="00A02BEA">
            <w:pPr>
              <w:autoSpaceDE w:val="0"/>
              <w:autoSpaceDN w:val="0"/>
              <w:adjustRightInd w:val="0"/>
              <w:spacing w:after="0"/>
              <w:jc w:val="right"/>
              <w:rPr>
                <w:rFonts w:ascii="Segoe UI" w:hAnsi="Segoe UI" w:cs="Segoe UI"/>
                <w:i/>
                <w:color w:val="014171"/>
                <w:sz w:val="18"/>
                <w:szCs w:val="18"/>
                <w:lang w:val="de-DE" w:eastAsia="en-GB"/>
              </w:rPr>
            </w:pPr>
            <w:r w:rsidRPr="0040745F">
              <w:rPr>
                <w:rFonts w:ascii="Segoe UI" w:hAnsi="Segoe UI" w:cs="Segoe UI"/>
                <w:i/>
                <w:color w:val="014171"/>
                <w:sz w:val="18"/>
                <w:szCs w:val="18"/>
                <w:lang w:val="de-DE" w:eastAsia="en-GB"/>
              </w:rPr>
              <w:t>--</w:t>
            </w:r>
          </w:p>
        </w:tc>
      </w:tr>
      <w:tr w:rsidR="00DA628A" w:rsidRPr="0040745F" w14:paraId="293F374C" w14:textId="77777777" w:rsidTr="00A02BEA">
        <w:trPr>
          <w:trHeight w:val="142"/>
          <w:jc w:val="center"/>
        </w:trPr>
        <w:tc>
          <w:tcPr>
            <w:tcW w:w="567" w:type="dxa"/>
            <w:tcBorders>
              <w:top w:val="single" w:sz="4" w:space="0" w:color="014171"/>
              <w:bottom w:val="single" w:sz="4" w:space="0" w:color="014171"/>
            </w:tcBorders>
          </w:tcPr>
          <w:p w14:paraId="092EE3B1" w14:textId="77777777" w:rsidR="00DA628A" w:rsidRPr="0040745F" w:rsidRDefault="00DA628A" w:rsidP="00DA628A">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11</w:t>
            </w:r>
          </w:p>
        </w:tc>
        <w:tc>
          <w:tcPr>
            <w:tcW w:w="5103" w:type="dxa"/>
            <w:tcBorders>
              <w:top w:val="single" w:sz="4" w:space="0" w:color="014171"/>
              <w:bottom w:val="single" w:sz="4" w:space="0" w:color="014171"/>
            </w:tcBorders>
          </w:tcPr>
          <w:p w14:paraId="66E1B831" w14:textId="1B629277" w:rsidR="00DA628A" w:rsidRPr="0040745F" w:rsidRDefault="006B79BD" w:rsidP="00A02BEA">
            <w:pPr>
              <w:autoSpaceDE w:val="0"/>
              <w:autoSpaceDN w:val="0"/>
              <w:adjustRightInd w:val="0"/>
              <w:spacing w:after="0"/>
              <w:ind w:left="113"/>
              <w:jc w:val="both"/>
              <w:rPr>
                <w:rFonts w:ascii="Segoe UI" w:hAnsi="Segoe UI" w:cs="Segoe UI"/>
                <w:color w:val="014171"/>
                <w:sz w:val="18"/>
                <w:szCs w:val="18"/>
                <w:lang w:val="de-DE"/>
              </w:rPr>
            </w:pPr>
            <w:r w:rsidRPr="006B79BD">
              <w:rPr>
                <w:rFonts w:ascii="Segoe UI" w:hAnsi="Segoe UI" w:cs="Segoe UI"/>
                <w:color w:val="014171"/>
                <w:sz w:val="18"/>
                <w:szCs w:val="18"/>
                <w:lang w:val="de-DE"/>
              </w:rPr>
              <w:t>davon in darauffolgenden Jahren auszuzahlen</w:t>
            </w:r>
          </w:p>
        </w:tc>
        <w:tc>
          <w:tcPr>
            <w:tcW w:w="1843" w:type="dxa"/>
            <w:tcBorders>
              <w:top w:val="single" w:sz="4" w:space="0" w:color="014171"/>
              <w:bottom w:val="single" w:sz="4" w:space="0" w:color="014171"/>
            </w:tcBorders>
          </w:tcPr>
          <w:p w14:paraId="7C642728" w14:textId="4745DEB4" w:rsidR="00DA628A" w:rsidRPr="0040745F" w:rsidRDefault="00604DDF" w:rsidP="00A02BEA">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w:t>
            </w:r>
          </w:p>
        </w:tc>
      </w:tr>
      <w:tr w:rsidR="00DA628A" w:rsidRPr="0040745F" w14:paraId="1BEE0AB7" w14:textId="77777777" w:rsidTr="00A02BEA">
        <w:trPr>
          <w:trHeight w:val="142"/>
          <w:jc w:val="center"/>
        </w:trPr>
        <w:tc>
          <w:tcPr>
            <w:tcW w:w="567" w:type="dxa"/>
            <w:tcBorders>
              <w:top w:val="single" w:sz="4" w:space="0" w:color="014171"/>
              <w:bottom w:val="single" w:sz="4" w:space="0" w:color="014171"/>
            </w:tcBorders>
          </w:tcPr>
          <w:p w14:paraId="79392B8F" w14:textId="77777777" w:rsidR="00DA628A" w:rsidRPr="0040745F" w:rsidRDefault="00DA628A" w:rsidP="00DA628A">
            <w:pPr>
              <w:autoSpaceDE w:val="0"/>
              <w:autoSpaceDN w:val="0"/>
              <w:adjustRightInd w:val="0"/>
              <w:spacing w:after="0"/>
              <w:jc w:val="both"/>
              <w:rPr>
                <w:rFonts w:ascii="Segoe UI" w:hAnsi="Segoe UI" w:cs="Segoe UI"/>
                <w:i/>
                <w:color w:val="014171"/>
                <w:sz w:val="18"/>
                <w:szCs w:val="18"/>
                <w:lang w:val="de-DE" w:eastAsia="en-GB"/>
              </w:rPr>
            </w:pPr>
            <w:r w:rsidRPr="0040745F">
              <w:rPr>
                <w:rFonts w:ascii="Segoe UI" w:hAnsi="Segoe UI" w:cs="Segoe UI"/>
                <w:i/>
                <w:color w:val="014171"/>
                <w:sz w:val="18"/>
                <w:szCs w:val="18"/>
                <w:lang w:val="de-DE" w:eastAsia="en-GB"/>
              </w:rPr>
              <w:t>12</w:t>
            </w:r>
          </w:p>
        </w:tc>
        <w:tc>
          <w:tcPr>
            <w:tcW w:w="5103" w:type="dxa"/>
            <w:tcBorders>
              <w:top w:val="single" w:sz="4" w:space="0" w:color="014171"/>
              <w:bottom w:val="single" w:sz="4" w:space="0" w:color="014171"/>
            </w:tcBorders>
          </w:tcPr>
          <w:p w14:paraId="2148FBB2" w14:textId="111C25F3" w:rsidR="00DA628A" w:rsidRPr="0040745F" w:rsidRDefault="00E21185" w:rsidP="00A02BEA">
            <w:pPr>
              <w:autoSpaceDE w:val="0"/>
              <w:autoSpaceDN w:val="0"/>
              <w:adjustRightInd w:val="0"/>
              <w:spacing w:after="0"/>
              <w:ind w:left="227"/>
              <w:jc w:val="both"/>
              <w:rPr>
                <w:rFonts w:ascii="Segoe UI" w:hAnsi="Segoe UI" w:cs="Segoe UI"/>
                <w:i/>
                <w:color w:val="014171"/>
                <w:sz w:val="18"/>
                <w:szCs w:val="18"/>
                <w:lang w:val="de-DE"/>
              </w:rPr>
            </w:pPr>
            <w:r w:rsidRPr="0040745F">
              <w:rPr>
                <w:rFonts w:ascii="Segoe UI" w:hAnsi="Segoe UI" w:cs="Segoe UI"/>
                <w:i/>
                <w:color w:val="014171"/>
                <w:sz w:val="18"/>
                <w:szCs w:val="18"/>
                <w:lang w:val="de-DE"/>
              </w:rPr>
              <w:t>Bargeld</w:t>
            </w:r>
          </w:p>
        </w:tc>
        <w:tc>
          <w:tcPr>
            <w:tcW w:w="1843" w:type="dxa"/>
            <w:tcBorders>
              <w:top w:val="single" w:sz="4" w:space="0" w:color="014171"/>
              <w:bottom w:val="single" w:sz="4" w:space="0" w:color="014171"/>
            </w:tcBorders>
          </w:tcPr>
          <w:p w14:paraId="07ECA120" w14:textId="259682DC" w:rsidR="00DA628A" w:rsidRPr="0040745F" w:rsidRDefault="00604DDF" w:rsidP="00A02BEA">
            <w:pPr>
              <w:autoSpaceDE w:val="0"/>
              <w:autoSpaceDN w:val="0"/>
              <w:adjustRightInd w:val="0"/>
              <w:spacing w:after="0"/>
              <w:jc w:val="right"/>
              <w:rPr>
                <w:rFonts w:ascii="Segoe UI" w:hAnsi="Segoe UI" w:cs="Segoe UI"/>
                <w:i/>
                <w:color w:val="014171"/>
                <w:sz w:val="18"/>
                <w:szCs w:val="18"/>
                <w:lang w:val="de-DE" w:eastAsia="en-GB"/>
              </w:rPr>
            </w:pPr>
            <w:r w:rsidRPr="0040745F">
              <w:rPr>
                <w:rFonts w:ascii="Segoe UI" w:hAnsi="Segoe UI" w:cs="Segoe UI"/>
                <w:i/>
                <w:color w:val="014171"/>
                <w:sz w:val="18"/>
                <w:szCs w:val="18"/>
                <w:lang w:val="de-DE" w:eastAsia="en-GB"/>
              </w:rPr>
              <w:t>--</w:t>
            </w:r>
          </w:p>
        </w:tc>
      </w:tr>
      <w:tr w:rsidR="00DA628A" w:rsidRPr="0040745F" w14:paraId="3AD1A2E1" w14:textId="77777777" w:rsidTr="00A02BEA">
        <w:trPr>
          <w:trHeight w:val="142"/>
          <w:jc w:val="center"/>
        </w:trPr>
        <w:tc>
          <w:tcPr>
            <w:tcW w:w="567" w:type="dxa"/>
            <w:tcBorders>
              <w:top w:val="single" w:sz="4" w:space="0" w:color="014171"/>
              <w:bottom w:val="single" w:sz="4" w:space="0" w:color="014171"/>
            </w:tcBorders>
          </w:tcPr>
          <w:p w14:paraId="161DC9E7" w14:textId="77777777" w:rsidR="00DA628A" w:rsidRPr="0040745F" w:rsidRDefault="00DA628A" w:rsidP="00DA628A">
            <w:pPr>
              <w:autoSpaceDE w:val="0"/>
              <w:autoSpaceDN w:val="0"/>
              <w:adjustRightInd w:val="0"/>
              <w:spacing w:after="0"/>
              <w:jc w:val="both"/>
              <w:rPr>
                <w:rFonts w:ascii="Segoe UI" w:hAnsi="Segoe UI" w:cs="Segoe UI"/>
                <w:i/>
                <w:color w:val="014171"/>
                <w:sz w:val="18"/>
                <w:szCs w:val="18"/>
                <w:lang w:val="de-DE" w:eastAsia="en-GB"/>
              </w:rPr>
            </w:pPr>
            <w:r w:rsidRPr="0040745F">
              <w:rPr>
                <w:rFonts w:ascii="Segoe UI" w:hAnsi="Segoe UI" w:cs="Segoe UI"/>
                <w:i/>
                <w:color w:val="014171"/>
                <w:sz w:val="18"/>
                <w:szCs w:val="18"/>
                <w:lang w:val="de-DE" w:eastAsia="en-GB"/>
              </w:rPr>
              <w:t>13</w:t>
            </w:r>
          </w:p>
        </w:tc>
        <w:tc>
          <w:tcPr>
            <w:tcW w:w="5103" w:type="dxa"/>
            <w:tcBorders>
              <w:top w:val="single" w:sz="4" w:space="0" w:color="014171"/>
              <w:bottom w:val="single" w:sz="4" w:space="0" w:color="014171"/>
            </w:tcBorders>
          </w:tcPr>
          <w:p w14:paraId="0FD757F8" w14:textId="7FE89CD6" w:rsidR="00DA628A" w:rsidRPr="0040745F" w:rsidRDefault="00E21185" w:rsidP="00A02BEA">
            <w:pPr>
              <w:autoSpaceDE w:val="0"/>
              <w:autoSpaceDN w:val="0"/>
              <w:adjustRightInd w:val="0"/>
              <w:spacing w:after="0"/>
              <w:ind w:left="227"/>
              <w:jc w:val="both"/>
              <w:rPr>
                <w:rFonts w:ascii="Segoe UI" w:hAnsi="Segoe UI" w:cs="Segoe UI"/>
                <w:i/>
                <w:color w:val="014171"/>
                <w:sz w:val="18"/>
                <w:szCs w:val="18"/>
                <w:lang w:val="de-DE"/>
              </w:rPr>
            </w:pPr>
            <w:r w:rsidRPr="0040745F">
              <w:rPr>
                <w:rFonts w:ascii="Segoe UI" w:hAnsi="Segoe UI" w:cs="Segoe UI"/>
                <w:i/>
                <w:color w:val="014171"/>
                <w:sz w:val="18"/>
                <w:szCs w:val="18"/>
                <w:lang w:val="de-DE"/>
              </w:rPr>
              <w:t>Aktien</w:t>
            </w:r>
          </w:p>
        </w:tc>
        <w:tc>
          <w:tcPr>
            <w:tcW w:w="1843" w:type="dxa"/>
            <w:tcBorders>
              <w:top w:val="single" w:sz="4" w:space="0" w:color="014171"/>
              <w:bottom w:val="single" w:sz="4" w:space="0" w:color="014171"/>
            </w:tcBorders>
          </w:tcPr>
          <w:p w14:paraId="53568FA6" w14:textId="5D1BCA26" w:rsidR="00DA628A" w:rsidRPr="0040745F" w:rsidRDefault="00604DDF" w:rsidP="00A02BEA">
            <w:pPr>
              <w:autoSpaceDE w:val="0"/>
              <w:autoSpaceDN w:val="0"/>
              <w:adjustRightInd w:val="0"/>
              <w:spacing w:after="0"/>
              <w:jc w:val="right"/>
              <w:rPr>
                <w:rFonts w:ascii="Segoe UI" w:hAnsi="Segoe UI" w:cs="Segoe UI"/>
                <w:i/>
                <w:color w:val="014171"/>
                <w:sz w:val="18"/>
                <w:szCs w:val="18"/>
                <w:lang w:val="de-DE" w:eastAsia="en-GB"/>
              </w:rPr>
            </w:pPr>
            <w:r w:rsidRPr="0040745F">
              <w:rPr>
                <w:rFonts w:ascii="Segoe UI" w:hAnsi="Segoe UI" w:cs="Segoe UI"/>
                <w:i/>
                <w:color w:val="014171"/>
                <w:sz w:val="18"/>
                <w:szCs w:val="18"/>
                <w:lang w:val="de-DE" w:eastAsia="en-GB"/>
              </w:rPr>
              <w:t>--</w:t>
            </w:r>
          </w:p>
        </w:tc>
      </w:tr>
      <w:tr w:rsidR="00DA628A" w:rsidRPr="0040745F" w14:paraId="25394B5B" w14:textId="77777777" w:rsidTr="00A02BEA">
        <w:trPr>
          <w:trHeight w:val="142"/>
          <w:jc w:val="center"/>
        </w:trPr>
        <w:tc>
          <w:tcPr>
            <w:tcW w:w="567" w:type="dxa"/>
            <w:tcBorders>
              <w:top w:val="single" w:sz="4" w:space="0" w:color="014171"/>
              <w:bottom w:val="single" w:sz="4" w:space="0" w:color="014171"/>
            </w:tcBorders>
          </w:tcPr>
          <w:p w14:paraId="176267D5" w14:textId="77777777" w:rsidR="00DA628A" w:rsidRPr="0040745F" w:rsidRDefault="00DA628A" w:rsidP="00DA628A">
            <w:pPr>
              <w:autoSpaceDE w:val="0"/>
              <w:autoSpaceDN w:val="0"/>
              <w:adjustRightInd w:val="0"/>
              <w:spacing w:after="0"/>
              <w:jc w:val="both"/>
              <w:rPr>
                <w:rFonts w:ascii="Segoe UI" w:hAnsi="Segoe UI" w:cs="Segoe UI"/>
                <w:i/>
                <w:color w:val="014171"/>
                <w:sz w:val="18"/>
                <w:szCs w:val="18"/>
                <w:lang w:val="de-DE" w:eastAsia="en-GB"/>
              </w:rPr>
            </w:pPr>
            <w:r w:rsidRPr="0040745F">
              <w:rPr>
                <w:rFonts w:ascii="Segoe UI" w:hAnsi="Segoe UI" w:cs="Segoe UI"/>
                <w:i/>
                <w:color w:val="014171"/>
                <w:sz w:val="18"/>
                <w:szCs w:val="18"/>
                <w:lang w:val="de-DE" w:eastAsia="en-GB"/>
              </w:rPr>
              <w:t>14</w:t>
            </w:r>
          </w:p>
        </w:tc>
        <w:tc>
          <w:tcPr>
            <w:tcW w:w="5103" w:type="dxa"/>
            <w:tcBorders>
              <w:top w:val="single" w:sz="4" w:space="0" w:color="014171"/>
              <w:bottom w:val="single" w:sz="4" w:space="0" w:color="014171"/>
            </w:tcBorders>
          </w:tcPr>
          <w:p w14:paraId="353624E8" w14:textId="19D5BB79" w:rsidR="00DA628A" w:rsidRPr="0040745F" w:rsidRDefault="00E21185" w:rsidP="00A02BEA">
            <w:pPr>
              <w:autoSpaceDE w:val="0"/>
              <w:autoSpaceDN w:val="0"/>
              <w:adjustRightInd w:val="0"/>
              <w:spacing w:after="0"/>
              <w:ind w:left="227"/>
              <w:jc w:val="both"/>
              <w:rPr>
                <w:rFonts w:ascii="Segoe UI" w:hAnsi="Segoe UI" w:cs="Segoe UI"/>
                <w:i/>
                <w:color w:val="014171"/>
                <w:sz w:val="18"/>
                <w:szCs w:val="18"/>
                <w:lang w:val="de-DE"/>
              </w:rPr>
            </w:pPr>
            <w:r w:rsidRPr="0040745F">
              <w:rPr>
                <w:rFonts w:ascii="Segoe UI" w:hAnsi="Segoe UI" w:cs="Segoe UI"/>
                <w:i/>
                <w:color w:val="014171"/>
                <w:sz w:val="18"/>
                <w:szCs w:val="18"/>
                <w:lang w:val="de-DE"/>
              </w:rPr>
              <w:t>mit Aktien verknüpften Instrumente</w:t>
            </w:r>
          </w:p>
        </w:tc>
        <w:tc>
          <w:tcPr>
            <w:tcW w:w="1843" w:type="dxa"/>
            <w:tcBorders>
              <w:top w:val="single" w:sz="4" w:space="0" w:color="014171"/>
              <w:bottom w:val="single" w:sz="4" w:space="0" w:color="014171"/>
            </w:tcBorders>
          </w:tcPr>
          <w:p w14:paraId="7932998A" w14:textId="40B14935" w:rsidR="00DA628A" w:rsidRPr="0040745F" w:rsidRDefault="00604DDF" w:rsidP="00A02BEA">
            <w:pPr>
              <w:autoSpaceDE w:val="0"/>
              <w:autoSpaceDN w:val="0"/>
              <w:adjustRightInd w:val="0"/>
              <w:spacing w:after="0"/>
              <w:jc w:val="right"/>
              <w:rPr>
                <w:rFonts w:ascii="Segoe UI" w:hAnsi="Segoe UI" w:cs="Segoe UI"/>
                <w:i/>
                <w:color w:val="014171"/>
                <w:sz w:val="18"/>
                <w:szCs w:val="18"/>
                <w:lang w:val="de-DE" w:eastAsia="en-GB"/>
              </w:rPr>
            </w:pPr>
            <w:r w:rsidRPr="0040745F">
              <w:rPr>
                <w:rFonts w:ascii="Segoe UI" w:hAnsi="Segoe UI" w:cs="Segoe UI"/>
                <w:i/>
                <w:color w:val="014171"/>
                <w:sz w:val="18"/>
                <w:szCs w:val="18"/>
                <w:lang w:val="de-DE" w:eastAsia="en-GB"/>
              </w:rPr>
              <w:t>--</w:t>
            </w:r>
          </w:p>
        </w:tc>
      </w:tr>
      <w:tr w:rsidR="00DA628A" w:rsidRPr="0040745F" w14:paraId="7FBE86CB" w14:textId="77777777" w:rsidTr="00A02BEA">
        <w:trPr>
          <w:trHeight w:val="142"/>
          <w:jc w:val="center"/>
        </w:trPr>
        <w:tc>
          <w:tcPr>
            <w:tcW w:w="567" w:type="dxa"/>
            <w:tcBorders>
              <w:top w:val="single" w:sz="4" w:space="0" w:color="014171"/>
              <w:bottom w:val="single" w:sz="4" w:space="0" w:color="014171"/>
            </w:tcBorders>
          </w:tcPr>
          <w:p w14:paraId="220C9E3A" w14:textId="77777777" w:rsidR="00DA628A" w:rsidRPr="0040745F" w:rsidRDefault="00DA628A" w:rsidP="00DA628A">
            <w:pPr>
              <w:autoSpaceDE w:val="0"/>
              <w:autoSpaceDN w:val="0"/>
              <w:adjustRightInd w:val="0"/>
              <w:spacing w:after="0"/>
              <w:jc w:val="both"/>
              <w:rPr>
                <w:rFonts w:ascii="Segoe UI" w:hAnsi="Segoe UI" w:cs="Segoe UI"/>
                <w:i/>
                <w:color w:val="014171"/>
                <w:sz w:val="18"/>
                <w:szCs w:val="18"/>
                <w:lang w:val="de-DE" w:eastAsia="en-GB"/>
              </w:rPr>
            </w:pPr>
            <w:r w:rsidRPr="0040745F">
              <w:rPr>
                <w:rFonts w:ascii="Segoe UI" w:hAnsi="Segoe UI" w:cs="Segoe UI"/>
                <w:i/>
                <w:color w:val="014171"/>
                <w:sz w:val="18"/>
                <w:szCs w:val="18"/>
                <w:lang w:val="de-DE" w:eastAsia="en-GB"/>
              </w:rPr>
              <w:t>15</w:t>
            </w:r>
          </w:p>
        </w:tc>
        <w:tc>
          <w:tcPr>
            <w:tcW w:w="5103" w:type="dxa"/>
            <w:tcBorders>
              <w:top w:val="single" w:sz="4" w:space="0" w:color="014171"/>
              <w:bottom w:val="single" w:sz="4" w:space="0" w:color="014171"/>
            </w:tcBorders>
          </w:tcPr>
          <w:p w14:paraId="591EEB70" w14:textId="3785E301" w:rsidR="00DA628A" w:rsidRPr="0040745F" w:rsidRDefault="00A32434" w:rsidP="00A02BEA">
            <w:pPr>
              <w:autoSpaceDE w:val="0"/>
              <w:autoSpaceDN w:val="0"/>
              <w:adjustRightInd w:val="0"/>
              <w:spacing w:after="0"/>
              <w:ind w:left="227"/>
              <w:jc w:val="both"/>
              <w:rPr>
                <w:rFonts w:ascii="Segoe UI" w:hAnsi="Segoe UI" w:cs="Segoe UI"/>
                <w:i/>
                <w:color w:val="014171"/>
                <w:sz w:val="18"/>
                <w:szCs w:val="18"/>
                <w:lang w:val="de-DE"/>
              </w:rPr>
            </w:pPr>
            <w:r w:rsidRPr="0040745F">
              <w:rPr>
                <w:rFonts w:ascii="Segoe UI" w:hAnsi="Segoe UI" w:cs="Segoe UI"/>
                <w:i/>
                <w:color w:val="014171"/>
                <w:sz w:val="18"/>
                <w:szCs w:val="18"/>
                <w:lang w:val="de-DE"/>
              </w:rPr>
              <w:t>andere Arten</w:t>
            </w:r>
          </w:p>
        </w:tc>
        <w:tc>
          <w:tcPr>
            <w:tcW w:w="1843" w:type="dxa"/>
            <w:tcBorders>
              <w:top w:val="single" w:sz="4" w:space="0" w:color="014171"/>
              <w:bottom w:val="single" w:sz="4" w:space="0" w:color="014171"/>
            </w:tcBorders>
          </w:tcPr>
          <w:p w14:paraId="123B15C3" w14:textId="7116728E" w:rsidR="00DA628A" w:rsidRPr="0040745F" w:rsidRDefault="00604DDF" w:rsidP="00A02BEA">
            <w:pPr>
              <w:autoSpaceDE w:val="0"/>
              <w:autoSpaceDN w:val="0"/>
              <w:adjustRightInd w:val="0"/>
              <w:spacing w:after="0"/>
              <w:jc w:val="right"/>
              <w:rPr>
                <w:rFonts w:ascii="Segoe UI" w:hAnsi="Segoe UI" w:cs="Segoe UI"/>
                <w:i/>
                <w:color w:val="014171"/>
                <w:sz w:val="18"/>
                <w:szCs w:val="18"/>
                <w:lang w:val="de-DE" w:eastAsia="en-GB"/>
              </w:rPr>
            </w:pPr>
            <w:r w:rsidRPr="0040745F">
              <w:rPr>
                <w:rFonts w:ascii="Segoe UI" w:hAnsi="Segoe UI" w:cs="Segoe UI"/>
                <w:i/>
                <w:color w:val="014171"/>
                <w:sz w:val="18"/>
                <w:szCs w:val="18"/>
                <w:lang w:val="de-DE" w:eastAsia="en-GB"/>
              </w:rPr>
              <w:t>--</w:t>
            </w:r>
          </w:p>
        </w:tc>
      </w:tr>
      <w:tr w:rsidR="00DA628A" w:rsidRPr="0040745F" w14:paraId="2DFE7D9E" w14:textId="77777777" w:rsidTr="00A02BEA">
        <w:trPr>
          <w:trHeight w:val="142"/>
          <w:jc w:val="center"/>
        </w:trPr>
        <w:tc>
          <w:tcPr>
            <w:tcW w:w="567" w:type="dxa"/>
            <w:tcBorders>
              <w:top w:val="single" w:sz="4" w:space="0" w:color="014171"/>
              <w:bottom w:val="single" w:sz="4" w:space="0" w:color="014171"/>
            </w:tcBorders>
          </w:tcPr>
          <w:p w14:paraId="4B461959" w14:textId="77777777" w:rsidR="00DA628A" w:rsidRPr="0040745F" w:rsidRDefault="00DA628A" w:rsidP="00DA628A">
            <w:pPr>
              <w:autoSpaceDE w:val="0"/>
              <w:autoSpaceDN w:val="0"/>
              <w:adjustRightInd w:val="0"/>
              <w:spacing w:after="0"/>
              <w:jc w:val="both"/>
              <w:rPr>
                <w:rFonts w:ascii="Segoe UI" w:hAnsi="Segoe UI" w:cs="Segoe UI"/>
                <w:b/>
                <w:color w:val="014171"/>
                <w:sz w:val="18"/>
                <w:szCs w:val="18"/>
                <w:lang w:val="de-DE" w:eastAsia="en-GB"/>
              </w:rPr>
            </w:pPr>
            <w:r w:rsidRPr="0040745F">
              <w:rPr>
                <w:rFonts w:ascii="Segoe UI" w:hAnsi="Segoe UI" w:cs="Segoe UI"/>
                <w:b/>
                <w:color w:val="014171"/>
                <w:sz w:val="18"/>
                <w:szCs w:val="18"/>
                <w:lang w:val="de-DE" w:eastAsia="en-GB"/>
              </w:rPr>
              <w:t>16</w:t>
            </w:r>
          </w:p>
        </w:tc>
        <w:tc>
          <w:tcPr>
            <w:tcW w:w="5103" w:type="dxa"/>
            <w:tcBorders>
              <w:top w:val="single" w:sz="4" w:space="0" w:color="014171"/>
              <w:bottom w:val="single" w:sz="4" w:space="0" w:color="014171"/>
            </w:tcBorders>
          </w:tcPr>
          <w:p w14:paraId="5B47520F" w14:textId="2662733C" w:rsidR="00DA628A" w:rsidRPr="0040745F" w:rsidRDefault="00A32434" w:rsidP="00DA628A">
            <w:pPr>
              <w:autoSpaceDE w:val="0"/>
              <w:autoSpaceDN w:val="0"/>
              <w:adjustRightInd w:val="0"/>
              <w:spacing w:after="0"/>
              <w:jc w:val="both"/>
              <w:rPr>
                <w:rFonts w:ascii="Segoe UI" w:hAnsi="Segoe UI" w:cs="Segoe UI"/>
                <w:b/>
                <w:color w:val="014171"/>
                <w:sz w:val="18"/>
                <w:szCs w:val="18"/>
                <w:lang w:val="de-DE"/>
              </w:rPr>
            </w:pPr>
            <w:r w:rsidRPr="0040745F">
              <w:rPr>
                <w:rFonts w:ascii="Segoe UI" w:hAnsi="Segoe UI" w:cs="Segoe UI"/>
                <w:b/>
                <w:color w:val="014171"/>
                <w:sz w:val="18"/>
                <w:szCs w:val="18"/>
                <w:lang w:val="de-DE"/>
              </w:rPr>
              <w:t>Gewährte zurückbehaltene Vergütung aus Vorjahren</w:t>
            </w:r>
          </w:p>
        </w:tc>
        <w:tc>
          <w:tcPr>
            <w:tcW w:w="1843" w:type="dxa"/>
            <w:tcBorders>
              <w:top w:val="single" w:sz="4" w:space="0" w:color="014171"/>
              <w:bottom w:val="single" w:sz="4" w:space="0" w:color="014171"/>
            </w:tcBorders>
          </w:tcPr>
          <w:p w14:paraId="5A23E469" w14:textId="1721BDFB" w:rsidR="00DA628A" w:rsidRPr="0040745F" w:rsidRDefault="00604DDF" w:rsidP="00A02BEA">
            <w:pPr>
              <w:autoSpaceDE w:val="0"/>
              <w:autoSpaceDN w:val="0"/>
              <w:adjustRightInd w:val="0"/>
              <w:spacing w:after="0"/>
              <w:jc w:val="right"/>
              <w:rPr>
                <w:rFonts w:ascii="Segoe UI" w:hAnsi="Segoe UI" w:cs="Segoe UI"/>
                <w:b/>
                <w:color w:val="014171"/>
                <w:sz w:val="18"/>
                <w:szCs w:val="18"/>
                <w:lang w:val="de-DE" w:eastAsia="en-GB"/>
              </w:rPr>
            </w:pPr>
            <w:r w:rsidRPr="0040745F">
              <w:rPr>
                <w:rFonts w:ascii="Segoe UI" w:hAnsi="Segoe UI" w:cs="Segoe UI"/>
                <w:b/>
                <w:color w:val="014171"/>
                <w:sz w:val="18"/>
                <w:szCs w:val="18"/>
                <w:lang w:val="de-DE" w:eastAsia="en-GB"/>
              </w:rPr>
              <w:t>--</w:t>
            </w:r>
          </w:p>
        </w:tc>
      </w:tr>
      <w:tr w:rsidR="00604DDF" w:rsidRPr="0040745F" w14:paraId="72C55666" w14:textId="77777777" w:rsidTr="00A02BEA">
        <w:trPr>
          <w:trHeight w:val="142"/>
          <w:jc w:val="center"/>
        </w:trPr>
        <w:tc>
          <w:tcPr>
            <w:tcW w:w="567" w:type="dxa"/>
            <w:tcBorders>
              <w:top w:val="single" w:sz="4" w:space="0" w:color="014171"/>
              <w:bottom w:val="single" w:sz="4" w:space="0" w:color="014171"/>
            </w:tcBorders>
          </w:tcPr>
          <w:p w14:paraId="3F09D752" w14:textId="53D387D7" w:rsidR="00DA628A" w:rsidRPr="0040745F" w:rsidRDefault="00DA628A" w:rsidP="00DA628A">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17</w:t>
            </w:r>
          </w:p>
        </w:tc>
        <w:tc>
          <w:tcPr>
            <w:tcW w:w="5103" w:type="dxa"/>
            <w:tcBorders>
              <w:top w:val="single" w:sz="4" w:space="0" w:color="014171"/>
              <w:bottom w:val="single" w:sz="4" w:space="0" w:color="014171"/>
            </w:tcBorders>
          </w:tcPr>
          <w:p w14:paraId="77963243" w14:textId="29EB7E6B" w:rsidR="00DA628A" w:rsidRPr="0040745F" w:rsidRDefault="00A32434" w:rsidP="00A02BEA">
            <w:pPr>
              <w:autoSpaceDE w:val="0"/>
              <w:autoSpaceDN w:val="0"/>
              <w:adjustRightInd w:val="0"/>
              <w:spacing w:after="0"/>
              <w:ind w:left="113"/>
              <w:jc w:val="both"/>
              <w:rPr>
                <w:rFonts w:ascii="Segoe UI" w:hAnsi="Segoe UI" w:cs="Segoe UI"/>
                <w:color w:val="014171"/>
                <w:sz w:val="18"/>
                <w:szCs w:val="18"/>
                <w:lang w:val="de-DE"/>
              </w:rPr>
            </w:pPr>
            <w:r w:rsidRPr="0040745F">
              <w:rPr>
                <w:rFonts w:ascii="Segoe UI" w:hAnsi="Segoe UI" w:cs="Segoe UI"/>
                <w:color w:val="014171"/>
                <w:sz w:val="18"/>
                <w:szCs w:val="18"/>
                <w:lang w:val="de-DE"/>
              </w:rPr>
              <w:t>davon im Geschäftsjahr erdient</w:t>
            </w:r>
          </w:p>
        </w:tc>
        <w:tc>
          <w:tcPr>
            <w:tcW w:w="1843" w:type="dxa"/>
            <w:tcBorders>
              <w:top w:val="single" w:sz="4" w:space="0" w:color="014171"/>
              <w:bottom w:val="single" w:sz="4" w:space="0" w:color="014171"/>
            </w:tcBorders>
          </w:tcPr>
          <w:p w14:paraId="58132D7F" w14:textId="10FD8476" w:rsidR="00DA628A" w:rsidRPr="0040745F" w:rsidRDefault="00604DDF" w:rsidP="00A02BEA">
            <w:pPr>
              <w:autoSpaceDE w:val="0"/>
              <w:autoSpaceDN w:val="0"/>
              <w:adjustRightInd w:val="0"/>
              <w:spacing w:after="0"/>
              <w:jc w:val="right"/>
              <w:rPr>
                <w:rFonts w:ascii="Segoe UI" w:hAnsi="Segoe UI" w:cs="Segoe UI"/>
                <w:color w:val="014171"/>
                <w:sz w:val="18"/>
                <w:szCs w:val="18"/>
                <w:lang w:val="de-DE"/>
              </w:rPr>
            </w:pPr>
            <w:r w:rsidRPr="0040745F">
              <w:rPr>
                <w:rFonts w:ascii="Segoe UI" w:hAnsi="Segoe UI" w:cs="Segoe UI"/>
                <w:color w:val="014171"/>
                <w:sz w:val="18"/>
                <w:szCs w:val="18"/>
                <w:lang w:val="de-DE" w:eastAsia="en-GB"/>
              </w:rPr>
              <w:t>--</w:t>
            </w:r>
          </w:p>
        </w:tc>
      </w:tr>
      <w:tr w:rsidR="00604DDF" w:rsidRPr="0040745F" w14:paraId="2ED9B0F9" w14:textId="77777777" w:rsidTr="00A02BEA">
        <w:trPr>
          <w:trHeight w:val="142"/>
          <w:jc w:val="center"/>
        </w:trPr>
        <w:tc>
          <w:tcPr>
            <w:tcW w:w="567" w:type="dxa"/>
            <w:tcBorders>
              <w:top w:val="single" w:sz="4" w:space="0" w:color="014171"/>
              <w:bottom w:val="single" w:sz="4" w:space="0" w:color="014171"/>
            </w:tcBorders>
          </w:tcPr>
          <w:p w14:paraId="593DD5C5" w14:textId="1BEE4815" w:rsidR="00DA628A" w:rsidRPr="0040745F" w:rsidRDefault="00DA628A" w:rsidP="00DA628A">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18</w:t>
            </w:r>
          </w:p>
        </w:tc>
        <w:tc>
          <w:tcPr>
            <w:tcW w:w="5103" w:type="dxa"/>
            <w:tcBorders>
              <w:top w:val="single" w:sz="4" w:space="0" w:color="014171"/>
              <w:bottom w:val="single" w:sz="4" w:space="0" w:color="014171"/>
            </w:tcBorders>
          </w:tcPr>
          <w:p w14:paraId="343EC9B3" w14:textId="4A5D9C7F" w:rsidR="00DA628A" w:rsidRPr="0040745F" w:rsidRDefault="00A32434" w:rsidP="00A02BEA">
            <w:pPr>
              <w:autoSpaceDE w:val="0"/>
              <w:autoSpaceDN w:val="0"/>
              <w:adjustRightInd w:val="0"/>
              <w:spacing w:after="0"/>
              <w:ind w:left="113"/>
              <w:jc w:val="both"/>
              <w:rPr>
                <w:rFonts w:ascii="Segoe UI" w:hAnsi="Segoe UI" w:cs="Segoe UI"/>
                <w:color w:val="014171"/>
                <w:sz w:val="18"/>
                <w:szCs w:val="18"/>
                <w:lang w:val="de-DE"/>
              </w:rPr>
            </w:pPr>
            <w:r w:rsidRPr="0040745F">
              <w:rPr>
                <w:rFonts w:ascii="Segoe UI" w:hAnsi="Segoe UI" w:cs="Segoe UI"/>
                <w:color w:val="014171"/>
                <w:sz w:val="18"/>
                <w:szCs w:val="18"/>
                <w:lang w:val="de-DE"/>
              </w:rPr>
              <w:t>davon in darauffolgenden Jahren zu erdienen</w:t>
            </w:r>
          </w:p>
        </w:tc>
        <w:tc>
          <w:tcPr>
            <w:tcW w:w="1843" w:type="dxa"/>
            <w:tcBorders>
              <w:top w:val="single" w:sz="4" w:space="0" w:color="014171"/>
              <w:bottom w:val="single" w:sz="4" w:space="0" w:color="014171"/>
            </w:tcBorders>
          </w:tcPr>
          <w:p w14:paraId="67CC976A" w14:textId="4E4F5FC3" w:rsidR="00DA628A" w:rsidRPr="0040745F" w:rsidRDefault="00604DDF" w:rsidP="00A02BEA">
            <w:pPr>
              <w:autoSpaceDE w:val="0"/>
              <w:autoSpaceDN w:val="0"/>
              <w:adjustRightInd w:val="0"/>
              <w:spacing w:after="0"/>
              <w:jc w:val="right"/>
              <w:rPr>
                <w:rFonts w:ascii="Segoe UI" w:hAnsi="Segoe UI" w:cs="Segoe UI"/>
                <w:color w:val="014171"/>
                <w:sz w:val="18"/>
                <w:szCs w:val="18"/>
                <w:lang w:val="de-DE"/>
              </w:rPr>
            </w:pPr>
            <w:r w:rsidRPr="0040745F">
              <w:rPr>
                <w:rFonts w:ascii="Segoe UI" w:hAnsi="Segoe UI" w:cs="Segoe UI"/>
                <w:color w:val="014171"/>
                <w:sz w:val="18"/>
                <w:szCs w:val="18"/>
                <w:lang w:val="de-DE" w:eastAsia="en-GB"/>
              </w:rPr>
              <w:t>--</w:t>
            </w:r>
          </w:p>
        </w:tc>
      </w:tr>
      <w:tr w:rsidR="00604DDF" w:rsidRPr="0040745F" w14:paraId="116347F1" w14:textId="77777777" w:rsidTr="00A02BEA">
        <w:trPr>
          <w:trHeight w:val="142"/>
          <w:jc w:val="center"/>
        </w:trPr>
        <w:tc>
          <w:tcPr>
            <w:tcW w:w="567" w:type="dxa"/>
            <w:tcBorders>
              <w:top w:val="single" w:sz="4" w:space="0" w:color="014171"/>
              <w:bottom w:val="single" w:sz="4" w:space="0" w:color="014171"/>
            </w:tcBorders>
          </w:tcPr>
          <w:p w14:paraId="5D832C29" w14:textId="64E0D23D" w:rsidR="00DA628A" w:rsidRPr="0040745F" w:rsidRDefault="00DA628A" w:rsidP="00DA628A">
            <w:pPr>
              <w:autoSpaceDE w:val="0"/>
              <w:autoSpaceDN w:val="0"/>
              <w:adjustRightInd w:val="0"/>
              <w:spacing w:after="0"/>
              <w:jc w:val="both"/>
              <w:rPr>
                <w:rFonts w:ascii="Segoe UI" w:hAnsi="Segoe UI" w:cs="Segoe UI"/>
                <w:b/>
                <w:color w:val="014171"/>
                <w:sz w:val="18"/>
                <w:szCs w:val="18"/>
                <w:lang w:val="de-DE" w:eastAsia="en-GB"/>
              </w:rPr>
            </w:pPr>
            <w:r w:rsidRPr="0040745F">
              <w:rPr>
                <w:rFonts w:ascii="Segoe UI" w:hAnsi="Segoe UI" w:cs="Segoe UI"/>
                <w:b/>
                <w:color w:val="014171"/>
                <w:sz w:val="18"/>
                <w:szCs w:val="18"/>
                <w:lang w:val="de-DE" w:eastAsia="en-GB"/>
              </w:rPr>
              <w:t>19</w:t>
            </w:r>
          </w:p>
        </w:tc>
        <w:tc>
          <w:tcPr>
            <w:tcW w:w="5103" w:type="dxa"/>
            <w:tcBorders>
              <w:top w:val="single" w:sz="4" w:space="0" w:color="014171"/>
              <w:bottom w:val="single" w:sz="4" w:space="0" w:color="014171"/>
            </w:tcBorders>
          </w:tcPr>
          <w:p w14:paraId="0C41FB1D" w14:textId="044994E0" w:rsidR="00DA628A" w:rsidRPr="0040745F" w:rsidRDefault="00A32434" w:rsidP="00DA628A">
            <w:pPr>
              <w:autoSpaceDE w:val="0"/>
              <w:autoSpaceDN w:val="0"/>
              <w:adjustRightInd w:val="0"/>
              <w:spacing w:after="0"/>
              <w:jc w:val="both"/>
              <w:rPr>
                <w:rFonts w:ascii="Segoe UI" w:hAnsi="Segoe UI" w:cs="Segoe UI"/>
                <w:b/>
                <w:color w:val="014171"/>
                <w:sz w:val="18"/>
                <w:szCs w:val="18"/>
                <w:lang w:val="de-DE"/>
              </w:rPr>
            </w:pPr>
            <w:r w:rsidRPr="0040745F">
              <w:rPr>
                <w:rFonts w:ascii="Segoe UI" w:hAnsi="Segoe UI" w:cs="Segoe UI"/>
                <w:b/>
                <w:color w:val="014171"/>
                <w:sz w:val="18"/>
                <w:szCs w:val="18"/>
                <w:lang w:val="de-DE"/>
              </w:rPr>
              <w:t>Im Geschäftsjahr ausgezahlte zurückbehaltene Vergütung</w:t>
            </w:r>
            <w:r w:rsidR="00DA628A" w:rsidRPr="0040745F">
              <w:rPr>
                <w:rFonts w:ascii="Segoe UI" w:hAnsi="Segoe UI" w:cs="Segoe UI"/>
                <w:b/>
                <w:color w:val="014171"/>
                <w:sz w:val="18"/>
                <w:szCs w:val="18"/>
                <w:lang w:val="de-DE"/>
              </w:rPr>
              <w:t xml:space="preserve"> </w:t>
            </w:r>
          </w:p>
        </w:tc>
        <w:tc>
          <w:tcPr>
            <w:tcW w:w="1843" w:type="dxa"/>
            <w:tcBorders>
              <w:top w:val="single" w:sz="4" w:space="0" w:color="014171"/>
              <w:bottom w:val="single" w:sz="4" w:space="0" w:color="014171"/>
            </w:tcBorders>
          </w:tcPr>
          <w:p w14:paraId="5A4B2F52" w14:textId="14C2ED67" w:rsidR="00DA628A" w:rsidRPr="0040745F" w:rsidRDefault="00604DDF" w:rsidP="00A02BEA">
            <w:pPr>
              <w:autoSpaceDE w:val="0"/>
              <w:autoSpaceDN w:val="0"/>
              <w:adjustRightInd w:val="0"/>
              <w:spacing w:after="0"/>
              <w:jc w:val="right"/>
              <w:rPr>
                <w:rFonts w:ascii="Segoe UI" w:hAnsi="Segoe UI" w:cs="Segoe UI"/>
                <w:b/>
                <w:color w:val="014171"/>
                <w:sz w:val="18"/>
                <w:szCs w:val="18"/>
                <w:lang w:val="de-DE"/>
              </w:rPr>
            </w:pPr>
            <w:r w:rsidRPr="0040745F">
              <w:rPr>
                <w:rFonts w:ascii="Segoe UI" w:hAnsi="Segoe UI" w:cs="Segoe UI"/>
                <w:b/>
                <w:color w:val="014171"/>
                <w:sz w:val="18"/>
                <w:szCs w:val="18"/>
                <w:lang w:val="de-DE" w:eastAsia="en-GB"/>
              </w:rPr>
              <w:t>--</w:t>
            </w:r>
          </w:p>
        </w:tc>
      </w:tr>
      <w:tr w:rsidR="00604DDF" w:rsidRPr="0040745F" w14:paraId="5E80D9ED" w14:textId="77777777" w:rsidTr="00A02BEA">
        <w:trPr>
          <w:trHeight w:val="142"/>
          <w:jc w:val="center"/>
        </w:trPr>
        <w:tc>
          <w:tcPr>
            <w:tcW w:w="567" w:type="dxa"/>
            <w:tcBorders>
              <w:top w:val="single" w:sz="4" w:space="0" w:color="014171"/>
              <w:bottom w:val="single" w:sz="4" w:space="0" w:color="014171"/>
            </w:tcBorders>
          </w:tcPr>
          <w:p w14:paraId="6DF82014" w14:textId="4DC0FC1F" w:rsidR="00DA628A" w:rsidRPr="0040745F" w:rsidRDefault="00DA628A" w:rsidP="00DA628A">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20</w:t>
            </w:r>
          </w:p>
        </w:tc>
        <w:tc>
          <w:tcPr>
            <w:tcW w:w="5103" w:type="dxa"/>
            <w:tcBorders>
              <w:top w:val="single" w:sz="4" w:space="0" w:color="014171"/>
              <w:bottom w:val="single" w:sz="4" w:space="0" w:color="014171"/>
            </w:tcBorders>
          </w:tcPr>
          <w:p w14:paraId="62F3829E" w14:textId="15E0F599" w:rsidR="00DA628A" w:rsidRPr="0040745F" w:rsidRDefault="00A32434" w:rsidP="00A02BEA">
            <w:pPr>
              <w:autoSpaceDE w:val="0"/>
              <w:autoSpaceDN w:val="0"/>
              <w:adjustRightInd w:val="0"/>
              <w:spacing w:after="0"/>
              <w:ind w:left="113"/>
              <w:jc w:val="both"/>
              <w:rPr>
                <w:rFonts w:ascii="Segoe UI" w:hAnsi="Segoe UI" w:cs="Segoe UI"/>
                <w:color w:val="014171"/>
                <w:sz w:val="18"/>
                <w:szCs w:val="18"/>
                <w:lang w:val="de-DE"/>
              </w:rPr>
            </w:pPr>
            <w:r w:rsidRPr="0040745F">
              <w:rPr>
                <w:rFonts w:ascii="Segoe UI" w:hAnsi="Segoe UI" w:cs="Segoe UI"/>
                <w:color w:val="014171"/>
                <w:sz w:val="18"/>
                <w:szCs w:val="18"/>
                <w:lang w:val="de-DE"/>
              </w:rPr>
              <w:t>davon wegen Leistungsanpassung gekürzt</w:t>
            </w:r>
          </w:p>
        </w:tc>
        <w:tc>
          <w:tcPr>
            <w:tcW w:w="1843" w:type="dxa"/>
            <w:tcBorders>
              <w:top w:val="single" w:sz="4" w:space="0" w:color="014171"/>
              <w:bottom w:val="single" w:sz="4" w:space="0" w:color="014171"/>
            </w:tcBorders>
          </w:tcPr>
          <w:p w14:paraId="32E6E235" w14:textId="10E63F87" w:rsidR="00DA628A" w:rsidRPr="0040745F" w:rsidRDefault="00604DDF" w:rsidP="00A02BEA">
            <w:pPr>
              <w:autoSpaceDE w:val="0"/>
              <w:autoSpaceDN w:val="0"/>
              <w:adjustRightInd w:val="0"/>
              <w:spacing w:after="0"/>
              <w:jc w:val="right"/>
              <w:rPr>
                <w:rFonts w:ascii="Segoe UI" w:hAnsi="Segoe UI" w:cs="Segoe UI"/>
                <w:color w:val="014171"/>
                <w:sz w:val="18"/>
                <w:szCs w:val="18"/>
                <w:lang w:val="de-DE"/>
              </w:rPr>
            </w:pPr>
            <w:r w:rsidRPr="0040745F">
              <w:rPr>
                <w:rFonts w:ascii="Segoe UI" w:hAnsi="Segoe UI" w:cs="Segoe UI"/>
                <w:color w:val="014171"/>
                <w:sz w:val="18"/>
                <w:szCs w:val="18"/>
                <w:lang w:val="de-DE" w:eastAsia="en-GB"/>
              </w:rPr>
              <w:t>--</w:t>
            </w:r>
          </w:p>
        </w:tc>
      </w:tr>
      <w:tr w:rsidR="00604DDF" w:rsidRPr="0040745F" w14:paraId="7AB14111" w14:textId="77777777" w:rsidTr="00A02BEA">
        <w:trPr>
          <w:trHeight w:val="142"/>
          <w:jc w:val="center"/>
        </w:trPr>
        <w:tc>
          <w:tcPr>
            <w:tcW w:w="567" w:type="dxa"/>
            <w:tcBorders>
              <w:top w:val="single" w:sz="4" w:space="0" w:color="014171"/>
              <w:bottom w:val="single" w:sz="4" w:space="0" w:color="014171"/>
            </w:tcBorders>
          </w:tcPr>
          <w:p w14:paraId="142078E7" w14:textId="6ECA9861" w:rsidR="00DA628A" w:rsidRPr="0040745F" w:rsidRDefault="00DA628A" w:rsidP="00DA628A">
            <w:pPr>
              <w:autoSpaceDE w:val="0"/>
              <w:autoSpaceDN w:val="0"/>
              <w:adjustRightInd w:val="0"/>
              <w:spacing w:after="0"/>
              <w:jc w:val="both"/>
              <w:rPr>
                <w:rFonts w:ascii="Segoe UI" w:hAnsi="Segoe UI" w:cs="Segoe UI"/>
                <w:b/>
                <w:color w:val="014171"/>
                <w:sz w:val="18"/>
                <w:szCs w:val="18"/>
                <w:lang w:val="de-DE" w:eastAsia="en-GB"/>
              </w:rPr>
            </w:pPr>
            <w:r w:rsidRPr="0040745F">
              <w:rPr>
                <w:rFonts w:ascii="Segoe UI" w:hAnsi="Segoe UI" w:cs="Segoe UI"/>
                <w:b/>
                <w:color w:val="014171"/>
                <w:sz w:val="18"/>
                <w:szCs w:val="18"/>
                <w:lang w:val="de-DE" w:eastAsia="en-GB"/>
              </w:rPr>
              <w:t>21</w:t>
            </w:r>
          </w:p>
        </w:tc>
        <w:tc>
          <w:tcPr>
            <w:tcW w:w="5103" w:type="dxa"/>
            <w:tcBorders>
              <w:top w:val="single" w:sz="4" w:space="0" w:color="014171"/>
              <w:bottom w:val="single" w:sz="4" w:space="0" w:color="014171"/>
            </w:tcBorders>
          </w:tcPr>
          <w:p w14:paraId="3CCAEE44" w14:textId="723AA61A" w:rsidR="00DA628A" w:rsidRPr="0040745F" w:rsidRDefault="00A32434" w:rsidP="00DA628A">
            <w:pPr>
              <w:autoSpaceDE w:val="0"/>
              <w:autoSpaceDN w:val="0"/>
              <w:adjustRightInd w:val="0"/>
              <w:spacing w:after="0"/>
              <w:jc w:val="both"/>
              <w:rPr>
                <w:rFonts w:ascii="Segoe UI" w:hAnsi="Segoe UI" w:cs="Segoe UI"/>
                <w:b/>
                <w:color w:val="014171"/>
                <w:sz w:val="18"/>
                <w:szCs w:val="18"/>
                <w:lang w:val="de-DE"/>
              </w:rPr>
            </w:pPr>
            <w:r w:rsidRPr="0040745F">
              <w:rPr>
                <w:rFonts w:ascii="Segoe UI" w:hAnsi="Segoe UI" w:cs="Segoe UI"/>
                <w:b/>
                <w:color w:val="014171"/>
                <w:sz w:val="18"/>
                <w:szCs w:val="18"/>
                <w:lang w:val="de-DE"/>
              </w:rPr>
              <w:t>Während des Geschäftsjahres gewährte garantierte variable Vergütung</w:t>
            </w:r>
          </w:p>
        </w:tc>
        <w:tc>
          <w:tcPr>
            <w:tcW w:w="1843" w:type="dxa"/>
            <w:tcBorders>
              <w:top w:val="single" w:sz="4" w:space="0" w:color="014171"/>
              <w:bottom w:val="single" w:sz="4" w:space="0" w:color="014171"/>
            </w:tcBorders>
          </w:tcPr>
          <w:p w14:paraId="502370F5" w14:textId="78959A30" w:rsidR="00DA628A" w:rsidRPr="0040745F" w:rsidRDefault="00604DDF" w:rsidP="00A02BEA">
            <w:pPr>
              <w:autoSpaceDE w:val="0"/>
              <w:autoSpaceDN w:val="0"/>
              <w:adjustRightInd w:val="0"/>
              <w:spacing w:after="0"/>
              <w:jc w:val="right"/>
              <w:rPr>
                <w:rFonts w:ascii="Segoe UI" w:hAnsi="Segoe UI" w:cs="Segoe UI"/>
                <w:b/>
                <w:color w:val="014171"/>
                <w:sz w:val="18"/>
                <w:szCs w:val="18"/>
                <w:lang w:val="de-DE"/>
              </w:rPr>
            </w:pPr>
            <w:r w:rsidRPr="0040745F">
              <w:rPr>
                <w:rFonts w:ascii="Segoe UI" w:hAnsi="Segoe UI" w:cs="Segoe UI"/>
                <w:b/>
                <w:color w:val="014171"/>
                <w:sz w:val="18"/>
                <w:szCs w:val="18"/>
                <w:lang w:val="de-DE" w:eastAsia="en-GB"/>
              </w:rPr>
              <w:t>--</w:t>
            </w:r>
          </w:p>
        </w:tc>
      </w:tr>
      <w:tr w:rsidR="00604DDF" w:rsidRPr="0040745F" w14:paraId="457DE915" w14:textId="77777777" w:rsidTr="00A02BEA">
        <w:trPr>
          <w:trHeight w:val="142"/>
          <w:jc w:val="center"/>
        </w:trPr>
        <w:tc>
          <w:tcPr>
            <w:tcW w:w="567" w:type="dxa"/>
            <w:tcBorders>
              <w:top w:val="single" w:sz="4" w:space="0" w:color="014171"/>
              <w:bottom w:val="single" w:sz="4" w:space="0" w:color="014171"/>
            </w:tcBorders>
          </w:tcPr>
          <w:p w14:paraId="6AA99A21" w14:textId="78C47C39" w:rsidR="00DA628A" w:rsidRPr="0040745F" w:rsidRDefault="00DA628A" w:rsidP="00DA628A">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22</w:t>
            </w:r>
          </w:p>
        </w:tc>
        <w:tc>
          <w:tcPr>
            <w:tcW w:w="5103" w:type="dxa"/>
            <w:tcBorders>
              <w:top w:val="single" w:sz="4" w:space="0" w:color="014171"/>
              <w:bottom w:val="single" w:sz="4" w:space="0" w:color="014171"/>
            </w:tcBorders>
          </w:tcPr>
          <w:p w14:paraId="078ACB05" w14:textId="4F032423" w:rsidR="00DA628A" w:rsidRPr="0040745F" w:rsidRDefault="00A32434" w:rsidP="00A02BEA">
            <w:pPr>
              <w:autoSpaceDE w:val="0"/>
              <w:autoSpaceDN w:val="0"/>
              <w:adjustRightInd w:val="0"/>
              <w:spacing w:after="0"/>
              <w:ind w:left="113"/>
              <w:jc w:val="both"/>
              <w:rPr>
                <w:rFonts w:ascii="Segoe UI" w:hAnsi="Segoe UI" w:cs="Segoe UI"/>
                <w:color w:val="014171"/>
                <w:sz w:val="18"/>
                <w:szCs w:val="18"/>
                <w:lang w:val="de-DE"/>
              </w:rPr>
            </w:pPr>
            <w:r w:rsidRPr="0040745F">
              <w:rPr>
                <w:rFonts w:ascii="Segoe UI" w:hAnsi="Segoe UI" w:cs="Segoe UI"/>
                <w:color w:val="014171"/>
                <w:sz w:val="18"/>
                <w:szCs w:val="18"/>
                <w:lang w:val="de-DE"/>
              </w:rPr>
              <w:t>Zahl der Begünstigten</w:t>
            </w:r>
          </w:p>
        </w:tc>
        <w:tc>
          <w:tcPr>
            <w:tcW w:w="1843" w:type="dxa"/>
            <w:tcBorders>
              <w:top w:val="single" w:sz="4" w:space="0" w:color="014171"/>
              <w:bottom w:val="single" w:sz="4" w:space="0" w:color="014171"/>
            </w:tcBorders>
          </w:tcPr>
          <w:p w14:paraId="729B28EC" w14:textId="3B777A34" w:rsidR="00DA628A" w:rsidRPr="0040745F" w:rsidRDefault="00604DDF" w:rsidP="00A02BEA">
            <w:pPr>
              <w:autoSpaceDE w:val="0"/>
              <w:autoSpaceDN w:val="0"/>
              <w:adjustRightInd w:val="0"/>
              <w:spacing w:after="0"/>
              <w:jc w:val="right"/>
              <w:rPr>
                <w:rFonts w:ascii="Segoe UI" w:hAnsi="Segoe UI" w:cs="Segoe UI"/>
                <w:color w:val="014171"/>
                <w:sz w:val="18"/>
                <w:szCs w:val="18"/>
                <w:lang w:val="de-DE"/>
              </w:rPr>
            </w:pPr>
            <w:r w:rsidRPr="0040745F">
              <w:rPr>
                <w:rFonts w:ascii="Segoe UI" w:hAnsi="Segoe UI" w:cs="Segoe UI"/>
                <w:color w:val="014171"/>
                <w:sz w:val="18"/>
                <w:szCs w:val="18"/>
                <w:lang w:val="de-DE" w:eastAsia="en-GB"/>
              </w:rPr>
              <w:t>--</w:t>
            </w:r>
          </w:p>
        </w:tc>
      </w:tr>
      <w:tr w:rsidR="00604DDF" w:rsidRPr="0040745F" w14:paraId="5C4CF119" w14:textId="77777777" w:rsidTr="00A02BEA">
        <w:trPr>
          <w:trHeight w:val="142"/>
          <w:jc w:val="center"/>
        </w:trPr>
        <w:tc>
          <w:tcPr>
            <w:tcW w:w="567" w:type="dxa"/>
            <w:tcBorders>
              <w:top w:val="single" w:sz="4" w:space="0" w:color="014171"/>
              <w:bottom w:val="single" w:sz="4" w:space="0" w:color="014171"/>
            </w:tcBorders>
          </w:tcPr>
          <w:p w14:paraId="025EC2BD" w14:textId="3F723F71" w:rsidR="00DA628A" w:rsidRPr="0040745F" w:rsidRDefault="00DA628A" w:rsidP="00DA628A">
            <w:pPr>
              <w:autoSpaceDE w:val="0"/>
              <w:autoSpaceDN w:val="0"/>
              <w:adjustRightInd w:val="0"/>
              <w:spacing w:after="0"/>
              <w:jc w:val="both"/>
              <w:rPr>
                <w:rFonts w:ascii="Segoe UI" w:hAnsi="Segoe UI" w:cs="Segoe UI"/>
                <w:b/>
                <w:color w:val="014171"/>
                <w:sz w:val="18"/>
                <w:szCs w:val="18"/>
                <w:lang w:val="de-DE" w:eastAsia="en-GB"/>
              </w:rPr>
            </w:pPr>
            <w:r w:rsidRPr="0040745F">
              <w:rPr>
                <w:rFonts w:ascii="Segoe UI" w:hAnsi="Segoe UI" w:cs="Segoe UI"/>
                <w:b/>
                <w:color w:val="014171"/>
                <w:sz w:val="18"/>
                <w:szCs w:val="18"/>
                <w:lang w:val="de-DE" w:eastAsia="en-GB"/>
              </w:rPr>
              <w:t>23</w:t>
            </w:r>
          </w:p>
        </w:tc>
        <w:tc>
          <w:tcPr>
            <w:tcW w:w="5103" w:type="dxa"/>
            <w:tcBorders>
              <w:top w:val="single" w:sz="4" w:space="0" w:color="014171"/>
              <w:bottom w:val="single" w:sz="4" w:space="0" w:color="014171"/>
            </w:tcBorders>
          </w:tcPr>
          <w:p w14:paraId="086183BC" w14:textId="586408D7" w:rsidR="00DA628A" w:rsidRPr="0040745F" w:rsidRDefault="00A32434" w:rsidP="00DA628A">
            <w:pPr>
              <w:autoSpaceDE w:val="0"/>
              <w:autoSpaceDN w:val="0"/>
              <w:adjustRightInd w:val="0"/>
              <w:spacing w:after="0"/>
              <w:jc w:val="both"/>
              <w:rPr>
                <w:rFonts w:ascii="Segoe UI" w:hAnsi="Segoe UI" w:cs="Segoe UI"/>
                <w:b/>
                <w:color w:val="014171"/>
                <w:sz w:val="18"/>
                <w:szCs w:val="18"/>
                <w:lang w:val="de-DE"/>
              </w:rPr>
            </w:pPr>
            <w:r w:rsidRPr="0040745F">
              <w:rPr>
                <w:rFonts w:ascii="Segoe UI" w:hAnsi="Segoe UI" w:cs="Segoe UI"/>
                <w:b/>
                <w:color w:val="014171"/>
                <w:sz w:val="18"/>
                <w:szCs w:val="18"/>
                <w:lang w:val="de-DE"/>
              </w:rPr>
              <w:t>Im Vorjahr gewährte und im Geschäftsjahr ausgezahlte Abfindungen</w:t>
            </w:r>
          </w:p>
        </w:tc>
        <w:tc>
          <w:tcPr>
            <w:tcW w:w="1843" w:type="dxa"/>
            <w:tcBorders>
              <w:top w:val="single" w:sz="4" w:space="0" w:color="014171"/>
              <w:bottom w:val="single" w:sz="4" w:space="0" w:color="014171"/>
            </w:tcBorders>
          </w:tcPr>
          <w:p w14:paraId="20078A2F" w14:textId="081DB04F" w:rsidR="00DA628A" w:rsidRPr="0040745F" w:rsidRDefault="00604DDF" w:rsidP="00A02BEA">
            <w:pPr>
              <w:autoSpaceDE w:val="0"/>
              <w:autoSpaceDN w:val="0"/>
              <w:adjustRightInd w:val="0"/>
              <w:spacing w:after="0"/>
              <w:jc w:val="right"/>
              <w:rPr>
                <w:rFonts w:ascii="Segoe UI" w:hAnsi="Segoe UI" w:cs="Segoe UI"/>
                <w:b/>
                <w:color w:val="014171"/>
                <w:sz w:val="18"/>
                <w:szCs w:val="18"/>
                <w:lang w:val="de-DE"/>
              </w:rPr>
            </w:pPr>
            <w:r w:rsidRPr="0040745F">
              <w:rPr>
                <w:rFonts w:ascii="Segoe UI" w:hAnsi="Segoe UI" w:cs="Segoe UI"/>
                <w:b/>
                <w:color w:val="014171"/>
                <w:sz w:val="18"/>
                <w:szCs w:val="18"/>
                <w:lang w:val="de-DE" w:eastAsia="en-GB"/>
              </w:rPr>
              <w:t>--</w:t>
            </w:r>
          </w:p>
        </w:tc>
      </w:tr>
      <w:tr w:rsidR="00604DDF" w:rsidRPr="0040745F" w14:paraId="0049F534" w14:textId="77777777" w:rsidTr="00A02BEA">
        <w:trPr>
          <w:trHeight w:val="142"/>
          <w:jc w:val="center"/>
        </w:trPr>
        <w:tc>
          <w:tcPr>
            <w:tcW w:w="567" w:type="dxa"/>
            <w:tcBorders>
              <w:top w:val="single" w:sz="4" w:space="0" w:color="014171"/>
              <w:bottom w:val="single" w:sz="4" w:space="0" w:color="014171"/>
            </w:tcBorders>
          </w:tcPr>
          <w:p w14:paraId="59EA1B4E" w14:textId="10BC46C1" w:rsidR="00DA628A" w:rsidRPr="0040745F" w:rsidRDefault="00DA628A" w:rsidP="00DA628A">
            <w:pPr>
              <w:autoSpaceDE w:val="0"/>
              <w:autoSpaceDN w:val="0"/>
              <w:adjustRightInd w:val="0"/>
              <w:spacing w:after="0"/>
              <w:jc w:val="both"/>
              <w:rPr>
                <w:rFonts w:ascii="Segoe UI" w:hAnsi="Segoe UI" w:cs="Segoe UI"/>
                <w:b/>
                <w:color w:val="014171"/>
                <w:sz w:val="18"/>
                <w:szCs w:val="18"/>
                <w:lang w:val="de-DE" w:eastAsia="en-GB"/>
              </w:rPr>
            </w:pPr>
            <w:r w:rsidRPr="0040745F">
              <w:rPr>
                <w:rFonts w:ascii="Segoe UI" w:hAnsi="Segoe UI" w:cs="Segoe UI"/>
                <w:b/>
                <w:color w:val="014171"/>
                <w:sz w:val="18"/>
                <w:szCs w:val="18"/>
                <w:lang w:val="de-DE" w:eastAsia="en-GB"/>
              </w:rPr>
              <w:t>24</w:t>
            </w:r>
          </w:p>
        </w:tc>
        <w:tc>
          <w:tcPr>
            <w:tcW w:w="5103" w:type="dxa"/>
            <w:tcBorders>
              <w:top w:val="single" w:sz="4" w:space="0" w:color="014171"/>
              <w:bottom w:val="single" w:sz="4" w:space="0" w:color="014171"/>
            </w:tcBorders>
          </w:tcPr>
          <w:p w14:paraId="05266BB0" w14:textId="10B413DF" w:rsidR="00DA628A" w:rsidRPr="0040745F" w:rsidRDefault="00A32434" w:rsidP="00DA628A">
            <w:pPr>
              <w:autoSpaceDE w:val="0"/>
              <w:autoSpaceDN w:val="0"/>
              <w:adjustRightInd w:val="0"/>
              <w:spacing w:after="0"/>
              <w:jc w:val="both"/>
              <w:rPr>
                <w:rFonts w:ascii="Segoe UI" w:hAnsi="Segoe UI" w:cs="Segoe UI"/>
                <w:b/>
                <w:color w:val="014171"/>
                <w:sz w:val="18"/>
                <w:szCs w:val="18"/>
                <w:lang w:val="de-DE"/>
              </w:rPr>
            </w:pPr>
            <w:r w:rsidRPr="0040745F">
              <w:rPr>
                <w:rFonts w:ascii="Segoe UI" w:hAnsi="Segoe UI" w:cs="Segoe UI"/>
                <w:b/>
                <w:color w:val="014171"/>
                <w:sz w:val="18"/>
                <w:szCs w:val="18"/>
                <w:lang w:val="de-DE"/>
              </w:rPr>
              <w:t>Während des Geschäftsjahres gewährte Abfindungen</w:t>
            </w:r>
          </w:p>
        </w:tc>
        <w:tc>
          <w:tcPr>
            <w:tcW w:w="1843" w:type="dxa"/>
            <w:tcBorders>
              <w:top w:val="single" w:sz="4" w:space="0" w:color="014171"/>
              <w:bottom w:val="single" w:sz="4" w:space="0" w:color="014171"/>
            </w:tcBorders>
          </w:tcPr>
          <w:p w14:paraId="2DFDE514" w14:textId="6073E4C9" w:rsidR="00DA628A" w:rsidRPr="0040745F" w:rsidRDefault="00604DDF" w:rsidP="00A02BEA">
            <w:pPr>
              <w:autoSpaceDE w:val="0"/>
              <w:autoSpaceDN w:val="0"/>
              <w:adjustRightInd w:val="0"/>
              <w:spacing w:after="0"/>
              <w:jc w:val="right"/>
              <w:rPr>
                <w:rFonts w:ascii="Segoe UI" w:hAnsi="Segoe UI" w:cs="Segoe UI"/>
                <w:b/>
                <w:color w:val="014171"/>
                <w:sz w:val="18"/>
                <w:szCs w:val="18"/>
                <w:lang w:val="de-DE"/>
              </w:rPr>
            </w:pPr>
            <w:r w:rsidRPr="0040745F">
              <w:rPr>
                <w:rFonts w:ascii="Segoe UI" w:hAnsi="Segoe UI" w:cs="Segoe UI"/>
                <w:b/>
                <w:color w:val="014171"/>
                <w:sz w:val="18"/>
                <w:szCs w:val="18"/>
                <w:lang w:val="de-DE" w:eastAsia="en-GB"/>
              </w:rPr>
              <w:t>--</w:t>
            </w:r>
          </w:p>
        </w:tc>
      </w:tr>
      <w:tr w:rsidR="00604DDF" w:rsidRPr="0040745F" w14:paraId="42403B12" w14:textId="77777777" w:rsidTr="00A02BEA">
        <w:trPr>
          <w:trHeight w:val="142"/>
          <w:jc w:val="center"/>
        </w:trPr>
        <w:tc>
          <w:tcPr>
            <w:tcW w:w="567" w:type="dxa"/>
            <w:tcBorders>
              <w:top w:val="single" w:sz="4" w:space="0" w:color="014171"/>
              <w:bottom w:val="single" w:sz="4" w:space="0" w:color="014171"/>
            </w:tcBorders>
          </w:tcPr>
          <w:p w14:paraId="728C2EF8" w14:textId="5809AF44" w:rsidR="00DA628A" w:rsidRPr="0040745F" w:rsidRDefault="00DA628A" w:rsidP="00DA628A">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25</w:t>
            </w:r>
          </w:p>
        </w:tc>
        <w:tc>
          <w:tcPr>
            <w:tcW w:w="5103" w:type="dxa"/>
            <w:tcBorders>
              <w:top w:val="single" w:sz="4" w:space="0" w:color="014171"/>
              <w:bottom w:val="single" w:sz="4" w:space="0" w:color="014171"/>
            </w:tcBorders>
          </w:tcPr>
          <w:p w14:paraId="06F2C45A" w14:textId="676B1DD6" w:rsidR="00DA628A" w:rsidRPr="0040745F" w:rsidRDefault="00A32434" w:rsidP="00A02BEA">
            <w:pPr>
              <w:autoSpaceDE w:val="0"/>
              <w:autoSpaceDN w:val="0"/>
              <w:adjustRightInd w:val="0"/>
              <w:spacing w:after="0"/>
              <w:ind w:left="113"/>
              <w:jc w:val="both"/>
              <w:rPr>
                <w:rFonts w:ascii="Segoe UI" w:hAnsi="Segoe UI" w:cs="Segoe UI"/>
                <w:color w:val="014171"/>
                <w:sz w:val="18"/>
                <w:szCs w:val="18"/>
                <w:lang w:val="de-DE"/>
              </w:rPr>
            </w:pPr>
            <w:r w:rsidRPr="0040745F">
              <w:rPr>
                <w:rFonts w:ascii="Segoe UI" w:hAnsi="Segoe UI" w:cs="Segoe UI"/>
                <w:color w:val="014171"/>
                <w:sz w:val="18"/>
                <w:szCs w:val="18"/>
                <w:lang w:val="de-DE"/>
              </w:rPr>
              <w:t>davon im Geschäftsjahr ausgezahlt</w:t>
            </w:r>
          </w:p>
        </w:tc>
        <w:tc>
          <w:tcPr>
            <w:tcW w:w="1843" w:type="dxa"/>
            <w:tcBorders>
              <w:top w:val="single" w:sz="4" w:space="0" w:color="014171"/>
              <w:bottom w:val="single" w:sz="4" w:space="0" w:color="014171"/>
            </w:tcBorders>
          </w:tcPr>
          <w:p w14:paraId="2A6365AC" w14:textId="3E8DB643" w:rsidR="00DA628A" w:rsidRPr="0040745F" w:rsidRDefault="00604DDF" w:rsidP="00A02BEA">
            <w:pPr>
              <w:autoSpaceDE w:val="0"/>
              <w:autoSpaceDN w:val="0"/>
              <w:adjustRightInd w:val="0"/>
              <w:spacing w:after="0"/>
              <w:jc w:val="right"/>
              <w:rPr>
                <w:rFonts w:ascii="Segoe UI" w:hAnsi="Segoe UI" w:cs="Segoe UI"/>
                <w:color w:val="014171"/>
                <w:sz w:val="18"/>
                <w:szCs w:val="18"/>
                <w:lang w:val="de-DE"/>
              </w:rPr>
            </w:pPr>
            <w:r w:rsidRPr="0040745F">
              <w:rPr>
                <w:rFonts w:ascii="Segoe UI" w:hAnsi="Segoe UI" w:cs="Segoe UI"/>
                <w:color w:val="014171"/>
                <w:sz w:val="18"/>
                <w:szCs w:val="18"/>
                <w:lang w:val="de-DE" w:eastAsia="en-GB"/>
              </w:rPr>
              <w:t>--</w:t>
            </w:r>
          </w:p>
        </w:tc>
      </w:tr>
      <w:tr w:rsidR="00604DDF" w:rsidRPr="0040745F" w14:paraId="5BC30F9B" w14:textId="77777777" w:rsidTr="00A02BEA">
        <w:trPr>
          <w:trHeight w:val="142"/>
          <w:jc w:val="center"/>
        </w:trPr>
        <w:tc>
          <w:tcPr>
            <w:tcW w:w="567" w:type="dxa"/>
            <w:tcBorders>
              <w:top w:val="single" w:sz="4" w:space="0" w:color="014171"/>
              <w:bottom w:val="single" w:sz="4" w:space="0" w:color="014171"/>
            </w:tcBorders>
          </w:tcPr>
          <w:p w14:paraId="73972D9E" w14:textId="6436E0F1" w:rsidR="00DA628A" w:rsidRPr="0040745F" w:rsidRDefault="00DA628A" w:rsidP="00DA628A">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26</w:t>
            </w:r>
          </w:p>
        </w:tc>
        <w:tc>
          <w:tcPr>
            <w:tcW w:w="5103" w:type="dxa"/>
            <w:tcBorders>
              <w:top w:val="single" w:sz="4" w:space="0" w:color="014171"/>
              <w:bottom w:val="single" w:sz="4" w:space="0" w:color="014171"/>
            </w:tcBorders>
          </w:tcPr>
          <w:p w14:paraId="09BDF0CD" w14:textId="1364940E" w:rsidR="00DA628A" w:rsidRPr="0040745F" w:rsidRDefault="00A32434" w:rsidP="00A02BEA">
            <w:pPr>
              <w:autoSpaceDE w:val="0"/>
              <w:autoSpaceDN w:val="0"/>
              <w:adjustRightInd w:val="0"/>
              <w:spacing w:after="0"/>
              <w:ind w:left="113"/>
              <w:jc w:val="both"/>
              <w:rPr>
                <w:rFonts w:ascii="Segoe UI" w:hAnsi="Segoe UI" w:cs="Segoe UI"/>
                <w:color w:val="014171"/>
                <w:sz w:val="18"/>
                <w:szCs w:val="18"/>
                <w:lang w:val="de-DE"/>
              </w:rPr>
            </w:pPr>
            <w:r w:rsidRPr="0040745F">
              <w:rPr>
                <w:rFonts w:ascii="Segoe UI" w:hAnsi="Segoe UI" w:cs="Segoe UI"/>
                <w:color w:val="014171"/>
                <w:sz w:val="18"/>
                <w:szCs w:val="18"/>
                <w:lang w:val="de-DE"/>
              </w:rPr>
              <w:t>davon in darauffolgenden Jahren auszuzahlen</w:t>
            </w:r>
          </w:p>
        </w:tc>
        <w:tc>
          <w:tcPr>
            <w:tcW w:w="1843" w:type="dxa"/>
            <w:tcBorders>
              <w:top w:val="single" w:sz="4" w:space="0" w:color="014171"/>
              <w:bottom w:val="single" w:sz="4" w:space="0" w:color="014171"/>
            </w:tcBorders>
          </w:tcPr>
          <w:p w14:paraId="56CB9940" w14:textId="0261DDDA" w:rsidR="00DA628A" w:rsidRPr="0040745F" w:rsidRDefault="00604DDF" w:rsidP="00A02BEA">
            <w:pPr>
              <w:autoSpaceDE w:val="0"/>
              <w:autoSpaceDN w:val="0"/>
              <w:adjustRightInd w:val="0"/>
              <w:spacing w:after="0"/>
              <w:jc w:val="right"/>
              <w:rPr>
                <w:rFonts w:ascii="Segoe UI" w:hAnsi="Segoe UI" w:cs="Segoe UI"/>
                <w:color w:val="014171"/>
                <w:sz w:val="18"/>
                <w:szCs w:val="18"/>
                <w:lang w:val="de-DE"/>
              </w:rPr>
            </w:pPr>
            <w:r w:rsidRPr="0040745F">
              <w:rPr>
                <w:rFonts w:ascii="Segoe UI" w:hAnsi="Segoe UI" w:cs="Segoe UI"/>
                <w:color w:val="014171"/>
                <w:sz w:val="18"/>
                <w:szCs w:val="18"/>
                <w:lang w:val="de-DE" w:eastAsia="en-GB"/>
              </w:rPr>
              <w:t>--</w:t>
            </w:r>
          </w:p>
        </w:tc>
      </w:tr>
      <w:tr w:rsidR="00604DDF" w:rsidRPr="0040745F" w14:paraId="21275DB9" w14:textId="77777777" w:rsidTr="00A02BEA">
        <w:trPr>
          <w:trHeight w:val="142"/>
          <w:jc w:val="center"/>
        </w:trPr>
        <w:tc>
          <w:tcPr>
            <w:tcW w:w="567" w:type="dxa"/>
            <w:tcBorders>
              <w:top w:val="single" w:sz="4" w:space="0" w:color="014171"/>
              <w:bottom w:val="single" w:sz="4" w:space="0" w:color="014171"/>
            </w:tcBorders>
          </w:tcPr>
          <w:p w14:paraId="371C3DDC" w14:textId="061BF344" w:rsidR="00DA628A" w:rsidRPr="0040745F" w:rsidRDefault="00DA628A" w:rsidP="00DA628A">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27</w:t>
            </w:r>
          </w:p>
        </w:tc>
        <w:tc>
          <w:tcPr>
            <w:tcW w:w="5103" w:type="dxa"/>
            <w:tcBorders>
              <w:top w:val="single" w:sz="4" w:space="0" w:color="014171"/>
              <w:bottom w:val="single" w:sz="4" w:space="0" w:color="014171"/>
            </w:tcBorders>
          </w:tcPr>
          <w:p w14:paraId="517DEB2D" w14:textId="1490937D" w:rsidR="00DA628A" w:rsidRPr="0040745F" w:rsidRDefault="00A32434" w:rsidP="00A02BEA">
            <w:pPr>
              <w:autoSpaceDE w:val="0"/>
              <w:autoSpaceDN w:val="0"/>
              <w:adjustRightInd w:val="0"/>
              <w:spacing w:after="0"/>
              <w:ind w:left="113"/>
              <w:jc w:val="both"/>
              <w:rPr>
                <w:rFonts w:ascii="Segoe UI" w:hAnsi="Segoe UI" w:cs="Segoe UI"/>
                <w:color w:val="014171"/>
                <w:sz w:val="18"/>
                <w:szCs w:val="18"/>
                <w:lang w:val="de-DE"/>
              </w:rPr>
            </w:pPr>
            <w:r w:rsidRPr="0040745F">
              <w:rPr>
                <w:rFonts w:ascii="Segoe UI" w:hAnsi="Segoe UI" w:cs="Segoe UI"/>
                <w:color w:val="014171"/>
                <w:sz w:val="18"/>
                <w:szCs w:val="18"/>
                <w:lang w:val="de-DE"/>
              </w:rPr>
              <w:t>Zahl der Begünstigten</w:t>
            </w:r>
          </w:p>
        </w:tc>
        <w:tc>
          <w:tcPr>
            <w:tcW w:w="1843" w:type="dxa"/>
            <w:tcBorders>
              <w:top w:val="single" w:sz="4" w:space="0" w:color="014171"/>
              <w:bottom w:val="single" w:sz="4" w:space="0" w:color="014171"/>
            </w:tcBorders>
          </w:tcPr>
          <w:p w14:paraId="66B3F769" w14:textId="55C3982D" w:rsidR="00DA628A" w:rsidRPr="0040745F" w:rsidRDefault="00604DDF" w:rsidP="00A02BEA">
            <w:pPr>
              <w:autoSpaceDE w:val="0"/>
              <w:autoSpaceDN w:val="0"/>
              <w:adjustRightInd w:val="0"/>
              <w:spacing w:after="0"/>
              <w:jc w:val="right"/>
              <w:rPr>
                <w:rFonts w:ascii="Segoe UI" w:hAnsi="Segoe UI" w:cs="Segoe UI"/>
                <w:color w:val="014171"/>
                <w:sz w:val="18"/>
                <w:szCs w:val="18"/>
                <w:lang w:val="de-DE"/>
              </w:rPr>
            </w:pPr>
            <w:r w:rsidRPr="0040745F">
              <w:rPr>
                <w:rFonts w:ascii="Segoe UI" w:hAnsi="Segoe UI" w:cs="Segoe UI"/>
                <w:color w:val="014171"/>
                <w:sz w:val="18"/>
                <w:szCs w:val="18"/>
                <w:lang w:val="de-DE" w:eastAsia="en-GB"/>
              </w:rPr>
              <w:t>--</w:t>
            </w:r>
          </w:p>
        </w:tc>
      </w:tr>
      <w:tr w:rsidR="00DA628A" w:rsidRPr="0040745F" w14:paraId="16D34651" w14:textId="77777777" w:rsidTr="00A02BEA">
        <w:trPr>
          <w:trHeight w:val="142"/>
          <w:jc w:val="center"/>
        </w:trPr>
        <w:tc>
          <w:tcPr>
            <w:tcW w:w="567" w:type="dxa"/>
            <w:tcBorders>
              <w:top w:val="single" w:sz="4" w:space="0" w:color="014171"/>
              <w:bottom w:val="single" w:sz="12" w:space="0" w:color="014171"/>
            </w:tcBorders>
          </w:tcPr>
          <w:p w14:paraId="3BF24F30" w14:textId="3020F24E" w:rsidR="00DA628A" w:rsidRPr="0040745F" w:rsidRDefault="00DA628A" w:rsidP="00DA628A">
            <w:pPr>
              <w:autoSpaceDE w:val="0"/>
              <w:autoSpaceDN w:val="0"/>
              <w:adjustRightInd w:val="0"/>
              <w:spacing w:after="0"/>
              <w:jc w:val="both"/>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28</w:t>
            </w:r>
          </w:p>
        </w:tc>
        <w:tc>
          <w:tcPr>
            <w:tcW w:w="5103" w:type="dxa"/>
            <w:tcBorders>
              <w:top w:val="single" w:sz="4" w:space="0" w:color="014171"/>
              <w:bottom w:val="single" w:sz="12" w:space="0" w:color="014171"/>
            </w:tcBorders>
          </w:tcPr>
          <w:p w14:paraId="59D4C8C4" w14:textId="0976D0F2" w:rsidR="00DA628A" w:rsidRPr="0040745F" w:rsidRDefault="00A32434" w:rsidP="00A02BEA">
            <w:pPr>
              <w:autoSpaceDE w:val="0"/>
              <w:autoSpaceDN w:val="0"/>
              <w:adjustRightInd w:val="0"/>
              <w:spacing w:after="0"/>
              <w:ind w:left="113"/>
              <w:jc w:val="both"/>
              <w:rPr>
                <w:rFonts w:ascii="Segoe UI" w:hAnsi="Segoe UI" w:cs="Segoe UI"/>
                <w:color w:val="014171"/>
                <w:sz w:val="18"/>
                <w:szCs w:val="18"/>
                <w:lang w:val="de-DE"/>
              </w:rPr>
            </w:pPr>
            <w:r w:rsidRPr="0040745F">
              <w:rPr>
                <w:rFonts w:ascii="Segoe UI" w:hAnsi="Segoe UI" w:cs="Segoe UI"/>
                <w:color w:val="014171"/>
                <w:sz w:val="18"/>
                <w:szCs w:val="18"/>
                <w:lang w:val="de-DE"/>
              </w:rPr>
              <w:t>Höchste Abfindung, die einer Einzelperson gewährt wurde</w:t>
            </w:r>
          </w:p>
        </w:tc>
        <w:tc>
          <w:tcPr>
            <w:tcW w:w="1843" w:type="dxa"/>
            <w:tcBorders>
              <w:top w:val="single" w:sz="4" w:space="0" w:color="014171"/>
              <w:bottom w:val="single" w:sz="12" w:space="0" w:color="014171"/>
            </w:tcBorders>
          </w:tcPr>
          <w:p w14:paraId="5326E95C" w14:textId="2EFD0B1A" w:rsidR="00DA628A" w:rsidRPr="0040745F" w:rsidRDefault="00604DDF" w:rsidP="00A02BEA">
            <w:pPr>
              <w:autoSpaceDE w:val="0"/>
              <w:autoSpaceDN w:val="0"/>
              <w:adjustRightInd w:val="0"/>
              <w:spacing w:after="0"/>
              <w:jc w:val="right"/>
              <w:rPr>
                <w:rFonts w:ascii="Segoe UI" w:hAnsi="Segoe UI" w:cs="Segoe UI"/>
                <w:color w:val="014171"/>
                <w:sz w:val="18"/>
                <w:szCs w:val="18"/>
                <w:lang w:val="de-DE" w:eastAsia="en-GB"/>
              </w:rPr>
            </w:pPr>
            <w:r w:rsidRPr="0040745F">
              <w:rPr>
                <w:rFonts w:ascii="Segoe UI" w:hAnsi="Segoe UI" w:cs="Segoe UI"/>
                <w:color w:val="014171"/>
                <w:sz w:val="18"/>
                <w:szCs w:val="18"/>
                <w:lang w:val="de-DE" w:eastAsia="en-GB"/>
              </w:rPr>
              <w:t>--</w:t>
            </w:r>
          </w:p>
        </w:tc>
      </w:tr>
    </w:tbl>
    <w:p w14:paraId="65D25DBF" w14:textId="77777777" w:rsidR="00DA628A" w:rsidRPr="0040745F" w:rsidRDefault="00DA628A" w:rsidP="006420E8">
      <w:pPr>
        <w:spacing w:after="0" w:line="240" w:lineRule="auto"/>
        <w:jc w:val="center"/>
        <w:rPr>
          <w:rFonts w:ascii="Segoe UI" w:hAnsi="Segoe UI" w:cs="Segoe UI"/>
          <w:color w:val="014171"/>
          <w:lang w:val="de-DE"/>
        </w:rPr>
      </w:pPr>
    </w:p>
    <w:p w14:paraId="3C6EBA52" w14:textId="2E3A7FAC" w:rsidR="007E476A" w:rsidRPr="0040745F" w:rsidRDefault="002B16F5" w:rsidP="00A02BEA">
      <w:pPr>
        <w:pStyle w:val="Heading2"/>
        <w:rPr>
          <w:lang w:val="de-DE"/>
        </w:rPr>
      </w:pPr>
      <w:bookmarkStart w:id="105" w:name="_Toc120891050"/>
      <w:bookmarkStart w:id="106" w:name="_Toc123138035"/>
      <w:bookmarkEnd w:id="105"/>
      <w:r w:rsidRPr="0040745F">
        <w:rPr>
          <w:lang w:val="de-DE"/>
        </w:rPr>
        <w:lastRenderedPageBreak/>
        <w:t>Ausnahmeerklärungen</w:t>
      </w:r>
      <w:bookmarkEnd w:id="106"/>
    </w:p>
    <w:p w14:paraId="17566D61" w14:textId="6D5FFFA9" w:rsidR="002B16F5" w:rsidRPr="0040745F" w:rsidRDefault="002B16F5" w:rsidP="002B16F5">
      <w:pPr>
        <w:spacing w:after="0"/>
        <w:jc w:val="both"/>
        <w:rPr>
          <w:rFonts w:ascii="Segoe UI" w:hAnsi="Segoe UI" w:cs="Segoe UI"/>
          <w:color w:val="014171"/>
          <w:lang w:val="de-DE"/>
        </w:rPr>
      </w:pPr>
      <w:r w:rsidRPr="0040745F">
        <w:rPr>
          <w:rFonts w:ascii="Segoe UI" w:hAnsi="Segoe UI" w:cs="Segoe UI"/>
          <w:color w:val="014171"/>
          <w:lang w:val="de-DE"/>
        </w:rPr>
        <w:t>Gemäß Art</w:t>
      </w:r>
      <w:r w:rsidR="00CA6DE8">
        <w:rPr>
          <w:rFonts w:ascii="Segoe UI" w:hAnsi="Segoe UI" w:cs="Segoe UI"/>
          <w:color w:val="014171"/>
          <w:lang w:val="de-DE"/>
        </w:rPr>
        <w:t>.</w:t>
      </w:r>
      <w:r w:rsidRPr="0040745F">
        <w:rPr>
          <w:rFonts w:ascii="Segoe UI" w:hAnsi="Segoe UI" w:cs="Segoe UI"/>
          <w:color w:val="014171"/>
          <w:lang w:val="de-DE"/>
        </w:rPr>
        <w:t xml:space="preserve"> 51 </w:t>
      </w:r>
      <w:r w:rsidR="00CA6DE8">
        <w:rPr>
          <w:rFonts w:ascii="Segoe UI" w:hAnsi="Segoe UI" w:cs="Segoe UI"/>
          <w:color w:val="014171"/>
          <w:lang w:val="de-DE"/>
        </w:rPr>
        <w:t xml:space="preserve">lit. </w:t>
      </w:r>
      <w:r w:rsidRPr="0040745F">
        <w:rPr>
          <w:rFonts w:ascii="Segoe UI" w:hAnsi="Segoe UI" w:cs="Segoe UI"/>
          <w:color w:val="014171"/>
          <w:lang w:val="de-DE"/>
        </w:rPr>
        <w:t>d IFR äußert sich DCMD dazu, ob sie von einer Ausnahme gemäß Art</w:t>
      </w:r>
      <w:r w:rsidR="00CA6DE8">
        <w:rPr>
          <w:rFonts w:ascii="Segoe UI" w:hAnsi="Segoe UI" w:cs="Segoe UI"/>
          <w:color w:val="014171"/>
          <w:lang w:val="de-DE"/>
        </w:rPr>
        <w:t>.</w:t>
      </w:r>
      <w:r w:rsidRPr="0040745F">
        <w:rPr>
          <w:rFonts w:ascii="Segoe UI" w:hAnsi="Segoe UI" w:cs="Segoe UI"/>
          <w:color w:val="014171"/>
          <w:lang w:val="de-DE"/>
        </w:rPr>
        <w:t xml:space="preserve"> 32 </w:t>
      </w:r>
      <w:r w:rsidR="00CA6DE8">
        <w:rPr>
          <w:rFonts w:ascii="Segoe UI" w:hAnsi="Segoe UI" w:cs="Segoe UI"/>
          <w:color w:val="014171"/>
          <w:lang w:val="de-DE"/>
        </w:rPr>
        <w:t xml:space="preserve">Abs. </w:t>
      </w:r>
      <w:r w:rsidRPr="0040745F">
        <w:rPr>
          <w:rFonts w:ascii="Segoe UI" w:hAnsi="Segoe UI" w:cs="Segoe UI"/>
          <w:color w:val="014171"/>
          <w:lang w:val="de-DE"/>
        </w:rPr>
        <w:t>4 IFD profitiert.</w:t>
      </w:r>
    </w:p>
    <w:p w14:paraId="69AECF6B" w14:textId="106619B8" w:rsidR="002B16F5" w:rsidRPr="0040745F" w:rsidRDefault="002B16F5" w:rsidP="002B16F5">
      <w:pPr>
        <w:spacing w:after="0"/>
        <w:jc w:val="both"/>
        <w:rPr>
          <w:rFonts w:ascii="Segoe UI" w:hAnsi="Segoe UI" w:cs="Segoe UI"/>
          <w:color w:val="014171"/>
          <w:lang w:val="de-DE"/>
        </w:rPr>
      </w:pPr>
      <w:r w:rsidRPr="0040745F">
        <w:rPr>
          <w:rFonts w:ascii="Segoe UI" w:hAnsi="Segoe UI" w:cs="Segoe UI"/>
          <w:color w:val="014171"/>
          <w:lang w:val="de-DE"/>
        </w:rPr>
        <w:t>DCMD überschreitet die Bilanzschwelle von 100 Mio. EUR über den Vierjahreszeitraum unmittelbar vor dem jeweiligen Geschäftsjahr gemäß Art</w:t>
      </w:r>
      <w:r w:rsidR="007A2AAE">
        <w:rPr>
          <w:rFonts w:ascii="Segoe UI" w:hAnsi="Segoe UI" w:cs="Segoe UI"/>
          <w:color w:val="014171"/>
          <w:lang w:val="de-DE"/>
        </w:rPr>
        <w:t>.</w:t>
      </w:r>
      <w:r w:rsidRPr="0040745F">
        <w:rPr>
          <w:rFonts w:ascii="Segoe UI" w:hAnsi="Segoe UI" w:cs="Segoe UI"/>
          <w:color w:val="014171"/>
          <w:lang w:val="de-DE"/>
        </w:rPr>
        <w:t xml:space="preserve"> 32 </w:t>
      </w:r>
      <w:r w:rsidR="007A2AAE">
        <w:rPr>
          <w:rFonts w:ascii="Segoe UI" w:hAnsi="Segoe UI" w:cs="Segoe UI"/>
          <w:color w:val="014171"/>
          <w:lang w:val="de-DE"/>
        </w:rPr>
        <w:t xml:space="preserve">Abs. </w:t>
      </w:r>
      <w:r w:rsidRPr="0040745F">
        <w:rPr>
          <w:rFonts w:ascii="Segoe UI" w:hAnsi="Segoe UI" w:cs="Segoe UI"/>
          <w:color w:val="014171"/>
          <w:lang w:val="de-DE"/>
        </w:rPr>
        <w:t xml:space="preserve">4 </w:t>
      </w:r>
      <w:r w:rsidR="007A2AAE">
        <w:rPr>
          <w:rFonts w:ascii="Segoe UI" w:hAnsi="Segoe UI" w:cs="Segoe UI"/>
          <w:color w:val="014171"/>
          <w:lang w:val="de-DE"/>
        </w:rPr>
        <w:t xml:space="preserve">lit. </w:t>
      </w:r>
      <w:r w:rsidRPr="0040745F">
        <w:rPr>
          <w:rFonts w:ascii="Segoe UI" w:hAnsi="Segoe UI" w:cs="Segoe UI"/>
          <w:color w:val="014171"/>
          <w:lang w:val="de-DE"/>
        </w:rPr>
        <w:t>a IFD.</w:t>
      </w:r>
    </w:p>
    <w:p w14:paraId="6FE9F5E7" w14:textId="77777777" w:rsidR="002B16F5" w:rsidRPr="0040745F" w:rsidRDefault="002B16F5" w:rsidP="002B16F5">
      <w:pPr>
        <w:spacing w:after="0"/>
        <w:jc w:val="both"/>
        <w:rPr>
          <w:rFonts w:ascii="Segoe UI" w:hAnsi="Segoe UI" w:cs="Segoe UI"/>
          <w:color w:val="014171"/>
          <w:lang w:val="de-DE"/>
        </w:rPr>
      </w:pPr>
    </w:p>
    <w:p w14:paraId="72582A03" w14:textId="57286FC8" w:rsidR="002B16F5" w:rsidRPr="00BB4C7F" w:rsidRDefault="002B16F5" w:rsidP="002B16F5">
      <w:pPr>
        <w:spacing w:after="0"/>
        <w:jc w:val="both"/>
        <w:rPr>
          <w:rFonts w:ascii="Segoe UI" w:hAnsi="Segoe UI" w:cs="Segoe UI"/>
          <w:color w:val="014171"/>
          <w:lang w:val="de-DE"/>
        </w:rPr>
      </w:pPr>
      <w:r w:rsidRPr="00BB4C7F">
        <w:rPr>
          <w:rFonts w:ascii="Segoe UI" w:hAnsi="Segoe UI" w:cs="Segoe UI"/>
          <w:color w:val="014171"/>
          <w:lang w:val="de-DE"/>
        </w:rPr>
        <w:t xml:space="preserve">Wie beschrieben hat DCMD seine Vergütungspolitik jedoch noch immer auf den alten IVV 3.0-Regeln und nicht auf den neu </w:t>
      </w:r>
      <w:r w:rsidR="00522DF8" w:rsidRPr="00BB4C7F">
        <w:rPr>
          <w:rFonts w:ascii="Segoe UI" w:hAnsi="Segoe UI" w:cs="Segoe UI"/>
          <w:color w:val="014171"/>
          <w:lang w:val="de-DE"/>
        </w:rPr>
        <w:t>entworfenen WVV-Regeln basiert.</w:t>
      </w:r>
    </w:p>
    <w:p w14:paraId="3B50B5BE" w14:textId="2EB24073" w:rsidR="002B16F5" w:rsidRPr="0040745F" w:rsidRDefault="002B16F5" w:rsidP="002B16F5">
      <w:pPr>
        <w:spacing w:after="0"/>
        <w:jc w:val="both"/>
        <w:rPr>
          <w:rFonts w:ascii="Segoe UI" w:hAnsi="Segoe UI" w:cs="Segoe UI"/>
          <w:color w:val="014171"/>
          <w:lang w:val="de-DE"/>
        </w:rPr>
      </w:pPr>
      <w:r w:rsidRPr="00BB4C7F">
        <w:rPr>
          <w:rFonts w:ascii="Segoe UI" w:hAnsi="Segoe UI" w:cs="Segoe UI"/>
          <w:color w:val="014171"/>
          <w:lang w:val="de-DE"/>
        </w:rPr>
        <w:t>Es werden keine Ausnahmen nach IVV 3.0 verwendet.</w:t>
      </w:r>
    </w:p>
    <w:p w14:paraId="075F4CA1" w14:textId="77777777" w:rsidR="002B16F5" w:rsidRPr="0040745F" w:rsidRDefault="002B16F5" w:rsidP="002B16F5">
      <w:pPr>
        <w:spacing w:after="0"/>
        <w:jc w:val="both"/>
        <w:rPr>
          <w:rFonts w:ascii="Segoe UI" w:hAnsi="Segoe UI" w:cs="Segoe UI"/>
          <w:color w:val="014171"/>
          <w:lang w:val="de-DE"/>
        </w:rPr>
      </w:pPr>
    </w:p>
    <w:p w14:paraId="137C41DB" w14:textId="19FBB43A" w:rsidR="005E700B" w:rsidRPr="0040745F" w:rsidRDefault="002B16F5" w:rsidP="0074724B">
      <w:pPr>
        <w:spacing w:after="0"/>
        <w:jc w:val="both"/>
        <w:rPr>
          <w:rFonts w:ascii="Segoe UI" w:hAnsi="Segoe UI" w:cs="Segoe UI"/>
          <w:color w:val="014171"/>
          <w:lang w:val="de-DE"/>
        </w:rPr>
      </w:pPr>
      <w:r w:rsidRPr="0040745F">
        <w:rPr>
          <w:rFonts w:ascii="Segoe UI" w:hAnsi="Segoe UI" w:cs="Segoe UI"/>
          <w:color w:val="014171"/>
          <w:lang w:val="de-DE"/>
        </w:rPr>
        <w:t>Dieser Ansatz der Vergütungspolitik wurde von unserem Abschlussprüfer geprüft und akzeptiert.</w:t>
      </w:r>
      <w:r w:rsidR="00142A3D" w:rsidRPr="0040745F">
        <w:rPr>
          <w:rFonts w:ascii="Segoe UI" w:hAnsi="Segoe UI" w:cs="Segoe UI"/>
          <w:color w:val="014171"/>
          <w:highlight w:val="yellow"/>
          <w:lang w:val="de-DE"/>
        </w:rPr>
        <w:t xml:space="preserve"> </w:t>
      </w:r>
      <w:r w:rsidR="005E700B" w:rsidRPr="0040745F">
        <w:rPr>
          <w:rFonts w:ascii="Segoe UI" w:hAnsi="Segoe UI" w:cs="Segoe UI"/>
          <w:color w:val="014171"/>
          <w:highlight w:val="yellow"/>
          <w:lang w:val="de-DE"/>
        </w:rPr>
        <w:br w:type="page"/>
      </w:r>
    </w:p>
    <w:p w14:paraId="567BDD44" w14:textId="683DC6BF" w:rsidR="005E700B" w:rsidRPr="0040745F" w:rsidRDefault="00CB3F28" w:rsidP="00A02BEA">
      <w:pPr>
        <w:pStyle w:val="Heading1"/>
        <w:rPr>
          <w:lang w:val="de-DE"/>
        </w:rPr>
      </w:pPr>
      <w:bookmarkStart w:id="107" w:name="_Toc123138036"/>
      <w:r w:rsidRPr="0040745F">
        <w:rPr>
          <w:lang w:val="de-DE"/>
        </w:rPr>
        <w:lastRenderedPageBreak/>
        <w:t>Anlagestrategie (Artikel 52 IFR)</w:t>
      </w:r>
      <w:bookmarkEnd w:id="107"/>
    </w:p>
    <w:bookmarkEnd w:id="104"/>
    <w:p w14:paraId="46BDF578" w14:textId="11E212C6" w:rsidR="00CB3F28" w:rsidRPr="0040745F" w:rsidRDefault="00CB3F28" w:rsidP="00CB3F28">
      <w:pPr>
        <w:spacing w:after="0"/>
        <w:jc w:val="both"/>
        <w:rPr>
          <w:rFonts w:ascii="Segoe UI" w:hAnsi="Segoe UI" w:cs="Segoe UI"/>
          <w:color w:val="014171"/>
          <w:lang w:val="de-DE"/>
        </w:rPr>
      </w:pPr>
      <w:r w:rsidRPr="0040745F">
        <w:rPr>
          <w:rFonts w:ascii="Segoe UI" w:hAnsi="Segoe UI" w:cs="Segoe UI"/>
          <w:color w:val="014171"/>
          <w:lang w:val="de-DE"/>
        </w:rPr>
        <w:t>DCMD liegt über dem Bilanzsummengrenzwert von 100 Mio. EUR über den Vierjahreszeitraum unmittelbar vor dem jeweiligen Geschäftsjahr die in Art. 32 Abs. 4 lit</w:t>
      </w:r>
      <w:r w:rsidR="007A2AAE">
        <w:rPr>
          <w:rFonts w:ascii="Segoe UI" w:hAnsi="Segoe UI" w:cs="Segoe UI"/>
          <w:color w:val="014171"/>
          <w:lang w:val="de-DE"/>
        </w:rPr>
        <w:t>.</w:t>
      </w:r>
      <w:r w:rsidRPr="0040745F">
        <w:rPr>
          <w:rFonts w:ascii="Segoe UI" w:hAnsi="Segoe UI" w:cs="Segoe UI"/>
          <w:color w:val="014171"/>
          <w:lang w:val="de-DE"/>
        </w:rPr>
        <w:t xml:space="preserve"> a IFD definiert wird und auf welche in Art. 52 Abs. 1 IFR verwiesen wird. Dies bedeutet, dass die DCMD gemäß Art. 52 IFR einer Offenlegungspflicht in Bezug auf ihre Anlagepolitik unterliegt.</w:t>
      </w:r>
    </w:p>
    <w:p w14:paraId="007ED949" w14:textId="77777777" w:rsidR="00CB3F28" w:rsidRPr="0040745F" w:rsidRDefault="00CB3F28" w:rsidP="00CB3F28">
      <w:pPr>
        <w:spacing w:after="0"/>
        <w:jc w:val="both"/>
        <w:rPr>
          <w:rFonts w:ascii="Segoe UI" w:hAnsi="Segoe UI" w:cs="Segoe UI"/>
          <w:color w:val="014171"/>
          <w:lang w:val="de-DE"/>
        </w:rPr>
      </w:pPr>
    </w:p>
    <w:p w14:paraId="1D626D16" w14:textId="69CF074E" w:rsidR="00CB3F28" w:rsidRPr="0040745F" w:rsidRDefault="00CB3F28" w:rsidP="00CB3F28">
      <w:pPr>
        <w:spacing w:after="0"/>
        <w:jc w:val="both"/>
        <w:rPr>
          <w:rFonts w:ascii="Segoe UI" w:hAnsi="Segoe UI" w:cs="Segoe UI"/>
          <w:color w:val="014171"/>
          <w:lang w:val="de-DE"/>
        </w:rPr>
      </w:pPr>
      <w:r w:rsidRPr="0040745F">
        <w:rPr>
          <w:rFonts w:ascii="Segoe UI" w:hAnsi="Segoe UI" w:cs="Segoe UI"/>
          <w:color w:val="014171"/>
          <w:lang w:val="de-DE"/>
        </w:rPr>
        <w:t>Gemäß Art. 52 Abs. 1 lit. a-d IFR müssen die folgenden Punkte offengelegt werden:</w:t>
      </w:r>
    </w:p>
    <w:p w14:paraId="63FF94DF" w14:textId="77777777" w:rsidR="00CB3F28" w:rsidRPr="0040745F" w:rsidRDefault="00CB3F28" w:rsidP="00CB3F28">
      <w:pPr>
        <w:spacing w:after="0"/>
        <w:jc w:val="both"/>
        <w:rPr>
          <w:rFonts w:ascii="Segoe UI" w:hAnsi="Segoe UI" w:cs="Segoe UI"/>
          <w:color w:val="014171"/>
          <w:lang w:val="de-DE"/>
        </w:rPr>
      </w:pPr>
    </w:p>
    <w:p w14:paraId="5EFF16F9" w14:textId="77777777" w:rsidR="00CB3F28" w:rsidRPr="0040745F" w:rsidRDefault="00CB3F28" w:rsidP="00CB3F28">
      <w:pPr>
        <w:pStyle w:val="ListParagraph"/>
        <w:numPr>
          <w:ilvl w:val="0"/>
          <w:numId w:val="103"/>
        </w:numPr>
        <w:spacing w:after="0"/>
        <w:jc w:val="both"/>
        <w:rPr>
          <w:rFonts w:ascii="Segoe UI" w:hAnsi="Segoe UI" w:cs="Segoe UI"/>
          <w:color w:val="014171"/>
          <w:lang w:val="de-DE"/>
        </w:rPr>
      </w:pPr>
      <w:r w:rsidRPr="0040745F">
        <w:rPr>
          <w:rFonts w:ascii="Segoe UI" w:hAnsi="Segoe UI" w:cs="Segoe UI"/>
          <w:color w:val="014171"/>
          <w:lang w:val="de-DE"/>
        </w:rPr>
        <w:t>den Anteil der mit den von der Gesellschaft direkt oder indirekt gehaltenen Aktien verbundenen Stimmrechte, aufgeschlüsselt nach Mitgliedstaaten und Sektoren;</w:t>
      </w:r>
    </w:p>
    <w:p w14:paraId="7B213C73" w14:textId="7DDF8A41" w:rsidR="00CB3F28" w:rsidRPr="0040745F" w:rsidRDefault="00CB3F28" w:rsidP="00CB3F28">
      <w:pPr>
        <w:pStyle w:val="ListParagraph"/>
        <w:numPr>
          <w:ilvl w:val="0"/>
          <w:numId w:val="103"/>
        </w:numPr>
        <w:spacing w:after="0"/>
        <w:jc w:val="both"/>
        <w:rPr>
          <w:rFonts w:ascii="Segoe UI" w:hAnsi="Segoe UI" w:cs="Segoe UI"/>
          <w:color w:val="014171"/>
          <w:lang w:val="de-DE"/>
        </w:rPr>
      </w:pPr>
      <w:r w:rsidRPr="0040745F">
        <w:rPr>
          <w:rFonts w:ascii="Segoe UI" w:hAnsi="Segoe UI" w:cs="Segoe UI"/>
          <w:color w:val="014171"/>
          <w:lang w:val="de-DE"/>
        </w:rPr>
        <w:t>eine vollständige Beschreibung des Wahlverhaltens der Gesellschaft in den allgemeinen Hauptversammlungen der Unternehmen, deren Aktien die Gesellschaft gemäß Art. 52 Abs. 2 IFR hält, eine Erläuterung der Abstimmungen und den Anteil der vom Verwaltungs- oder Leitungsorgan des Unternehmens vorgelegten Vorschläge, denen die Gesellschaft zugestimmt hat; und</w:t>
      </w:r>
    </w:p>
    <w:p w14:paraId="4518FA7E" w14:textId="77777777" w:rsidR="00CB3F28" w:rsidRPr="0040745F" w:rsidRDefault="00CB3F28" w:rsidP="00CB3F28">
      <w:pPr>
        <w:pStyle w:val="ListParagraph"/>
        <w:numPr>
          <w:ilvl w:val="0"/>
          <w:numId w:val="103"/>
        </w:numPr>
        <w:spacing w:after="0"/>
        <w:jc w:val="both"/>
        <w:rPr>
          <w:rFonts w:ascii="Segoe UI" w:hAnsi="Segoe UI" w:cs="Segoe UI"/>
          <w:color w:val="014171"/>
          <w:lang w:val="de-DE"/>
        </w:rPr>
      </w:pPr>
      <w:r w:rsidRPr="0040745F">
        <w:rPr>
          <w:rFonts w:ascii="Segoe UI" w:hAnsi="Segoe UI" w:cs="Segoe UI"/>
          <w:color w:val="014171"/>
          <w:lang w:val="de-DE"/>
        </w:rPr>
        <w:t>eine Erläuterung des Rückgriffs der Gesellschaft auf Stimmrechtsberater;</w:t>
      </w:r>
    </w:p>
    <w:p w14:paraId="6A4E9135" w14:textId="52E73E99" w:rsidR="00CB3F28" w:rsidRPr="0040745F" w:rsidRDefault="00CB3F28" w:rsidP="00CB3F28">
      <w:pPr>
        <w:pStyle w:val="ListParagraph"/>
        <w:numPr>
          <w:ilvl w:val="0"/>
          <w:numId w:val="103"/>
        </w:numPr>
        <w:spacing w:after="0"/>
        <w:jc w:val="both"/>
        <w:rPr>
          <w:rFonts w:ascii="Segoe UI" w:hAnsi="Segoe UI" w:cs="Segoe UI"/>
          <w:color w:val="014171"/>
          <w:lang w:val="de-DE"/>
        </w:rPr>
      </w:pPr>
      <w:r w:rsidRPr="0040745F">
        <w:rPr>
          <w:rFonts w:ascii="Segoe UI" w:hAnsi="Segoe UI" w:cs="Segoe UI"/>
          <w:color w:val="014171"/>
          <w:lang w:val="de-DE"/>
        </w:rPr>
        <w:t>die Abstimmungsleitlinien für die Unternehmen, deren Aktien die Gesellschaft gemäß Art. 52 Abs. 2 IFR hält.</w:t>
      </w:r>
    </w:p>
    <w:p w14:paraId="63258B7F" w14:textId="77777777" w:rsidR="00CB3F28" w:rsidRPr="0040745F" w:rsidRDefault="00CB3F28" w:rsidP="00CB3F28">
      <w:pPr>
        <w:spacing w:after="0"/>
        <w:jc w:val="both"/>
        <w:rPr>
          <w:rFonts w:ascii="Segoe UI" w:hAnsi="Segoe UI" w:cs="Segoe UI"/>
          <w:color w:val="014171"/>
          <w:lang w:val="de-DE"/>
        </w:rPr>
      </w:pPr>
    </w:p>
    <w:p w14:paraId="326580E5" w14:textId="1449C20A" w:rsidR="00CB3F28" w:rsidRPr="0040745F" w:rsidRDefault="00CB3F28" w:rsidP="00CB3F28">
      <w:pPr>
        <w:spacing w:after="0"/>
        <w:jc w:val="both"/>
        <w:rPr>
          <w:rFonts w:ascii="Segoe UI" w:hAnsi="Segoe UI" w:cs="Segoe UI"/>
          <w:color w:val="014171"/>
          <w:lang w:val="de-DE"/>
        </w:rPr>
      </w:pPr>
      <w:r w:rsidRPr="0040745F">
        <w:rPr>
          <w:rFonts w:ascii="Segoe UI" w:hAnsi="Segoe UI" w:cs="Segoe UI"/>
          <w:color w:val="014171"/>
          <w:lang w:val="de-DE"/>
        </w:rPr>
        <w:t>Gemäß Art. 52 Abs. 2 IFR, hat die DCMD die Vorgaben aus Art. 52 Abs. 1 IFR nur in Bezug auf jedes Unternehmen, dessen Aktien zum Handel an einem geregelten Markt zugelassen sind, und nur in Bezug auf die Aktien, die mit Stimmrechten verbunden sind, sofern der Anteil der Stimmrechte, die die Wertpapierfirma direkt oder indirekt hält, mehr als 5% aller mit den vom betreffenden Unternehmen emittierten Aktien verbundenen Stimmrechte beträgt, zu erfüllen.</w:t>
      </w:r>
    </w:p>
    <w:p w14:paraId="7B0EB165" w14:textId="77777777" w:rsidR="00CB3F28" w:rsidRPr="0040745F" w:rsidRDefault="00CB3F28" w:rsidP="00CB3F28">
      <w:pPr>
        <w:spacing w:after="0"/>
        <w:jc w:val="both"/>
        <w:rPr>
          <w:rFonts w:ascii="Segoe UI" w:hAnsi="Segoe UI" w:cs="Segoe UI"/>
          <w:color w:val="014171"/>
          <w:lang w:val="de-DE"/>
        </w:rPr>
      </w:pPr>
      <w:r w:rsidRPr="0040745F">
        <w:rPr>
          <w:rFonts w:ascii="Segoe UI" w:hAnsi="Segoe UI" w:cs="Segoe UI"/>
          <w:color w:val="014171"/>
          <w:lang w:val="de-DE"/>
        </w:rPr>
        <w:t>Die Stimmrechte werden ausgehend von der Gesamtzahl der mit Stimmrechten verbundenen Aktien berechnet, auch wenn die Ausübung dieser Stimmrechte ausgesetzt ist.</w:t>
      </w:r>
    </w:p>
    <w:p w14:paraId="7DB87895" w14:textId="77777777" w:rsidR="00CB3F28" w:rsidRPr="0040745F" w:rsidRDefault="00CB3F28" w:rsidP="00CB3F28">
      <w:pPr>
        <w:spacing w:after="0"/>
        <w:jc w:val="both"/>
        <w:rPr>
          <w:rFonts w:ascii="Segoe UI" w:hAnsi="Segoe UI" w:cs="Segoe UI"/>
          <w:color w:val="014171"/>
          <w:lang w:val="de-DE"/>
        </w:rPr>
      </w:pPr>
    </w:p>
    <w:p w14:paraId="28F6E6F0" w14:textId="77777777" w:rsidR="00CB3F28" w:rsidRPr="0040745F" w:rsidRDefault="00CB3F28" w:rsidP="00CB3F28">
      <w:pPr>
        <w:spacing w:after="0"/>
        <w:jc w:val="both"/>
        <w:rPr>
          <w:rFonts w:ascii="Segoe UI" w:hAnsi="Segoe UI" w:cs="Segoe UI"/>
          <w:color w:val="014171"/>
          <w:lang w:val="de-DE"/>
        </w:rPr>
      </w:pPr>
      <w:r w:rsidRPr="0040745F">
        <w:rPr>
          <w:rFonts w:ascii="Segoe UI" w:hAnsi="Segoe UI" w:cs="Segoe UI"/>
          <w:color w:val="014171"/>
          <w:lang w:val="de-DE"/>
        </w:rPr>
        <w:t>DCMD hält ihr gesamtes Eigenkapital in Bargeld, diversifiziert auf mehrere Nostrokonten bei angesehenen Finanzinstituten mit starken Bonitätsbeurteilungen.</w:t>
      </w:r>
    </w:p>
    <w:p w14:paraId="436B03C2" w14:textId="7675A53D" w:rsidR="00FE76DF" w:rsidRPr="0040745F" w:rsidRDefault="00CB3F28" w:rsidP="00A841B7">
      <w:pPr>
        <w:spacing w:after="0"/>
        <w:jc w:val="both"/>
        <w:rPr>
          <w:rFonts w:ascii="Segoe UI" w:hAnsi="Segoe UI" w:cs="Segoe UI"/>
          <w:color w:val="014171"/>
          <w:lang w:val="de-DE"/>
        </w:rPr>
      </w:pPr>
      <w:r w:rsidRPr="0040745F">
        <w:rPr>
          <w:rFonts w:ascii="Segoe UI" w:hAnsi="Segoe UI" w:cs="Segoe UI"/>
          <w:color w:val="014171"/>
          <w:lang w:val="de-DE"/>
        </w:rPr>
        <w:t>Die Positionen im Handels</w:t>
      </w:r>
      <w:r w:rsidR="00487F82" w:rsidRPr="0040745F">
        <w:rPr>
          <w:rFonts w:ascii="Segoe UI" w:hAnsi="Segoe UI" w:cs="Segoe UI"/>
          <w:color w:val="014171"/>
          <w:lang w:val="de-DE"/>
        </w:rPr>
        <w:t xml:space="preserve">buch sind </w:t>
      </w:r>
      <w:r w:rsidR="003A12D4" w:rsidRPr="0040745F">
        <w:rPr>
          <w:rFonts w:ascii="Segoe UI" w:hAnsi="Segoe UI" w:cs="Segoe UI"/>
          <w:color w:val="014171"/>
          <w:lang w:val="de-DE"/>
        </w:rPr>
        <w:t>mittels</w:t>
      </w:r>
      <w:r w:rsidR="00487F82" w:rsidRPr="0040745F">
        <w:rPr>
          <w:rFonts w:ascii="Segoe UI" w:hAnsi="Segoe UI" w:cs="Segoe UI"/>
          <w:color w:val="014171"/>
          <w:lang w:val="de-DE"/>
        </w:rPr>
        <w:t xml:space="preserve"> des 100% Back-to-B</w:t>
      </w:r>
      <w:r w:rsidRPr="0040745F">
        <w:rPr>
          <w:rFonts w:ascii="Segoe UI" w:hAnsi="Segoe UI" w:cs="Segoe UI"/>
          <w:color w:val="014171"/>
          <w:lang w:val="de-DE"/>
        </w:rPr>
        <w:t>ack</w:t>
      </w:r>
      <w:r w:rsidR="00487F82" w:rsidRPr="0040745F">
        <w:rPr>
          <w:rFonts w:ascii="Segoe UI" w:hAnsi="Segoe UI" w:cs="Segoe UI"/>
          <w:color w:val="014171"/>
          <w:lang w:val="de-DE"/>
        </w:rPr>
        <w:t>-</w:t>
      </w:r>
      <w:r w:rsidRPr="0040745F">
        <w:rPr>
          <w:rFonts w:ascii="Segoe UI" w:hAnsi="Segoe UI" w:cs="Segoe UI"/>
          <w:color w:val="014171"/>
          <w:lang w:val="de-DE"/>
        </w:rPr>
        <w:t xml:space="preserve">Buchungsansatz vollständig </w:t>
      </w:r>
      <w:r w:rsidR="008046F7">
        <w:rPr>
          <w:rFonts w:ascii="Segoe UI" w:hAnsi="Segoe UI" w:cs="Segoe UI"/>
          <w:color w:val="014171"/>
          <w:lang w:val="de-DE"/>
        </w:rPr>
        <w:t>abgesichert</w:t>
      </w:r>
      <w:r w:rsidRPr="0040745F">
        <w:rPr>
          <w:rFonts w:ascii="Segoe UI" w:hAnsi="Segoe UI" w:cs="Segoe UI"/>
          <w:color w:val="014171"/>
          <w:lang w:val="de-DE"/>
        </w:rPr>
        <w:t>, wodurch bei jeder Transaktion eine Glattstellung der Positionen stattfindet. Aus diesem Grund hält die DCMD keine Aktien (direkt oder indirekt) eines anderen Unternehmens.</w:t>
      </w:r>
    </w:p>
    <w:p w14:paraId="3D22F257" w14:textId="77777777" w:rsidR="00CB3F28" w:rsidRPr="0040745F" w:rsidRDefault="00CB3F28" w:rsidP="00A841B7">
      <w:pPr>
        <w:spacing w:after="0"/>
        <w:jc w:val="both"/>
        <w:rPr>
          <w:rFonts w:ascii="Segoe UI" w:hAnsi="Segoe UI" w:cs="Segoe UI"/>
          <w:color w:val="014171"/>
          <w:lang w:val="de-DE"/>
        </w:rPr>
        <w:sectPr w:rsidR="00CB3F28" w:rsidRPr="0040745F" w:rsidSect="007820D3">
          <w:pgSz w:w="11906" w:h="16838"/>
          <w:pgMar w:top="1560" w:right="1440" w:bottom="1134" w:left="1440" w:header="708" w:footer="599" w:gutter="0"/>
          <w:cols w:space="720"/>
          <w:titlePg/>
          <w:docGrid w:linePitch="360"/>
        </w:sectPr>
      </w:pPr>
    </w:p>
    <w:p w14:paraId="6F32F654" w14:textId="024B500D" w:rsidR="006B03D7" w:rsidRPr="0040745F" w:rsidRDefault="00CB3F28" w:rsidP="00A02BEA">
      <w:pPr>
        <w:pStyle w:val="Heading1"/>
        <w:rPr>
          <w:lang w:val="de-DE"/>
        </w:rPr>
      </w:pPr>
      <w:bookmarkStart w:id="108" w:name="_Toc123138037"/>
      <w:r w:rsidRPr="0040745F">
        <w:rPr>
          <w:lang w:val="de-DE"/>
        </w:rPr>
        <w:lastRenderedPageBreak/>
        <w:t>Umwelt, Sozial- und Unternehmensführungsrisiken (Artikel 53 IFR)</w:t>
      </w:r>
      <w:bookmarkEnd w:id="108"/>
    </w:p>
    <w:p w14:paraId="079F92BE" w14:textId="044D937B" w:rsidR="00CB3F28" w:rsidRPr="0040745F" w:rsidRDefault="00CB3F28" w:rsidP="00CB3F28">
      <w:pPr>
        <w:spacing w:after="0"/>
        <w:jc w:val="both"/>
        <w:rPr>
          <w:rFonts w:ascii="Segoe UI" w:hAnsi="Segoe UI" w:cs="Segoe UI"/>
          <w:color w:val="014171"/>
          <w:lang w:val="de-DE"/>
        </w:rPr>
      </w:pPr>
      <w:r w:rsidRPr="0040745F">
        <w:rPr>
          <w:rFonts w:ascii="Segoe UI" w:hAnsi="Segoe UI" w:cs="Segoe UI"/>
          <w:color w:val="014171"/>
          <w:lang w:val="de-DE"/>
        </w:rPr>
        <w:t>Gemäß Art. 53 IFR, sind Informationen zu Umwelt, Sozial- und Unternehmensführungsrisiken („ESG-Risiken“) in dem Geschäftsjahr nach dem 26. Dezember 2022 zunächst einmal im Jahr und danach zweimal</w:t>
      </w:r>
      <w:r w:rsidR="00522DF8" w:rsidRPr="0040745F">
        <w:rPr>
          <w:rFonts w:ascii="Segoe UI" w:hAnsi="Segoe UI" w:cs="Segoe UI"/>
          <w:color w:val="014171"/>
          <w:lang w:val="de-DE"/>
        </w:rPr>
        <w:t xml:space="preserve"> im Jahr offenzulegen.</w:t>
      </w:r>
    </w:p>
    <w:p w14:paraId="0FCD3AB3" w14:textId="77777777" w:rsidR="00CB3F28" w:rsidRPr="0040745F" w:rsidRDefault="00CB3F28" w:rsidP="00CB3F28">
      <w:pPr>
        <w:spacing w:after="0"/>
        <w:jc w:val="both"/>
        <w:rPr>
          <w:rFonts w:ascii="Segoe UI" w:hAnsi="Segoe UI" w:cs="Segoe UI"/>
          <w:color w:val="014171"/>
          <w:lang w:val="de-DE"/>
        </w:rPr>
      </w:pPr>
    </w:p>
    <w:p w14:paraId="4F5196EE" w14:textId="4DA080C3" w:rsidR="00CB3F28" w:rsidRPr="0040745F" w:rsidRDefault="00CB3F28" w:rsidP="00CB3F28">
      <w:pPr>
        <w:spacing w:after="0"/>
        <w:jc w:val="both"/>
        <w:rPr>
          <w:rFonts w:ascii="Segoe UI" w:hAnsi="Segoe UI" w:cs="Segoe UI"/>
          <w:color w:val="014171"/>
          <w:lang w:val="de-DE"/>
        </w:rPr>
      </w:pPr>
      <w:r w:rsidRPr="0040745F">
        <w:rPr>
          <w:rFonts w:ascii="Segoe UI" w:hAnsi="Segoe UI" w:cs="Segoe UI"/>
          <w:color w:val="014171"/>
          <w:lang w:val="de-DE"/>
        </w:rPr>
        <w:t xml:space="preserve">Aus diesem Grund ist die DCMD </w:t>
      </w:r>
      <w:r w:rsidR="00315F6A">
        <w:rPr>
          <w:rFonts w:ascii="Segoe UI" w:hAnsi="Segoe UI" w:cs="Segoe UI"/>
          <w:color w:val="014171"/>
          <w:lang w:val="de-DE"/>
        </w:rPr>
        <w:t xml:space="preserve">derzeit </w:t>
      </w:r>
      <w:r w:rsidRPr="0040745F">
        <w:rPr>
          <w:rFonts w:ascii="Segoe UI" w:hAnsi="Segoe UI" w:cs="Segoe UI"/>
          <w:color w:val="014171"/>
          <w:lang w:val="de-DE"/>
        </w:rPr>
        <w:t>nicht verpflichtet in ihrer Offenlegung zum 31. März 2022 auf ESG-Risiken einzugehen.</w:t>
      </w:r>
    </w:p>
    <w:p w14:paraId="5AD969D0" w14:textId="22F66937" w:rsidR="00E87EAD" w:rsidRPr="0040745F" w:rsidRDefault="00CB3F28" w:rsidP="00CB3F28">
      <w:pPr>
        <w:spacing w:after="0"/>
        <w:jc w:val="both"/>
        <w:rPr>
          <w:rFonts w:ascii="Segoe UI" w:hAnsi="Segoe UI" w:cs="Segoe UI"/>
          <w:color w:val="014171"/>
          <w:lang w:val="de-DE"/>
        </w:rPr>
      </w:pPr>
      <w:r w:rsidRPr="0040745F">
        <w:rPr>
          <w:rFonts w:ascii="Segoe UI" w:hAnsi="Segoe UI" w:cs="Segoe UI"/>
          <w:color w:val="014171"/>
          <w:lang w:val="de-DE"/>
        </w:rPr>
        <w:t>Gegenwärtig setzt sich die DCMD mit verschiedenen ESG-Themen und deren Aufnahme i</w:t>
      </w:r>
      <w:r w:rsidR="003A12D4">
        <w:rPr>
          <w:rFonts w:ascii="Segoe UI" w:hAnsi="Segoe UI" w:cs="Segoe UI"/>
          <w:color w:val="014171"/>
          <w:lang w:val="de-DE"/>
        </w:rPr>
        <w:t>n die Geschäfts- und Risikostrat</w:t>
      </w:r>
      <w:r w:rsidRPr="0040745F">
        <w:rPr>
          <w:rFonts w:ascii="Segoe UI" w:hAnsi="Segoe UI" w:cs="Segoe UI"/>
          <w:color w:val="014171"/>
          <w:lang w:val="de-DE"/>
        </w:rPr>
        <w:t>egie auseinander.</w:t>
      </w:r>
    </w:p>
    <w:sectPr w:rsidR="00E87EAD" w:rsidRPr="0040745F" w:rsidSect="007820D3">
      <w:pgSz w:w="11906" w:h="16838"/>
      <w:pgMar w:top="1560" w:right="1440" w:bottom="1134" w:left="1440" w:header="708" w:footer="5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BCB39" w14:textId="77777777" w:rsidR="00CA5252" w:rsidRDefault="00CA5252" w:rsidP="00974482">
      <w:pPr>
        <w:spacing w:after="0" w:line="240" w:lineRule="auto"/>
      </w:pPr>
      <w:r>
        <w:separator/>
      </w:r>
    </w:p>
    <w:p w14:paraId="6D965815" w14:textId="77777777" w:rsidR="00CA5252" w:rsidRDefault="00CA5252"/>
  </w:endnote>
  <w:endnote w:type="continuationSeparator" w:id="0">
    <w:p w14:paraId="0972603F" w14:textId="77777777" w:rsidR="00CA5252" w:rsidRDefault="00CA5252" w:rsidP="00974482">
      <w:pPr>
        <w:spacing w:after="0" w:line="240" w:lineRule="auto"/>
      </w:pPr>
      <w:r>
        <w:continuationSeparator/>
      </w:r>
    </w:p>
    <w:p w14:paraId="2C7260D5" w14:textId="77777777" w:rsidR="00CA5252" w:rsidRDefault="00CA5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577921"/>
      <w:docPartObj>
        <w:docPartGallery w:val="Page Numbers (Bottom of Page)"/>
        <w:docPartUnique/>
      </w:docPartObj>
    </w:sdtPr>
    <w:sdtEndPr>
      <w:rPr>
        <w:rFonts w:ascii="Segoe UI" w:hAnsi="Segoe UI" w:cs="Segoe UI"/>
        <w:b/>
        <w:noProof/>
        <w:color w:val="DBB132"/>
      </w:rPr>
    </w:sdtEndPr>
    <w:sdtContent>
      <w:p w14:paraId="313000D1" w14:textId="27CD03AC" w:rsidR="00CA5252" w:rsidRPr="00375F12" w:rsidRDefault="00CA5252">
        <w:pPr>
          <w:pStyle w:val="Footer"/>
          <w:jc w:val="right"/>
          <w:rPr>
            <w:rFonts w:ascii="Segoe UI" w:hAnsi="Segoe UI" w:cs="Segoe UI"/>
            <w:b/>
            <w:color w:val="DBB132"/>
          </w:rPr>
        </w:pPr>
        <w:r w:rsidRPr="00375F12">
          <w:rPr>
            <w:rFonts w:ascii="Segoe UI" w:hAnsi="Segoe UI" w:cs="Segoe UI"/>
            <w:b/>
            <w:noProof/>
            <w:color w:val="DBB132"/>
            <w:sz w:val="18"/>
            <w:szCs w:val="18"/>
            <w:lang w:eastAsia="ja-JP"/>
          </w:rPr>
          <w:drawing>
            <wp:anchor distT="0" distB="0" distL="114300" distR="114300" simplePos="0" relativeHeight="251663360" behindDoc="1" locked="0" layoutInCell="1" allowOverlap="1" wp14:anchorId="5F641E92" wp14:editId="6A12FF04">
              <wp:simplePos x="0" y="0"/>
              <wp:positionH relativeFrom="margin">
                <wp:align>center</wp:align>
              </wp:positionH>
              <wp:positionV relativeFrom="paragraph">
                <wp:posOffset>9838</wp:posOffset>
              </wp:positionV>
              <wp:extent cx="2743200" cy="383894"/>
              <wp:effectExtent l="0" t="0" r="0" b="0"/>
              <wp:wrapNone/>
              <wp:docPr id="25" name="Graphic 4">
                <a:extLst xmlns:a="http://schemas.openxmlformats.org/drawingml/2006/main">
                  <a:ext uri="{FF2B5EF4-FFF2-40B4-BE49-F238E27FC236}">
                    <a16:creationId xmlns:a16="http://schemas.microsoft.com/office/drawing/2014/main" id="{69B4993A-44CC-8841-A70A-E41323D210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69B4993A-44CC-8841-A70A-E41323D21029}"/>
                          </a:ext>
                        </a:extLst>
                      </pic:cNvPr>
                      <pic:cNvPicPr>
                        <a:picLocks noChangeAspect="1"/>
                      </pic:cNvPicPr>
                    </pic:nvPicPr>
                    <pic:blipFill rotWithShape="1">
                      <a:blip r:embed="rId1"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3"/>
                          </a:ext>
                        </a:extLst>
                      </a:blip>
                      <a:srcRect l="2361" t="63052" b="12572"/>
                      <a:stretch/>
                    </pic:blipFill>
                    <pic:spPr bwMode="auto">
                      <a:xfrm>
                        <a:off x="0" y="0"/>
                        <a:ext cx="2743200" cy="3838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5F12">
          <w:rPr>
            <w:rFonts w:ascii="Segoe UI" w:hAnsi="Segoe UI" w:cs="Segoe UI"/>
            <w:b/>
            <w:color w:val="DBB132"/>
          </w:rPr>
          <w:fldChar w:fldCharType="begin"/>
        </w:r>
        <w:r w:rsidRPr="00375F12">
          <w:rPr>
            <w:rFonts w:ascii="Segoe UI" w:hAnsi="Segoe UI" w:cs="Segoe UI"/>
            <w:b/>
            <w:color w:val="DBB132"/>
          </w:rPr>
          <w:instrText xml:space="preserve"> PAGE   \* MERGEFORMAT </w:instrText>
        </w:r>
        <w:r w:rsidRPr="00375F12">
          <w:rPr>
            <w:rFonts w:ascii="Segoe UI" w:hAnsi="Segoe UI" w:cs="Segoe UI"/>
            <w:b/>
            <w:color w:val="DBB132"/>
          </w:rPr>
          <w:fldChar w:fldCharType="separate"/>
        </w:r>
        <w:r w:rsidR="00AB3754">
          <w:rPr>
            <w:rFonts w:ascii="Segoe UI" w:hAnsi="Segoe UI" w:cs="Segoe UI"/>
            <w:b/>
            <w:noProof/>
            <w:color w:val="DBB132"/>
          </w:rPr>
          <w:t>21</w:t>
        </w:r>
        <w:r w:rsidRPr="00375F12">
          <w:rPr>
            <w:rFonts w:ascii="Segoe UI" w:hAnsi="Segoe UI" w:cs="Segoe UI"/>
            <w:b/>
            <w:noProof/>
            <w:color w:val="DBB132"/>
          </w:rPr>
          <w:fldChar w:fldCharType="end"/>
        </w:r>
      </w:p>
    </w:sdtContent>
  </w:sdt>
  <w:p w14:paraId="007BF65F" w14:textId="0F51F167" w:rsidR="00CA5252" w:rsidRPr="00375F12" w:rsidRDefault="00CA5252" w:rsidP="00375F12">
    <w:pPr>
      <w:pStyle w:val="Footer"/>
      <w:tabs>
        <w:tab w:val="left" w:pos="5889"/>
      </w:tabs>
      <w:rPr>
        <w:rFonts w:ascii="Segoe UI" w:hAnsi="Segoe UI" w:cs="Segoe UI"/>
        <w:b/>
        <w:color w:val="DBB132"/>
      </w:rPr>
    </w:pPr>
    <w:r>
      <w:rPr>
        <w:rFonts w:ascii="Segoe UI" w:hAnsi="Segoe UI" w:cs="Segoe UI"/>
        <w:b/>
        <w:color w:val="DBB13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134133"/>
      <w:docPartObj>
        <w:docPartGallery w:val="Page Numbers (Bottom of Page)"/>
        <w:docPartUnique/>
      </w:docPartObj>
    </w:sdtPr>
    <w:sdtEndPr>
      <w:rPr>
        <w:rFonts w:ascii="Segoe UI" w:hAnsi="Segoe UI" w:cs="Segoe UI"/>
        <w:b/>
        <w:noProof/>
        <w:color w:val="DBB132"/>
      </w:rPr>
    </w:sdtEndPr>
    <w:sdtContent>
      <w:p w14:paraId="4001A4D5" w14:textId="4BE42443" w:rsidR="00CA5252" w:rsidRPr="00375F12" w:rsidRDefault="00CA5252" w:rsidP="00375F12">
        <w:pPr>
          <w:pStyle w:val="Footer"/>
          <w:jc w:val="right"/>
          <w:rPr>
            <w:rFonts w:ascii="Segoe UI" w:hAnsi="Segoe UI" w:cs="Segoe UI"/>
            <w:b/>
            <w:color w:val="DBB132"/>
          </w:rPr>
        </w:pPr>
        <w:r w:rsidRPr="00375F12">
          <w:rPr>
            <w:rFonts w:ascii="Segoe UI" w:hAnsi="Segoe UI" w:cs="Segoe UI"/>
            <w:b/>
            <w:noProof/>
            <w:color w:val="DBB132"/>
            <w:sz w:val="18"/>
            <w:szCs w:val="18"/>
            <w:lang w:eastAsia="ja-JP"/>
          </w:rPr>
          <w:drawing>
            <wp:anchor distT="0" distB="0" distL="114300" distR="114300" simplePos="0" relativeHeight="251665408" behindDoc="1" locked="0" layoutInCell="1" allowOverlap="1" wp14:anchorId="282493A9" wp14:editId="5D480AD2">
              <wp:simplePos x="0" y="0"/>
              <wp:positionH relativeFrom="margin">
                <wp:align>center</wp:align>
              </wp:positionH>
              <wp:positionV relativeFrom="paragraph">
                <wp:posOffset>-24168</wp:posOffset>
              </wp:positionV>
              <wp:extent cx="2743200" cy="383894"/>
              <wp:effectExtent l="0" t="0" r="0" b="0"/>
              <wp:wrapNone/>
              <wp:docPr id="27" name="Graphic 4">
                <a:extLst xmlns:a="http://schemas.openxmlformats.org/drawingml/2006/main">
                  <a:ext uri="{FF2B5EF4-FFF2-40B4-BE49-F238E27FC236}">
                    <a16:creationId xmlns:a16="http://schemas.microsoft.com/office/drawing/2014/main" id="{69B4993A-44CC-8841-A70A-E41323D210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69B4993A-44CC-8841-A70A-E41323D21029}"/>
                          </a:ext>
                        </a:extLst>
                      </pic:cNvPr>
                      <pic:cNvPicPr>
                        <a:picLocks noChangeAspect="1"/>
                      </pic:cNvPicPr>
                    </pic:nvPicPr>
                    <pic:blipFill rotWithShape="1">
                      <a:blip r:embed="rId1" cstate="print">
                        <a:extLst>
                          <a:ext uri="{28A0092B-C50C-407E-A947-70E740481C1C}">
                            <a14:useLocalDpi xmlns:a14="http://schemas.microsoft.com/office/drawing/2010/main" val="0"/>
                          </a:ext>
                          <a:ext uri="{96DAC541-7B7A-43D3-8B79-37D633B846F1}">
                            <asvg:svgBlip xmlns:lc="http://schemas.openxmlformats.org/drawingml/2006/lockedCanvas" xmlns="" xmlns:asvg="http://schemas.microsoft.com/office/drawing/2016/SVG/main" xmlns:p="http://schemas.openxmlformats.org/presentationml/2006/main" xmlns:w="http://schemas.openxmlformats.org/wordprocessingml/2006/main" xmlns:w10="urn:schemas-microsoft-com:office:word" xmlns:v="urn:schemas-microsoft-com:vml" xmlns:o="urn:schemas-microsoft-com:office:office" xmlns:arto="http://schemas.microsoft.com/office/word/2006/arto" r:embed="rId3"/>
                          </a:ext>
                        </a:extLst>
                      </a:blip>
                      <a:srcRect l="2361" t="63052" b="12572"/>
                      <a:stretch/>
                    </pic:blipFill>
                    <pic:spPr bwMode="auto">
                      <a:xfrm>
                        <a:off x="0" y="0"/>
                        <a:ext cx="2743200" cy="3838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5F12">
          <w:rPr>
            <w:rFonts w:ascii="Segoe UI" w:hAnsi="Segoe UI" w:cs="Segoe UI"/>
            <w:b/>
            <w:color w:val="DBB132"/>
          </w:rPr>
          <w:fldChar w:fldCharType="begin"/>
        </w:r>
        <w:r w:rsidRPr="00375F12">
          <w:rPr>
            <w:rFonts w:ascii="Segoe UI" w:hAnsi="Segoe UI" w:cs="Segoe UI"/>
            <w:b/>
            <w:color w:val="DBB132"/>
          </w:rPr>
          <w:instrText xml:space="preserve"> PAGE   \* MERGEFORMAT </w:instrText>
        </w:r>
        <w:r w:rsidRPr="00375F12">
          <w:rPr>
            <w:rFonts w:ascii="Segoe UI" w:hAnsi="Segoe UI" w:cs="Segoe UI"/>
            <w:b/>
            <w:color w:val="DBB132"/>
          </w:rPr>
          <w:fldChar w:fldCharType="separate"/>
        </w:r>
        <w:r w:rsidR="00AB3754">
          <w:rPr>
            <w:rFonts w:ascii="Segoe UI" w:hAnsi="Segoe UI" w:cs="Segoe UI"/>
            <w:b/>
            <w:noProof/>
            <w:color w:val="DBB132"/>
          </w:rPr>
          <w:t>19</w:t>
        </w:r>
        <w:r w:rsidRPr="00375F12">
          <w:rPr>
            <w:rFonts w:ascii="Segoe UI" w:hAnsi="Segoe UI" w:cs="Segoe UI"/>
            <w:b/>
            <w:noProof/>
            <w:color w:val="DBB132"/>
          </w:rPr>
          <w:fldChar w:fldCharType="end"/>
        </w:r>
      </w:p>
    </w:sdtContent>
  </w:sdt>
  <w:p w14:paraId="5EEE1D3D" w14:textId="65D9015F" w:rsidR="00CA5252" w:rsidRPr="00CF57C6" w:rsidRDefault="00CA5252" w:rsidP="00375F12">
    <w:pPr>
      <w:pStyle w:val="Footer"/>
      <w:jc w:val="center"/>
      <w:rPr>
        <w:rFonts w:asciiTheme="minorHAnsi" w:hAnsiTheme="minorHAnsi" w:cstheme="minorHAnsi"/>
        <w:b/>
        <w:sz w:val="18"/>
        <w:szCs w:val="18"/>
      </w:rPr>
    </w:pPr>
    <w:r w:rsidRPr="00375F12">
      <w:rPr>
        <w:rFonts w:ascii="Segoe UI" w:hAnsi="Segoe UI" w:cs="Segoe UI"/>
        <w:b/>
        <w:noProof/>
        <w:color w:val="DBB132"/>
        <w:sz w:val="18"/>
        <w:szCs w:val="18"/>
        <w:lang w:eastAsia="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D635C" w14:textId="77777777" w:rsidR="00CA5252" w:rsidRDefault="00CA5252" w:rsidP="00974482">
      <w:pPr>
        <w:spacing w:after="0" w:line="240" w:lineRule="auto"/>
      </w:pPr>
      <w:r>
        <w:separator/>
      </w:r>
    </w:p>
    <w:p w14:paraId="09D65D0A" w14:textId="77777777" w:rsidR="00CA5252" w:rsidRDefault="00CA5252"/>
  </w:footnote>
  <w:footnote w:type="continuationSeparator" w:id="0">
    <w:p w14:paraId="30A27E1F" w14:textId="77777777" w:rsidR="00CA5252" w:rsidRDefault="00CA5252" w:rsidP="00974482">
      <w:pPr>
        <w:spacing w:after="0" w:line="240" w:lineRule="auto"/>
      </w:pPr>
      <w:r>
        <w:continuationSeparator/>
      </w:r>
    </w:p>
    <w:p w14:paraId="7000504D" w14:textId="77777777" w:rsidR="00CA5252" w:rsidRDefault="00CA5252"/>
  </w:footnote>
  <w:footnote w:id="1">
    <w:p w14:paraId="3D7D7E04" w14:textId="5AB60504" w:rsidR="00CA5252" w:rsidRPr="00F442FE" w:rsidRDefault="00CA5252">
      <w:pPr>
        <w:pStyle w:val="FootnoteText"/>
        <w:rPr>
          <w:lang w:val="de-DE"/>
        </w:rPr>
      </w:pPr>
      <w:r>
        <w:rPr>
          <w:rStyle w:val="FootnoteReference"/>
        </w:rPr>
        <w:footnoteRef/>
      </w:r>
      <w:r w:rsidRPr="00F442FE">
        <w:rPr>
          <w:lang w:val="de-DE"/>
        </w:rPr>
        <w:t xml:space="preserve"> Aufgrund der geringen Größe von DCMD und Datenschutzerwägungen hat sich DCMD dafür entschieden, nur eine Gesamtansicht der Vergütungen darzustellen, die der Geschäftsleitung und den Mitarbeitern gewährt wurden, deren Handlungen einen wesentlichen Einfluss auf das Risikoprofil der Wertpapierfirma haben.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731C2" w14:textId="39B51EC1" w:rsidR="00CA5252" w:rsidRPr="00F45160" w:rsidRDefault="00CA5252" w:rsidP="00F7154B">
    <w:pPr>
      <w:pStyle w:val="Header"/>
    </w:pPr>
    <w:r>
      <w:rPr>
        <w:noProof/>
        <w:lang w:eastAsia="ja-JP"/>
      </w:rPr>
      <w:drawing>
        <wp:anchor distT="0" distB="0" distL="114300" distR="114300" simplePos="0" relativeHeight="251661312" behindDoc="0" locked="0" layoutInCell="1" allowOverlap="1" wp14:anchorId="4EC687E8" wp14:editId="5496DCE8">
          <wp:simplePos x="0" y="0"/>
          <wp:positionH relativeFrom="page">
            <wp:posOffset>6291580</wp:posOffset>
          </wp:positionH>
          <wp:positionV relativeFrom="page">
            <wp:posOffset>456020</wp:posOffset>
          </wp:positionV>
          <wp:extent cx="719640" cy="324360"/>
          <wp:effectExtent l="0" t="0" r="4445" b="6350"/>
          <wp:wrapNone/>
          <wp:docPr id="24"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719640" cy="3243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7BFED" w14:textId="4AC4D4C4" w:rsidR="00CA5252" w:rsidRPr="00F45160" w:rsidRDefault="00CA5252" w:rsidP="00354A43">
    <w:pPr>
      <w:pStyle w:val="Header"/>
      <w:tabs>
        <w:tab w:val="clear" w:pos="4513"/>
        <w:tab w:val="clear" w:pos="9026"/>
        <w:tab w:val="left" w:pos="3161"/>
      </w:tabs>
      <w:jc w:val="both"/>
    </w:pPr>
    <w:r>
      <w:rPr>
        <w:noProof/>
        <w:lang w:eastAsia="ja-JP"/>
      </w:rPr>
      <w:drawing>
        <wp:anchor distT="0" distB="0" distL="114300" distR="114300" simplePos="0" relativeHeight="251659264" behindDoc="0" locked="0" layoutInCell="1" allowOverlap="1" wp14:anchorId="14D841FC" wp14:editId="45080E38">
          <wp:simplePos x="0" y="0"/>
          <wp:positionH relativeFrom="page">
            <wp:posOffset>6277247</wp:posOffset>
          </wp:positionH>
          <wp:positionV relativeFrom="page">
            <wp:posOffset>324758</wp:posOffset>
          </wp:positionV>
          <wp:extent cx="719640" cy="324360"/>
          <wp:effectExtent l="0" t="0" r="4445" b="6350"/>
          <wp:wrapNone/>
          <wp:docPr id="26"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719640" cy="324360"/>
                  </a:xfrm>
                  <a:prstGeom prst="rect">
                    <a:avLst/>
                  </a:prstGeom>
                </pic:spPr>
              </pic:pic>
            </a:graphicData>
          </a:graphic>
          <wp14:sizeRelH relativeFrom="margin">
            <wp14:pctWidth>0</wp14:pctWidth>
          </wp14:sizeRelH>
          <wp14:sizeRelV relativeFrom="margin">
            <wp14:pctHeight>0</wp14:pctHeight>
          </wp14:sizeRelV>
        </wp:anchor>
      </w:drawing>
    </w:r>
    <w:sdt>
      <w:sdtPr>
        <w:rPr>
          <w:rFonts w:ascii="Calibri" w:hAnsi="Calibri" w:cs="Calibri"/>
        </w:rPr>
        <w:id w:val="793026128"/>
        <w:docPartObj>
          <w:docPartGallery w:val="Page Numbers (Bottom of Page)"/>
          <w:docPartUnique/>
        </w:docPartObj>
      </w:sdtPr>
      <w:sdtEndPr>
        <w:rPr>
          <w:color w:val="014171"/>
          <w:sz w:val="20"/>
          <w:szCs w:val="20"/>
        </w:rPr>
      </w:sdtEndPr>
      <w:sdtContent>
        <w:r w:rsidRPr="00D50E02">
          <w:rPr>
            <w:rFonts w:ascii="Calibri" w:hAnsi="Calibri" w:cs="Calibri"/>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75C8C7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29E901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83865164"/>
    <w:lvl w:ilvl="0">
      <w:start w:val="1"/>
      <w:numFmt w:val="decimal"/>
      <w:pStyle w:val="ListNumber"/>
      <w:lvlText w:val="%1."/>
      <w:lvlJc w:val="left"/>
      <w:pPr>
        <w:tabs>
          <w:tab w:val="num" w:pos="360"/>
        </w:tabs>
        <w:ind w:left="360" w:hanging="360"/>
      </w:pPr>
    </w:lvl>
  </w:abstractNum>
  <w:abstractNum w:abstractNumId="3" w15:restartNumberingAfterBreak="0">
    <w:nsid w:val="006E3762"/>
    <w:multiLevelType w:val="hybridMultilevel"/>
    <w:tmpl w:val="BAC82B82"/>
    <w:lvl w:ilvl="0" w:tplc="E6CCD9B4">
      <w:start w:val="1"/>
      <w:numFmt w:val="bullet"/>
      <w:lvlText w:val=""/>
      <w:lvlJc w:val="left"/>
      <w:pPr>
        <w:ind w:left="720" w:hanging="360"/>
      </w:pPr>
      <w:rPr>
        <w:rFonts w:ascii="Symbol" w:hAnsi="Symbol" w:hint="default"/>
        <w:color w:val="D5B3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26386E"/>
    <w:multiLevelType w:val="hybridMultilevel"/>
    <w:tmpl w:val="352642F2"/>
    <w:lvl w:ilvl="0" w:tplc="E6CCD9B4">
      <w:start w:val="1"/>
      <w:numFmt w:val="bullet"/>
      <w:lvlText w:val=""/>
      <w:lvlJc w:val="left"/>
      <w:pPr>
        <w:ind w:left="720" w:hanging="360"/>
      </w:pPr>
      <w:rPr>
        <w:rFonts w:ascii="Symbol" w:hAnsi="Symbol" w:hint="default"/>
        <w:color w:val="D5B3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34A63"/>
    <w:multiLevelType w:val="hybridMultilevel"/>
    <w:tmpl w:val="DC0C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9D6E8B"/>
    <w:multiLevelType w:val="hybridMultilevel"/>
    <w:tmpl w:val="958A6A4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06C60305"/>
    <w:multiLevelType w:val="hybridMultilevel"/>
    <w:tmpl w:val="E73A4008"/>
    <w:lvl w:ilvl="0" w:tplc="E6CCD9B4">
      <w:start w:val="1"/>
      <w:numFmt w:val="bullet"/>
      <w:lvlText w:val=""/>
      <w:lvlJc w:val="left"/>
      <w:pPr>
        <w:ind w:left="720" w:hanging="360"/>
      </w:pPr>
      <w:rPr>
        <w:rFonts w:ascii="Symbol" w:hAnsi="Symbol" w:hint="default"/>
        <w:color w:val="D5B3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F910FF"/>
    <w:multiLevelType w:val="hybridMultilevel"/>
    <w:tmpl w:val="63C87E20"/>
    <w:lvl w:ilvl="0" w:tplc="2D1868FC">
      <w:start w:val="1"/>
      <w:numFmt w:val="bullet"/>
      <w:lvlText w:val="•"/>
      <w:lvlJc w:val="left"/>
      <w:pPr>
        <w:tabs>
          <w:tab w:val="num" w:pos="720"/>
        </w:tabs>
        <w:ind w:left="720" w:hanging="360"/>
      </w:pPr>
      <w:rPr>
        <w:rFonts w:ascii="Arial" w:hAnsi="Arial" w:hint="default"/>
      </w:rPr>
    </w:lvl>
    <w:lvl w:ilvl="1" w:tplc="20363742" w:tentative="1">
      <w:start w:val="1"/>
      <w:numFmt w:val="bullet"/>
      <w:lvlText w:val="•"/>
      <w:lvlJc w:val="left"/>
      <w:pPr>
        <w:tabs>
          <w:tab w:val="num" w:pos="1440"/>
        </w:tabs>
        <w:ind w:left="1440" w:hanging="360"/>
      </w:pPr>
      <w:rPr>
        <w:rFonts w:ascii="Arial" w:hAnsi="Arial" w:hint="default"/>
      </w:rPr>
    </w:lvl>
    <w:lvl w:ilvl="2" w:tplc="6C3EEB46" w:tentative="1">
      <w:start w:val="1"/>
      <w:numFmt w:val="bullet"/>
      <w:lvlText w:val="•"/>
      <w:lvlJc w:val="left"/>
      <w:pPr>
        <w:tabs>
          <w:tab w:val="num" w:pos="2160"/>
        </w:tabs>
        <w:ind w:left="2160" w:hanging="360"/>
      </w:pPr>
      <w:rPr>
        <w:rFonts w:ascii="Arial" w:hAnsi="Arial" w:hint="default"/>
      </w:rPr>
    </w:lvl>
    <w:lvl w:ilvl="3" w:tplc="5FEAECF0" w:tentative="1">
      <w:start w:val="1"/>
      <w:numFmt w:val="bullet"/>
      <w:lvlText w:val="•"/>
      <w:lvlJc w:val="left"/>
      <w:pPr>
        <w:tabs>
          <w:tab w:val="num" w:pos="2880"/>
        </w:tabs>
        <w:ind w:left="2880" w:hanging="360"/>
      </w:pPr>
      <w:rPr>
        <w:rFonts w:ascii="Arial" w:hAnsi="Arial" w:hint="default"/>
      </w:rPr>
    </w:lvl>
    <w:lvl w:ilvl="4" w:tplc="33CEBE6A" w:tentative="1">
      <w:start w:val="1"/>
      <w:numFmt w:val="bullet"/>
      <w:lvlText w:val="•"/>
      <w:lvlJc w:val="left"/>
      <w:pPr>
        <w:tabs>
          <w:tab w:val="num" w:pos="3600"/>
        </w:tabs>
        <w:ind w:left="3600" w:hanging="360"/>
      </w:pPr>
      <w:rPr>
        <w:rFonts w:ascii="Arial" w:hAnsi="Arial" w:hint="default"/>
      </w:rPr>
    </w:lvl>
    <w:lvl w:ilvl="5" w:tplc="6526CF44" w:tentative="1">
      <w:start w:val="1"/>
      <w:numFmt w:val="bullet"/>
      <w:lvlText w:val="•"/>
      <w:lvlJc w:val="left"/>
      <w:pPr>
        <w:tabs>
          <w:tab w:val="num" w:pos="4320"/>
        </w:tabs>
        <w:ind w:left="4320" w:hanging="360"/>
      </w:pPr>
      <w:rPr>
        <w:rFonts w:ascii="Arial" w:hAnsi="Arial" w:hint="default"/>
      </w:rPr>
    </w:lvl>
    <w:lvl w:ilvl="6" w:tplc="0D20F792" w:tentative="1">
      <w:start w:val="1"/>
      <w:numFmt w:val="bullet"/>
      <w:lvlText w:val="•"/>
      <w:lvlJc w:val="left"/>
      <w:pPr>
        <w:tabs>
          <w:tab w:val="num" w:pos="5040"/>
        </w:tabs>
        <w:ind w:left="5040" w:hanging="360"/>
      </w:pPr>
      <w:rPr>
        <w:rFonts w:ascii="Arial" w:hAnsi="Arial" w:hint="default"/>
      </w:rPr>
    </w:lvl>
    <w:lvl w:ilvl="7" w:tplc="54BAC984" w:tentative="1">
      <w:start w:val="1"/>
      <w:numFmt w:val="bullet"/>
      <w:lvlText w:val="•"/>
      <w:lvlJc w:val="left"/>
      <w:pPr>
        <w:tabs>
          <w:tab w:val="num" w:pos="5760"/>
        </w:tabs>
        <w:ind w:left="5760" w:hanging="360"/>
      </w:pPr>
      <w:rPr>
        <w:rFonts w:ascii="Arial" w:hAnsi="Arial" w:hint="default"/>
      </w:rPr>
    </w:lvl>
    <w:lvl w:ilvl="8" w:tplc="5B4E4C4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C247075"/>
    <w:multiLevelType w:val="hybridMultilevel"/>
    <w:tmpl w:val="B574D896"/>
    <w:lvl w:ilvl="0" w:tplc="80E4096E">
      <w:start w:val="1"/>
      <w:numFmt w:val="bullet"/>
      <w:pStyle w:val="Daiwasubbullet"/>
      <w:lvlText w:val="–"/>
      <w:lvlJc w:val="left"/>
      <w:pPr>
        <w:ind w:left="1440" w:hanging="360"/>
      </w:pPr>
      <w:rPr>
        <w:rFonts w:ascii="HelveticaNeueLT Std Lt" w:hAnsi="HelveticaNeueLT Std Lt" w:cs="HelveticaNeueLT Std Lt" w:hint="default"/>
        <w:color w:val="01417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C622E2B"/>
    <w:multiLevelType w:val="hybridMultilevel"/>
    <w:tmpl w:val="BBEAB828"/>
    <w:lvl w:ilvl="0" w:tplc="E6CCD9B4">
      <w:start w:val="1"/>
      <w:numFmt w:val="bullet"/>
      <w:lvlText w:val=""/>
      <w:lvlJc w:val="left"/>
      <w:pPr>
        <w:ind w:left="720" w:hanging="360"/>
      </w:pPr>
      <w:rPr>
        <w:rFonts w:ascii="Symbol" w:hAnsi="Symbol" w:hint="default"/>
        <w:color w:val="D5B3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C7431F"/>
    <w:multiLevelType w:val="hybridMultilevel"/>
    <w:tmpl w:val="6ACC8E44"/>
    <w:lvl w:ilvl="0" w:tplc="E6CCD9B4">
      <w:start w:val="1"/>
      <w:numFmt w:val="bullet"/>
      <w:lvlText w:val=""/>
      <w:lvlJc w:val="left"/>
      <w:pPr>
        <w:ind w:left="720" w:hanging="360"/>
      </w:pPr>
      <w:rPr>
        <w:rFonts w:ascii="Symbol" w:hAnsi="Symbol" w:hint="default"/>
        <w:color w:val="D5B3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83522D"/>
    <w:multiLevelType w:val="hybridMultilevel"/>
    <w:tmpl w:val="B112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CF2AA5"/>
    <w:multiLevelType w:val="hybridMultilevel"/>
    <w:tmpl w:val="8DE4D088"/>
    <w:lvl w:ilvl="0" w:tplc="E6CCD9B4">
      <w:start w:val="1"/>
      <w:numFmt w:val="bullet"/>
      <w:lvlText w:val=""/>
      <w:lvlJc w:val="left"/>
      <w:pPr>
        <w:ind w:left="720" w:hanging="360"/>
      </w:pPr>
      <w:rPr>
        <w:rFonts w:ascii="Symbol" w:hAnsi="Symbol" w:hint="default"/>
        <w:color w:val="D5B3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FC6B1F"/>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3D7B91"/>
    <w:multiLevelType w:val="hybridMultilevel"/>
    <w:tmpl w:val="573C2E76"/>
    <w:lvl w:ilvl="0" w:tplc="E6CCD9B4">
      <w:start w:val="1"/>
      <w:numFmt w:val="bullet"/>
      <w:lvlText w:val=""/>
      <w:lvlJc w:val="left"/>
      <w:pPr>
        <w:ind w:left="720" w:hanging="360"/>
      </w:pPr>
      <w:rPr>
        <w:rFonts w:ascii="Symbol" w:hAnsi="Symbol" w:hint="default"/>
        <w:color w:val="D5B3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B16FE5"/>
    <w:multiLevelType w:val="hybridMultilevel"/>
    <w:tmpl w:val="09D2FFD4"/>
    <w:lvl w:ilvl="0" w:tplc="E6CCD9B4">
      <w:start w:val="1"/>
      <w:numFmt w:val="bullet"/>
      <w:lvlText w:val=""/>
      <w:lvlJc w:val="left"/>
      <w:pPr>
        <w:ind w:left="720" w:hanging="360"/>
      </w:pPr>
      <w:rPr>
        <w:rFonts w:ascii="Symbol" w:hAnsi="Symbol" w:hint="default"/>
        <w:color w:val="D5B3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9F2D91"/>
    <w:multiLevelType w:val="hybridMultilevel"/>
    <w:tmpl w:val="98FC6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CE6AE9"/>
    <w:multiLevelType w:val="hybridMultilevel"/>
    <w:tmpl w:val="690A0736"/>
    <w:lvl w:ilvl="0" w:tplc="E6CCD9B4">
      <w:start w:val="1"/>
      <w:numFmt w:val="bullet"/>
      <w:lvlText w:val=""/>
      <w:lvlJc w:val="left"/>
      <w:pPr>
        <w:ind w:left="720" w:hanging="360"/>
      </w:pPr>
      <w:rPr>
        <w:rFonts w:ascii="Symbol" w:hAnsi="Symbol" w:hint="default"/>
        <w:color w:val="D5B3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3C2DB1"/>
    <w:multiLevelType w:val="multilevel"/>
    <w:tmpl w:val="5EAA3936"/>
    <w:lvl w:ilvl="0">
      <w:start w:val="1"/>
      <w:numFmt w:val="decimal"/>
      <w:pStyle w:val="Heading1"/>
      <w:lvlText w:val="%1"/>
      <w:lvlJc w:val="left"/>
      <w:pPr>
        <w:ind w:left="432" w:hanging="432"/>
      </w:pPr>
      <w:rPr>
        <w:color w:val="D5B322"/>
      </w:rPr>
    </w:lvl>
    <w:lvl w:ilvl="1">
      <w:start w:val="1"/>
      <w:numFmt w:val="decimal"/>
      <w:pStyle w:val="Heading2"/>
      <w:lvlText w:val="%1.%2"/>
      <w:lvlJc w:val="left"/>
      <w:pPr>
        <w:ind w:left="576" w:hanging="576"/>
      </w:pPr>
      <w:rPr>
        <w:b/>
        <w:color w:val="D5B322"/>
      </w:rPr>
    </w:lvl>
    <w:lvl w:ilvl="2">
      <w:start w:val="1"/>
      <w:numFmt w:val="decimal"/>
      <w:pStyle w:val="Heading3"/>
      <w:lvlText w:val="%1.%2.%3"/>
      <w:lvlJc w:val="left"/>
      <w:pPr>
        <w:ind w:left="720" w:hanging="720"/>
      </w:pPr>
      <w:rPr>
        <w:b/>
        <w:color w:val="D5B322"/>
      </w:rPr>
    </w:lvl>
    <w:lvl w:ilvl="3">
      <w:start w:val="1"/>
      <w:numFmt w:val="decimal"/>
      <w:pStyle w:val="Heading4"/>
      <w:lvlText w:val="%1.%2.%3.%4"/>
      <w:lvlJc w:val="left"/>
      <w:pPr>
        <w:ind w:left="864" w:hanging="864"/>
      </w:pPr>
      <w:rPr>
        <w:b/>
        <w:color w:val="DBB132"/>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2AA656D8"/>
    <w:multiLevelType w:val="hybridMultilevel"/>
    <w:tmpl w:val="DE2E0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E67F7E"/>
    <w:multiLevelType w:val="hybridMultilevel"/>
    <w:tmpl w:val="AA68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0D5C5E"/>
    <w:multiLevelType w:val="hybridMultilevel"/>
    <w:tmpl w:val="7BB2E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69012C"/>
    <w:multiLevelType w:val="hybridMultilevel"/>
    <w:tmpl w:val="4D2CF7AC"/>
    <w:lvl w:ilvl="0" w:tplc="E6CCD9B4">
      <w:start w:val="1"/>
      <w:numFmt w:val="bullet"/>
      <w:lvlText w:val=""/>
      <w:lvlJc w:val="left"/>
      <w:pPr>
        <w:ind w:left="720" w:hanging="360"/>
      </w:pPr>
      <w:rPr>
        <w:rFonts w:ascii="Symbol" w:hAnsi="Symbol" w:hint="default"/>
        <w:color w:val="D5B3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177995"/>
    <w:multiLevelType w:val="hybridMultilevel"/>
    <w:tmpl w:val="C7B2B17C"/>
    <w:lvl w:ilvl="0" w:tplc="3FE253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D5D113E"/>
    <w:multiLevelType w:val="hybridMultilevel"/>
    <w:tmpl w:val="4754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8B5B00"/>
    <w:multiLevelType w:val="hybridMultilevel"/>
    <w:tmpl w:val="8D5A2CDC"/>
    <w:lvl w:ilvl="0" w:tplc="A1C6B068">
      <w:start w:val="1"/>
      <w:numFmt w:val="decimal"/>
      <w:pStyle w:val="Marginalnumber"/>
      <w:lvlText w:val="%1"/>
      <w:lvlJc w:val="left"/>
      <w:pPr>
        <w:ind w:left="153" w:hanging="360"/>
      </w:pPr>
      <w:rPr>
        <w:rFonts w:hint="default"/>
      </w:rPr>
    </w:lvl>
    <w:lvl w:ilvl="1" w:tplc="F5765726" w:tentative="1">
      <w:start w:val="1"/>
      <w:numFmt w:val="lowerLetter"/>
      <w:lvlText w:val="%2."/>
      <w:lvlJc w:val="left"/>
      <w:pPr>
        <w:ind w:left="873" w:hanging="360"/>
      </w:pPr>
    </w:lvl>
    <w:lvl w:ilvl="2" w:tplc="BB02A9F4" w:tentative="1">
      <w:start w:val="1"/>
      <w:numFmt w:val="lowerRoman"/>
      <w:lvlText w:val="%3."/>
      <w:lvlJc w:val="right"/>
      <w:pPr>
        <w:ind w:left="1593" w:hanging="180"/>
      </w:pPr>
    </w:lvl>
    <w:lvl w:ilvl="3" w:tplc="76C2734A" w:tentative="1">
      <w:start w:val="1"/>
      <w:numFmt w:val="decimal"/>
      <w:lvlText w:val="%4."/>
      <w:lvlJc w:val="left"/>
      <w:pPr>
        <w:ind w:left="2313" w:hanging="360"/>
      </w:pPr>
    </w:lvl>
    <w:lvl w:ilvl="4" w:tplc="44549BA4" w:tentative="1">
      <w:start w:val="1"/>
      <w:numFmt w:val="lowerLetter"/>
      <w:lvlText w:val="%5."/>
      <w:lvlJc w:val="left"/>
      <w:pPr>
        <w:ind w:left="3033" w:hanging="360"/>
      </w:pPr>
    </w:lvl>
    <w:lvl w:ilvl="5" w:tplc="68EA45F8" w:tentative="1">
      <w:start w:val="1"/>
      <w:numFmt w:val="lowerRoman"/>
      <w:lvlText w:val="%6."/>
      <w:lvlJc w:val="right"/>
      <w:pPr>
        <w:ind w:left="3753" w:hanging="180"/>
      </w:pPr>
    </w:lvl>
    <w:lvl w:ilvl="6" w:tplc="A3940772" w:tentative="1">
      <w:start w:val="1"/>
      <w:numFmt w:val="decimal"/>
      <w:lvlText w:val="%7."/>
      <w:lvlJc w:val="left"/>
      <w:pPr>
        <w:ind w:left="4473" w:hanging="360"/>
      </w:pPr>
    </w:lvl>
    <w:lvl w:ilvl="7" w:tplc="E7E495E2" w:tentative="1">
      <w:start w:val="1"/>
      <w:numFmt w:val="lowerLetter"/>
      <w:lvlText w:val="%8."/>
      <w:lvlJc w:val="left"/>
      <w:pPr>
        <w:ind w:left="5193" w:hanging="360"/>
      </w:pPr>
    </w:lvl>
    <w:lvl w:ilvl="8" w:tplc="887C73CC" w:tentative="1">
      <w:start w:val="1"/>
      <w:numFmt w:val="lowerRoman"/>
      <w:lvlText w:val="%9."/>
      <w:lvlJc w:val="right"/>
      <w:pPr>
        <w:ind w:left="5913" w:hanging="180"/>
      </w:pPr>
    </w:lvl>
  </w:abstractNum>
  <w:abstractNum w:abstractNumId="27" w15:restartNumberingAfterBreak="0">
    <w:nsid w:val="38500D75"/>
    <w:multiLevelType w:val="multilevel"/>
    <w:tmpl w:val="26362898"/>
    <w:lvl w:ilvl="0">
      <w:start w:val="1"/>
      <w:numFmt w:val="bullet"/>
      <w:pStyle w:val="TableBullets1"/>
      <w:lvlText w:val=""/>
      <w:lvlJc w:val="left"/>
      <w:pPr>
        <w:tabs>
          <w:tab w:val="num" w:pos="227"/>
        </w:tabs>
        <w:ind w:left="227" w:hanging="227"/>
      </w:pPr>
      <w:rPr>
        <w:rFonts w:ascii="Wingdings" w:hAnsi="Wingdings" w:hint="default"/>
        <w:color w:val="000080"/>
        <w:sz w:val="12"/>
      </w:rPr>
    </w:lvl>
    <w:lvl w:ilvl="1">
      <w:start w:val="1"/>
      <w:numFmt w:val="bullet"/>
      <w:pStyle w:val="TableBullets2"/>
      <w:lvlText w:val=""/>
      <w:lvlJc w:val="left"/>
      <w:pPr>
        <w:tabs>
          <w:tab w:val="num" w:pos="227"/>
        </w:tabs>
        <w:ind w:left="454" w:hanging="227"/>
      </w:pPr>
      <w:rPr>
        <w:rFonts w:ascii="Wingdings 3" w:hAnsi="Wingdings 3" w:hint="default"/>
        <w:color w:val="000080"/>
        <w:sz w:val="12"/>
      </w:rPr>
    </w:lvl>
    <w:lvl w:ilvl="2">
      <w:start w:val="1"/>
      <w:numFmt w:val="bullet"/>
      <w:pStyle w:val="TableBullets3"/>
      <w:lvlText w:val="–"/>
      <w:lvlJc w:val="left"/>
      <w:pPr>
        <w:tabs>
          <w:tab w:val="num" w:pos="227"/>
        </w:tabs>
        <w:ind w:left="680" w:hanging="226"/>
      </w:pPr>
      <w:rPr>
        <w:rFonts w:ascii="Times New Roman" w:hAnsi="Times New Roman" w:hint="default"/>
        <w:color w:val="000080"/>
        <w:sz w:val="12"/>
      </w:rPr>
    </w:lvl>
    <w:lvl w:ilvl="3">
      <w:start w:val="1"/>
      <w:numFmt w:val="lowerLetter"/>
      <w:lvlText w:val="(%4)"/>
      <w:lvlJc w:val="left"/>
      <w:pPr>
        <w:tabs>
          <w:tab w:val="num" w:pos="1271"/>
        </w:tabs>
        <w:ind w:left="1271" w:hanging="426"/>
      </w:pPr>
      <w:rPr>
        <w:rFonts w:hint="default"/>
      </w:rPr>
    </w:lvl>
    <w:lvl w:ilvl="4">
      <w:start w:val="1"/>
      <w:numFmt w:val="lowerRoman"/>
      <w:lvlText w:val="(%5)"/>
      <w:lvlJc w:val="left"/>
      <w:pPr>
        <w:tabs>
          <w:tab w:val="num" w:pos="1838"/>
        </w:tabs>
        <w:ind w:left="1838" w:hanging="567"/>
      </w:pPr>
      <w:rPr>
        <w:rFonts w:hint="default"/>
      </w:rPr>
    </w:lvl>
    <w:lvl w:ilvl="5">
      <w:start w:val="1"/>
      <w:numFmt w:val="upperLetter"/>
      <w:lvlText w:val="(%6)"/>
      <w:lvlJc w:val="left"/>
      <w:pPr>
        <w:tabs>
          <w:tab w:val="num" w:pos="2404"/>
        </w:tabs>
        <w:ind w:left="2404" w:hanging="566"/>
      </w:pPr>
      <w:rPr>
        <w:rFonts w:hint="default"/>
      </w:rPr>
    </w:lvl>
    <w:lvl w:ilvl="6">
      <w:start w:val="1"/>
      <w:numFmt w:val="decimal"/>
      <w:lvlText w:val="%7)"/>
      <w:lvlJc w:val="left"/>
      <w:pPr>
        <w:tabs>
          <w:tab w:val="num" w:pos="2971"/>
        </w:tabs>
        <w:ind w:left="2971" w:hanging="567"/>
      </w:pPr>
      <w:rPr>
        <w:rFonts w:hint="default"/>
      </w:rPr>
    </w:lvl>
    <w:lvl w:ilvl="7">
      <w:start w:val="1"/>
      <w:numFmt w:val="lowerLetter"/>
      <w:lvlText w:val="%8)"/>
      <w:lvlJc w:val="left"/>
      <w:pPr>
        <w:tabs>
          <w:tab w:val="num" w:pos="3538"/>
        </w:tabs>
        <w:ind w:left="3538" w:hanging="567"/>
      </w:pPr>
      <w:rPr>
        <w:rFonts w:hint="default"/>
      </w:rPr>
    </w:lvl>
    <w:lvl w:ilvl="8">
      <w:start w:val="1"/>
      <w:numFmt w:val="lowerRoman"/>
      <w:lvlText w:val="%9)"/>
      <w:lvlJc w:val="left"/>
      <w:pPr>
        <w:tabs>
          <w:tab w:val="num" w:pos="4105"/>
        </w:tabs>
        <w:ind w:left="4105" w:hanging="567"/>
      </w:pPr>
      <w:rPr>
        <w:rFonts w:hint="default"/>
      </w:rPr>
    </w:lvl>
  </w:abstractNum>
  <w:abstractNum w:abstractNumId="28" w15:restartNumberingAfterBreak="0">
    <w:nsid w:val="3B7068B5"/>
    <w:multiLevelType w:val="hybridMultilevel"/>
    <w:tmpl w:val="6E923166"/>
    <w:lvl w:ilvl="0" w:tplc="A5F09146">
      <w:start w:val="1"/>
      <w:numFmt w:val="bullet"/>
      <w:pStyle w:val="Daiwabullet"/>
      <w:lvlText w:val=""/>
      <w:lvlJc w:val="left"/>
      <w:pPr>
        <w:ind w:left="720" w:hanging="360"/>
      </w:pPr>
      <w:rPr>
        <w:rFonts w:ascii="Symbol" w:hAnsi="Symbol" w:cs="Symbol" w:hint="default"/>
        <w:color w:val="01417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022833"/>
    <w:multiLevelType w:val="hybridMultilevel"/>
    <w:tmpl w:val="BD1EAB8E"/>
    <w:lvl w:ilvl="0" w:tplc="E6CCD9B4">
      <w:start w:val="1"/>
      <w:numFmt w:val="bullet"/>
      <w:lvlText w:val=""/>
      <w:lvlJc w:val="left"/>
      <w:pPr>
        <w:ind w:left="720" w:hanging="360"/>
      </w:pPr>
      <w:rPr>
        <w:rFonts w:ascii="Symbol" w:hAnsi="Symbol" w:hint="default"/>
        <w:color w:val="D5B3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1B5F37"/>
    <w:multiLevelType w:val="hybridMultilevel"/>
    <w:tmpl w:val="F3FA5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48A163F"/>
    <w:multiLevelType w:val="hybridMultilevel"/>
    <w:tmpl w:val="3030E9F2"/>
    <w:lvl w:ilvl="0" w:tplc="E6CCD9B4">
      <w:start w:val="1"/>
      <w:numFmt w:val="bullet"/>
      <w:lvlText w:val=""/>
      <w:lvlJc w:val="left"/>
      <w:pPr>
        <w:ind w:left="1572" w:hanging="360"/>
      </w:pPr>
      <w:rPr>
        <w:rFonts w:ascii="Symbol" w:hAnsi="Symbol" w:hint="default"/>
        <w:color w:val="D5B322"/>
      </w:rPr>
    </w:lvl>
    <w:lvl w:ilvl="1" w:tplc="3D9E6058">
      <w:numFmt w:val="bullet"/>
      <w:lvlText w:val="•"/>
      <w:lvlJc w:val="left"/>
      <w:pPr>
        <w:ind w:left="2292" w:hanging="360"/>
      </w:pPr>
      <w:rPr>
        <w:rFonts w:ascii="Calibri" w:eastAsia="Calibri" w:hAnsi="Calibri" w:cs="Calibri" w:hint="default"/>
      </w:rPr>
    </w:lvl>
    <w:lvl w:ilvl="2" w:tplc="1C344256" w:tentative="1">
      <w:start w:val="1"/>
      <w:numFmt w:val="bullet"/>
      <w:lvlText w:val=""/>
      <w:lvlJc w:val="left"/>
      <w:pPr>
        <w:ind w:left="3012" w:hanging="360"/>
      </w:pPr>
      <w:rPr>
        <w:rFonts w:ascii="Wingdings" w:hAnsi="Wingdings" w:hint="default"/>
      </w:rPr>
    </w:lvl>
    <w:lvl w:ilvl="3" w:tplc="31A0115C" w:tentative="1">
      <w:start w:val="1"/>
      <w:numFmt w:val="bullet"/>
      <w:lvlText w:val=""/>
      <w:lvlJc w:val="left"/>
      <w:pPr>
        <w:ind w:left="3732" w:hanging="360"/>
      </w:pPr>
      <w:rPr>
        <w:rFonts w:ascii="Symbol" w:hAnsi="Symbol" w:hint="default"/>
      </w:rPr>
    </w:lvl>
    <w:lvl w:ilvl="4" w:tplc="58CAD19E" w:tentative="1">
      <w:start w:val="1"/>
      <w:numFmt w:val="bullet"/>
      <w:lvlText w:val="o"/>
      <w:lvlJc w:val="left"/>
      <w:pPr>
        <w:ind w:left="4452" w:hanging="360"/>
      </w:pPr>
      <w:rPr>
        <w:rFonts w:ascii="Courier New" w:hAnsi="Courier New" w:cs="Courier New" w:hint="default"/>
      </w:rPr>
    </w:lvl>
    <w:lvl w:ilvl="5" w:tplc="27401690" w:tentative="1">
      <w:start w:val="1"/>
      <w:numFmt w:val="bullet"/>
      <w:lvlText w:val=""/>
      <w:lvlJc w:val="left"/>
      <w:pPr>
        <w:ind w:left="5172" w:hanging="360"/>
      </w:pPr>
      <w:rPr>
        <w:rFonts w:ascii="Wingdings" w:hAnsi="Wingdings" w:hint="default"/>
      </w:rPr>
    </w:lvl>
    <w:lvl w:ilvl="6" w:tplc="E3BC522C" w:tentative="1">
      <w:start w:val="1"/>
      <w:numFmt w:val="bullet"/>
      <w:lvlText w:val=""/>
      <w:lvlJc w:val="left"/>
      <w:pPr>
        <w:ind w:left="5892" w:hanging="360"/>
      </w:pPr>
      <w:rPr>
        <w:rFonts w:ascii="Symbol" w:hAnsi="Symbol" w:hint="default"/>
      </w:rPr>
    </w:lvl>
    <w:lvl w:ilvl="7" w:tplc="CEF633A8" w:tentative="1">
      <w:start w:val="1"/>
      <w:numFmt w:val="bullet"/>
      <w:lvlText w:val="o"/>
      <w:lvlJc w:val="left"/>
      <w:pPr>
        <w:ind w:left="6612" w:hanging="360"/>
      </w:pPr>
      <w:rPr>
        <w:rFonts w:ascii="Courier New" w:hAnsi="Courier New" w:cs="Courier New" w:hint="default"/>
      </w:rPr>
    </w:lvl>
    <w:lvl w:ilvl="8" w:tplc="27B84490" w:tentative="1">
      <w:start w:val="1"/>
      <w:numFmt w:val="bullet"/>
      <w:lvlText w:val=""/>
      <w:lvlJc w:val="left"/>
      <w:pPr>
        <w:ind w:left="7332" w:hanging="360"/>
      </w:pPr>
      <w:rPr>
        <w:rFonts w:ascii="Wingdings" w:hAnsi="Wingdings" w:hint="default"/>
      </w:rPr>
    </w:lvl>
  </w:abstractNum>
  <w:abstractNum w:abstractNumId="32" w15:restartNumberingAfterBreak="0">
    <w:nsid w:val="449D0C9D"/>
    <w:multiLevelType w:val="hybridMultilevel"/>
    <w:tmpl w:val="CA62A894"/>
    <w:lvl w:ilvl="0" w:tplc="D1F424D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E171B6"/>
    <w:multiLevelType w:val="hybridMultilevel"/>
    <w:tmpl w:val="314EF392"/>
    <w:lvl w:ilvl="0" w:tplc="E6CCD9B4">
      <w:start w:val="1"/>
      <w:numFmt w:val="bullet"/>
      <w:lvlText w:val=""/>
      <w:lvlJc w:val="left"/>
      <w:pPr>
        <w:ind w:left="720" w:hanging="360"/>
      </w:pPr>
      <w:rPr>
        <w:rFonts w:ascii="Symbol" w:hAnsi="Symbol" w:hint="default"/>
        <w:color w:val="D5B3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F47517"/>
    <w:multiLevelType w:val="hybridMultilevel"/>
    <w:tmpl w:val="996AE160"/>
    <w:lvl w:ilvl="0" w:tplc="E6CCD9B4">
      <w:start w:val="1"/>
      <w:numFmt w:val="bullet"/>
      <w:lvlText w:val=""/>
      <w:lvlJc w:val="left"/>
      <w:pPr>
        <w:ind w:left="720" w:hanging="360"/>
      </w:pPr>
      <w:rPr>
        <w:rFonts w:ascii="Symbol" w:hAnsi="Symbol" w:hint="default"/>
        <w:color w:val="D5B3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7956FD"/>
    <w:multiLevelType w:val="hybridMultilevel"/>
    <w:tmpl w:val="ECD4316E"/>
    <w:lvl w:ilvl="0" w:tplc="E6CCD9B4">
      <w:start w:val="1"/>
      <w:numFmt w:val="bullet"/>
      <w:lvlText w:val=""/>
      <w:lvlJc w:val="left"/>
      <w:pPr>
        <w:ind w:left="720" w:hanging="360"/>
      </w:pPr>
      <w:rPr>
        <w:rFonts w:ascii="Symbol" w:hAnsi="Symbol" w:hint="default"/>
        <w:color w:val="D5B3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72303C"/>
    <w:multiLevelType w:val="hybridMultilevel"/>
    <w:tmpl w:val="666CB786"/>
    <w:lvl w:ilvl="0" w:tplc="E6CCD9B4">
      <w:start w:val="1"/>
      <w:numFmt w:val="bullet"/>
      <w:lvlText w:val=""/>
      <w:lvlJc w:val="left"/>
      <w:pPr>
        <w:ind w:left="720" w:hanging="360"/>
      </w:pPr>
      <w:rPr>
        <w:rFonts w:ascii="Symbol" w:hAnsi="Symbol" w:hint="default"/>
        <w:color w:val="D5B3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C31708"/>
    <w:multiLevelType w:val="multilevel"/>
    <w:tmpl w:val="7EE4880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EB7456"/>
    <w:multiLevelType w:val="hybridMultilevel"/>
    <w:tmpl w:val="BF549E7C"/>
    <w:lvl w:ilvl="0" w:tplc="1B1E8D6A">
      <w:start w:val="1"/>
      <w:numFmt w:val="decimal"/>
      <w:pStyle w:val="Heading1Calibri"/>
      <w:lvlText w:val="%1."/>
      <w:lvlJc w:val="left"/>
      <w:pPr>
        <w:tabs>
          <w:tab w:val="num" w:pos="720"/>
        </w:tabs>
        <w:ind w:left="72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5C3F02"/>
    <w:multiLevelType w:val="hybridMultilevel"/>
    <w:tmpl w:val="FCD0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BB7F87"/>
    <w:multiLevelType w:val="hybridMultilevel"/>
    <w:tmpl w:val="6742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423D91"/>
    <w:multiLevelType w:val="hybridMultilevel"/>
    <w:tmpl w:val="2C3A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EE1EE6"/>
    <w:multiLevelType w:val="hybridMultilevel"/>
    <w:tmpl w:val="2D24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817C01"/>
    <w:multiLevelType w:val="hybridMultilevel"/>
    <w:tmpl w:val="1292ABB6"/>
    <w:lvl w:ilvl="0" w:tplc="11BEF1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B4D3AAD"/>
    <w:multiLevelType w:val="hybridMultilevel"/>
    <w:tmpl w:val="7D86DE4A"/>
    <w:lvl w:ilvl="0" w:tplc="11BEF1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C804B7E"/>
    <w:multiLevelType w:val="hybridMultilevel"/>
    <w:tmpl w:val="EEB2BC7E"/>
    <w:lvl w:ilvl="0" w:tplc="6DA0F8DE">
      <w:start w:val="5"/>
      <w:numFmt w:val="bullet"/>
      <w:lvlText w:val=""/>
      <w:lvlJc w:val="left"/>
      <w:pPr>
        <w:ind w:left="1800" w:hanging="360"/>
      </w:pPr>
      <w:rPr>
        <w:rFonts w:ascii="Wingdings" w:eastAsia="MS Mincho" w:hAnsi="Wingdings"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6D6F7C54"/>
    <w:multiLevelType w:val="hybridMultilevel"/>
    <w:tmpl w:val="02CE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ED5F43"/>
    <w:multiLevelType w:val="hybridMultilevel"/>
    <w:tmpl w:val="958A6A4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15:restartNumberingAfterBreak="0">
    <w:nsid w:val="6E5468A1"/>
    <w:multiLevelType w:val="hybridMultilevel"/>
    <w:tmpl w:val="7C9E35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9" w15:restartNumberingAfterBreak="0">
    <w:nsid w:val="71AB6ADD"/>
    <w:multiLevelType w:val="hybridMultilevel"/>
    <w:tmpl w:val="D40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5C42D31"/>
    <w:multiLevelType w:val="hybridMultilevel"/>
    <w:tmpl w:val="E8F6BE26"/>
    <w:lvl w:ilvl="0" w:tplc="E6CCD9B4">
      <w:start w:val="1"/>
      <w:numFmt w:val="bullet"/>
      <w:lvlText w:val=""/>
      <w:lvlJc w:val="left"/>
      <w:pPr>
        <w:ind w:left="720" w:hanging="360"/>
      </w:pPr>
      <w:rPr>
        <w:rFonts w:ascii="Symbol" w:hAnsi="Symbol" w:hint="default"/>
        <w:color w:val="D5B3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A73BD9"/>
    <w:multiLevelType w:val="hybridMultilevel"/>
    <w:tmpl w:val="5C1C2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70042C"/>
    <w:multiLevelType w:val="hybridMultilevel"/>
    <w:tmpl w:val="085E3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7E6B323B"/>
    <w:multiLevelType w:val="hybridMultilevel"/>
    <w:tmpl w:val="ACA48B36"/>
    <w:lvl w:ilvl="0" w:tplc="29A281BE">
      <w:start w:val="1"/>
      <w:numFmt w:val="decimal"/>
      <w:pStyle w:val="Heading1AX"/>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8"/>
  </w:num>
  <w:num w:numId="2">
    <w:abstractNumId w:val="9"/>
  </w:num>
  <w:num w:numId="3">
    <w:abstractNumId w:val="0"/>
  </w:num>
  <w:num w:numId="4">
    <w:abstractNumId w:val="14"/>
  </w:num>
  <w:num w:numId="5">
    <w:abstractNumId w:val="27"/>
  </w:num>
  <w:num w:numId="6">
    <w:abstractNumId w:val="38"/>
  </w:num>
  <w:num w:numId="7">
    <w:abstractNumId w:val="53"/>
  </w:num>
  <w:num w:numId="8">
    <w:abstractNumId w:val="1"/>
  </w:num>
  <w:num w:numId="9">
    <w:abstractNumId w:val="19"/>
  </w:num>
  <w:num w:numId="10">
    <w:abstractNumId w:val="2"/>
  </w:num>
  <w:num w:numId="11">
    <w:abstractNumId w:val="26"/>
  </w:num>
  <w:num w:numId="12">
    <w:abstractNumId w:val="31"/>
  </w:num>
  <w:num w:numId="13">
    <w:abstractNumId w:val="49"/>
  </w:num>
  <w:num w:numId="14">
    <w:abstractNumId w:val="32"/>
  </w:num>
  <w:num w:numId="15">
    <w:abstractNumId w:val="22"/>
  </w:num>
  <w:num w:numId="16">
    <w:abstractNumId w:val="39"/>
  </w:num>
  <w:num w:numId="17">
    <w:abstractNumId w:val="52"/>
  </w:num>
  <w:num w:numId="18">
    <w:abstractNumId w:val="6"/>
  </w:num>
  <w:num w:numId="19">
    <w:abstractNumId w:val="47"/>
  </w:num>
  <w:num w:numId="20">
    <w:abstractNumId w:val="48"/>
  </w:num>
  <w:num w:numId="21">
    <w:abstractNumId w:val="24"/>
  </w:num>
  <w:num w:numId="22">
    <w:abstractNumId w:val="25"/>
  </w:num>
  <w:num w:numId="23">
    <w:abstractNumId w:val="5"/>
  </w:num>
  <w:num w:numId="24">
    <w:abstractNumId w:val="12"/>
  </w:num>
  <w:num w:numId="25">
    <w:abstractNumId w:val="46"/>
  </w:num>
  <w:num w:numId="26">
    <w:abstractNumId w:val="21"/>
  </w:num>
  <w:num w:numId="27">
    <w:abstractNumId w:val="51"/>
  </w:num>
  <w:num w:numId="28">
    <w:abstractNumId w:val="20"/>
  </w:num>
  <w:num w:numId="29">
    <w:abstractNumId w:val="40"/>
  </w:num>
  <w:num w:numId="30">
    <w:abstractNumId w:val="4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4"/>
  </w:num>
  <w:num w:numId="34">
    <w:abstractNumId w:val="23"/>
  </w:num>
  <w:num w:numId="35">
    <w:abstractNumId w:val="11"/>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9"/>
  </w:num>
  <w:num w:numId="50">
    <w:abstractNumId w:val="19"/>
  </w:num>
  <w:num w:numId="51">
    <w:abstractNumId w:val="19"/>
  </w:num>
  <w:num w:numId="52">
    <w:abstractNumId w:val="19"/>
  </w:num>
  <w:num w:numId="53">
    <w:abstractNumId w:val="19"/>
  </w:num>
  <w:num w:numId="54">
    <w:abstractNumId w:val="19"/>
  </w:num>
  <w:num w:numId="55">
    <w:abstractNumId w:val="19"/>
  </w:num>
  <w:num w:numId="56">
    <w:abstractNumId w:val="19"/>
  </w:num>
  <w:num w:numId="57">
    <w:abstractNumId w:val="19"/>
  </w:num>
  <w:num w:numId="58">
    <w:abstractNumId w:val="19"/>
  </w:num>
  <w:num w:numId="59">
    <w:abstractNumId w:val="19"/>
  </w:num>
  <w:num w:numId="60">
    <w:abstractNumId w:val="33"/>
  </w:num>
  <w:num w:numId="61">
    <w:abstractNumId w:val="19"/>
  </w:num>
  <w:num w:numId="62">
    <w:abstractNumId w:val="29"/>
  </w:num>
  <w:num w:numId="63">
    <w:abstractNumId w:val="19"/>
  </w:num>
  <w:num w:numId="64">
    <w:abstractNumId w:val="15"/>
  </w:num>
  <w:num w:numId="65">
    <w:abstractNumId w:val="19"/>
  </w:num>
  <w:num w:numId="66">
    <w:abstractNumId w:val="19"/>
  </w:num>
  <w:num w:numId="67">
    <w:abstractNumId w:val="10"/>
  </w:num>
  <w:num w:numId="68">
    <w:abstractNumId w:val="19"/>
  </w:num>
  <w:num w:numId="69">
    <w:abstractNumId w:val="18"/>
  </w:num>
  <w:num w:numId="70">
    <w:abstractNumId w:val="3"/>
  </w:num>
  <w:num w:numId="71">
    <w:abstractNumId w:val="19"/>
  </w:num>
  <w:num w:numId="72">
    <w:abstractNumId w:val="7"/>
  </w:num>
  <w:num w:numId="73">
    <w:abstractNumId w:val="34"/>
  </w:num>
  <w:num w:numId="74">
    <w:abstractNumId w:val="35"/>
  </w:num>
  <w:num w:numId="75">
    <w:abstractNumId w:val="19"/>
  </w:num>
  <w:num w:numId="76">
    <w:abstractNumId w:val="30"/>
  </w:num>
  <w:num w:numId="77">
    <w:abstractNumId w:val="16"/>
  </w:num>
  <w:num w:numId="78">
    <w:abstractNumId w:val="36"/>
  </w:num>
  <w:num w:numId="79">
    <w:abstractNumId w:val="50"/>
  </w:num>
  <w:num w:numId="80">
    <w:abstractNumId w:val="19"/>
  </w:num>
  <w:num w:numId="81">
    <w:abstractNumId w:val="13"/>
  </w:num>
  <w:num w:numId="82">
    <w:abstractNumId w:val="19"/>
  </w:num>
  <w:num w:numId="83">
    <w:abstractNumId w:val="19"/>
  </w:num>
  <w:num w:numId="84">
    <w:abstractNumId w:val="19"/>
  </w:num>
  <w:num w:numId="85">
    <w:abstractNumId w:val="19"/>
  </w:num>
  <w:num w:numId="86">
    <w:abstractNumId w:val="19"/>
  </w:num>
  <w:num w:numId="87">
    <w:abstractNumId w:val="8"/>
  </w:num>
  <w:num w:numId="88">
    <w:abstractNumId w:val="42"/>
  </w:num>
  <w:num w:numId="89">
    <w:abstractNumId w:val="19"/>
  </w:num>
  <w:num w:numId="90">
    <w:abstractNumId w:val="17"/>
  </w:num>
  <w:num w:numId="91">
    <w:abstractNumId w:val="19"/>
  </w:num>
  <w:num w:numId="92">
    <w:abstractNumId w:val="19"/>
  </w:num>
  <w:num w:numId="93">
    <w:abstractNumId w:val="19"/>
  </w:num>
  <w:num w:numId="94">
    <w:abstractNumId w:val="19"/>
  </w:num>
  <w:num w:numId="95">
    <w:abstractNumId w:val="19"/>
  </w:num>
  <w:num w:numId="96">
    <w:abstractNumId w:val="19"/>
  </w:num>
  <w:num w:numId="97">
    <w:abstractNumId w:val="43"/>
  </w:num>
  <w:num w:numId="98">
    <w:abstractNumId w:val="19"/>
  </w:num>
  <w:num w:numId="99">
    <w:abstractNumId w:val="19"/>
  </w:num>
  <w:num w:numId="100">
    <w:abstractNumId w:val="19"/>
  </w:num>
  <w:num w:numId="101">
    <w:abstractNumId w:val="19"/>
  </w:num>
  <w:num w:numId="102">
    <w:abstractNumId w:val="45"/>
  </w:num>
  <w:num w:numId="103">
    <w:abstractNumId w:val="4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documentProtection w:edit="readOnly" w:enforcement="1" w:cryptProviderType="rsaAES" w:cryptAlgorithmClass="hash" w:cryptAlgorithmType="typeAny" w:cryptAlgorithmSid="14" w:cryptSpinCount="100000" w:hash="Lwl9+aVb5AIZjbi82jLF0NwiEWWLKtM/EmG8h+odyyHmuwDTZqhUm9R7lpxYjllXaUeRV/XCxGdhoR6dB/Prbw==" w:salt="hKTPb8KJFTx3awC1PXxNwA=="/>
  <w:defaultTabStop w:val="720"/>
  <w:hyphenationZone w:val="425"/>
  <w:characterSpacingControl w:val="doNotCompress"/>
  <w:hdrShapeDefaults>
    <o:shapedefaults v:ext="edit" spidmax="275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82"/>
    <w:rsid w:val="00001843"/>
    <w:rsid w:val="00002E4C"/>
    <w:rsid w:val="00002FDD"/>
    <w:rsid w:val="000040F6"/>
    <w:rsid w:val="000041D1"/>
    <w:rsid w:val="00005407"/>
    <w:rsid w:val="00007946"/>
    <w:rsid w:val="000100CB"/>
    <w:rsid w:val="00011521"/>
    <w:rsid w:val="0001240D"/>
    <w:rsid w:val="000134F1"/>
    <w:rsid w:val="000148C5"/>
    <w:rsid w:val="00014DDD"/>
    <w:rsid w:val="000219CB"/>
    <w:rsid w:val="00022C45"/>
    <w:rsid w:val="00025200"/>
    <w:rsid w:val="000260FE"/>
    <w:rsid w:val="000262B8"/>
    <w:rsid w:val="00026D5F"/>
    <w:rsid w:val="000271CC"/>
    <w:rsid w:val="00027D04"/>
    <w:rsid w:val="000322B9"/>
    <w:rsid w:val="00034B08"/>
    <w:rsid w:val="00034E96"/>
    <w:rsid w:val="000352C2"/>
    <w:rsid w:val="00036603"/>
    <w:rsid w:val="00036E3D"/>
    <w:rsid w:val="00042FAD"/>
    <w:rsid w:val="00043868"/>
    <w:rsid w:val="00043F57"/>
    <w:rsid w:val="00044675"/>
    <w:rsid w:val="00045A41"/>
    <w:rsid w:val="00045C22"/>
    <w:rsid w:val="00045C41"/>
    <w:rsid w:val="00045C50"/>
    <w:rsid w:val="00047B7F"/>
    <w:rsid w:val="00051F2F"/>
    <w:rsid w:val="00052053"/>
    <w:rsid w:val="00052B8D"/>
    <w:rsid w:val="00053DE2"/>
    <w:rsid w:val="00054036"/>
    <w:rsid w:val="0005499B"/>
    <w:rsid w:val="00055EA1"/>
    <w:rsid w:val="00055F66"/>
    <w:rsid w:val="000603E5"/>
    <w:rsid w:val="00060AA0"/>
    <w:rsid w:val="00061D77"/>
    <w:rsid w:val="00064144"/>
    <w:rsid w:val="0006436F"/>
    <w:rsid w:val="000651EE"/>
    <w:rsid w:val="000655C9"/>
    <w:rsid w:val="00067167"/>
    <w:rsid w:val="0006734A"/>
    <w:rsid w:val="0006744D"/>
    <w:rsid w:val="000674CE"/>
    <w:rsid w:val="00067646"/>
    <w:rsid w:val="000706CF"/>
    <w:rsid w:val="00076984"/>
    <w:rsid w:val="00077D01"/>
    <w:rsid w:val="000800C9"/>
    <w:rsid w:val="00080270"/>
    <w:rsid w:val="00080CA6"/>
    <w:rsid w:val="000810D7"/>
    <w:rsid w:val="0008166B"/>
    <w:rsid w:val="00081870"/>
    <w:rsid w:val="0008204E"/>
    <w:rsid w:val="0009001D"/>
    <w:rsid w:val="00090AF1"/>
    <w:rsid w:val="00091D98"/>
    <w:rsid w:val="00093D5A"/>
    <w:rsid w:val="00095BE9"/>
    <w:rsid w:val="00095F42"/>
    <w:rsid w:val="00096A6E"/>
    <w:rsid w:val="000A083E"/>
    <w:rsid w:val="000A15ED"/>
    <w:rsid w:val="000A1D23"/>
    <w:rsid w:val="000A5213"/>
    <w:rsid w:val="000A680C"/>
    <w:rsid w:val="000B1971"/>
    <w:rsid w:val="000B2414"/>
    <w:rsid w:val="000B2BA2"/>
    <w:rsid w:val="000B3B7C"/>
    <w:rsid w:val="000C0568"/>
    <w:rsid w:val="000C0A5A"/>
    <w:rsid w:val="000C22C8"/>
    <w:rsid w:val="000C240D"/>
    <w:rsid w:val="000C2569"/>
    <w:rsid w:val="000C33CE"/>
    <w:rsid w:val="000C37FF"/>
    <w:rsid w:val="000C590F"/>
    <w:rsid w:val="000C5A20"/>
    <w:rsid w:val="000C64D0"/>
    <w:rsid w:val="000C6932"/>
    <w:rsid w:val="000C7674"/>
    <w:rsid w:val="000C7F1E"/>
    <w:rsid w:val="000D1418"/>
    <w:rsid w:val="000D1F09"/>
    <w:rsid w:val="000D228F"/>
    <w:rsid w:val="000D32AD"/>
    <w:rsid w:val="000D33D5"/>
    <w:rsid w:val="000D581C"/>
    <w:rsid w:val="000D6135"/>
    <w:rsid w:val="000E1482"/>
    <w:rsid w:val="000E44B2"/>
    <w:rsid w:val="000E50A3"/>
    <w:rsid w:val="000E6C03"/>
    <w:rsid w:val="000E6E44"/>
    <w:rsid w:val="000E7CDB"/>
    <w:rsid w:val="000F0861"/>
    <w:rsid w:val="000F119A"/>
    <w:rsid w:val="000F136D"/>
    <w:rsid w:val="000F26E7"/>
    <w:rsid w:val="000F28D6"/>
    <w:rsid w:val="000F2AC5"/>
    <w:rsid w:val="000F358C"/>
    <w:rsid w:val="000F4DAD"/>
    <w:rsid w:val="000F64FF"/>
    <w:rsid w:val="000F7577"/>
    <w:rsid w:val="001006A2"/>
    <w:rsid w:val="00100F2D"/>
    <w:rsid w:val="0010292E"/>
    <w:rsid w:val="001040D3"/>
    <w:rsid w:val="001042DF"/>
    <w:rsid w:val="001043C3"/>
    <w:rsid w:val="001059D7"/>
    <w:rsid w:val="00106047"/>
    <w:rsid w:val="001063B4"/>
    <w:rsid w:val="0010670F"/>
    <w:rsid w:val="00107760"/>
    <w:rsid w:val="00110760"/>
    <w:rsid w:val="00110E32"/>
    <w:rsid w:val="00111E4A"/>
    <w:rsid w:val="00112E7D"/>
    <w:rsid w:val="00113E2F"/>
    <w:rsid w:val="001142DC"/>
    <w:rsid w:val="00114616"/>
    <w:rsid w:val="00117D7A"/>
    <w:rsid w:val="00117DC5"/>
    <w:rsid w:val="001201B9"/>
    <w:rsid w:val="00120DB5"/>
    <w:rsid w:val="001215DC"/>
    <w:rsid w:val="0012451F"/>
    <w:rsid w:val="00124EE8"/>
    <w:rsid w:val="00126AC6"/>
    <w:rsid w:val="00127555"/>
    <w:rsid w:val="00127F2B"/>
    <w:rsid w:val="001314FD"/>
    <w:rsid w:val="00131733"/>
    <w:rsid w:val="00133278"/>
    <w:rsid w:val="00133713"/>
    <w:rsid w:val="00133AF9"/>
    <w:rsid w:val="00134514"/>
    <w:rsid w:val="00135E73"/>
    <w:rsid w:val="0013624D"/>
    <w:rsid w:val="00136BBF"/>
    <w:rsid w:val="00137659"/>
    <w:rsid w:val="001378C4"/>
    <w:rsid w:val="00141659"/>
    <w:rsid w:val="00141ACF"/>
    <w:rsid w:val="00141F09"/>
    <w:rsid w:val="0014221A"/>
    <w:rsid w:val="00142A3D"/>
    <w:rsid w:val="0014371C"/>
    <w:rsid w:val="00143B8C"/>
    <w:rsid w:val="00145A26"/>
    <w:rsid w:val="00146491"/>
    <w:rsid w:val="00146654"/>
    <w:rsid w:val="001470B3"/>
    <w:rsid w:val="00147A88"/>
    <w:rsid w:val="00147C7F"/>
    <w:rsid w:val="00150823"/>
    <w:rsid w:val="001508BD"/>
    <w:rsid w:val="00151EFE"/>
    <w:rsid w:val="00152A96"/>
    <w:rsid w:val="00153C83"/>
    <w:rsid w:val="00153CAE"/>
    <w:rsid w:val="00153CFD"/>
    <w:rsid w:val="00153DDB"/>
    <w:rsid w:val="0015559D"/>
    <w:rsid w:val="001557A1"/>
    <w:rsid w:val="00155E46"/>
    <w:rsid w:val="00156233"/>
    <w:rsid w:val="00156F56"/>
    <w:rsid w:val="00161945"/>
    <w:rsid w:val="001628F2"/>
    <w:rsid w:val="00162BF9"/>
    <w:rsid w:val="0016436E"/>
    <w:rsid w:val="0016560F"/>
    <w:rsid w:val="00167542"/>
    <w:rsid w:val="001701B8"/>
    <w:rsid w:val="001701EB"/>
    <w:rsid w:val="00171764"/>
    <w:rsid w:val="00173F32"/>
    <w:rsid w:val="001740A5"/>
    <w:rsid w:val="00174AEE"/>
    <w:rsid w:val="00174CDA"/>
    <w:rsid w:val="00177C41"/>
    <w:rsid w:val="00180082"/>
    <w:rsid w:val="00180982"/>
    <w:rsid w:val="00180BEE"/>
    <w:rsid w:val="0018154D"/>
    <w:rsid w:val="001827EE"/>
    <w:rsid w:val="00182FB9"/>
    <w:rsid w:val="001842CF"/>
    <w:rsid w:val="00184B16"/>
    <w:rsid w:val="001909EA"/>
    <w:rsid w:val="00193E38"/>
    <w:rsid w:val="00194747"/>
    <w:rsid w:val="00194CAB"/>
    <w:rsid w:val="00195027"/>
    <w:rsid w:val="001956C9"/>
    <w:rsid w:val="001A0856"/>
    <w:rsid w:val="001A117E"/>
    <w:rsid w:val="001A1F77"/>
    <w:rsid w:val="001A2289"/>
    <w:rsid w:val="001A317B"/>
    <w:rsid w:val="001A32D2"/>
    <w:rsid w:val="001A39D0"/>
    <w:rsid w:val="001A39FC"/>
    <w:rsid w:val="001A54F1"/>
    <w:rsid w:val="001A6805"/>
    <w:rsid w:val="001B08EE"/>
    <w:rsid w:val="001B09D1"/>
    <w:rsid w:val="001B221C"/>
    <w:rsid w:val="001B2DAB"/>
    <w:rsid w:val="001B428B"/>
    <w:rsid w:val="001B4616"/>
    <w:rsid w:val="001B57AF"/>
    <w:rsid w:val="001B588C"/>
    <w:rsid w:val="001B6D5E"/>
    <w:rsid w:val="001B7515"/>
    <w:rsid w:val="001C073A"/>
    <w:rsid w:val="001C1151"/>
    <w:rsid w:val="001C32D1"/>
    <w:rsid w:val="001C44D9"/>
    <w:rsid w:val="001C504A"/>
    <w:rsid w:val="001C7AB0"/>
    <w:rsid w:val="001D08C6"/>
    <w:rsid w:val="001D0BA2"/>
    <w:rsid w:val="001D2369"/>
    <w:rsid w:val="001D2976"/>
    <w:rsid w:val="001D3D4C"/>
    <w:rsid w:val="001D411A"/>
    <w:rsid w:val="001D4685"/>
    <w:rsid w:val="001D4C94"/>
    <w:rsid w:val="001D6222"/>
    <w:rsid w:val="001D6455"/>
    <w:rsid w:val="001D693B"/>
    <w:rsid w:val="001D7280"/>
    <w:rsid w:val="001E0E7B"/>
    <w:rsid w:val="001E0E83"/>
    <w:rsid w:val="001E3431"/>
    <w:rsid w:val="001E3869"/>
    <w:rsid w:val="001E67F8"/>
    <w:rsid w:val="001F1388"/>
    <w:rsid w:val="001F173B"/>
    <w:rsid w:val="001F2C2F"/>
    <w:rsid w:val="001F3AA9"/>
    <w:rsid w:val="001F4ABE"/>
    <w:rsid w:val="001F70CA"/>
    <w:rsid w:val="00200B6D"/>
    <w:rsid w:val="00200E32"/>
    <w:rsid w:val="00202B09"/>
    <w:rsid w:val="00203056"/>
    <w:rsid w:val="00203118"/>
    <w:rsid w:val="002034F4"/>
    <w:rsid w:val="00203580"/>
    <w:rsid w:val="0020679D"/>
    <w:rsid w:val="00206AE6"/>
    <w:rsid w:val="00206B90"/>
    <w:rsid w:val="00207050"/>
    <w:rsid w:val="00211A09"/>
    <w:rsid w:val="0021243C"/>
    <w:rsid w:val="00213745"/>
    <w:rsid w:val="00213953"/>
    <w:rsid w:val="00213B79"/>
    <w:rsid w:val="0021450A"/>
    <w:rsid w:val="002146AD"/>
    <w:rsid w:val="00214A05"/>
    <w:rsid w:val="0021514F"/>
    <w:rsid w:val="0021521B"/>
    <w:rsid w:val="00221BB2"/>
    <w:rsid w:val="00223D98"/>
    <w:rsid w:val="002240A1"/>
    <w:rsid w:val="00224DED"/>
    <w:rsid w:val="00224EA2"/>
    <w:rsid w:val="0022567C"/>
    <w:rsid w:val="00227797"/>
    <w:rsid w:val="0022787F"/>
    <w:rsid w:val="00227995"/>
    <w:rsid w:val="00227E8D"/>
    <w:rsid w:val="0023078A"/>
    <w:rsid w:val="002325DC"/>
    <w:rsid w:val="00232C2D"/>
    <w:rsid w:val="00232FFC"/>
    <w:rsid w:val="002332FD"/>
    <w:rsid w:val="00233DE2"/>
    <w:rsid w:val="00233DE6"/>
    <w:rsid w:val="002358AE"/>
    <w:rsid w:val="002358C5"/>
    <w:rsid w:val="00237015"/>
    <w:rsid w:val="00237365"/>
    <w:rsid w:val="0024004B"/>
    <w:rsid w:val="00240E47"/>
    <w:rsid w:val="00240FDA"/>
    <w:rsid w:val="0024192D"/>
    <w:rsid w:val="00245F23"/>
    <w:rsid w:val="00246673"/>
    <w:rsid w:val="00246871"/>
    <w:rsid w:val="00250B67"/>
    <w:rsid w:val="00251173"/>
    <w:rsid w:val="00251D9F"/>
    <w:rsid w:val="002548EA"/>
    <w:rsid w:val="00255F24"/>
    <w:rsid w:val="00257AA1"/>
    <w:rsid w:val="002602E2"/>
    <w:rsid w:val="00261A48"/>
    <w:rsid w:val="002631E3"/>
    <w:rsid w:val="0026393C"/>
    <w:rsid w:val="00265382"/>
    <w:rsid w:val="002675F2"/>
    <w:rsid w:val="002702B7"/>
    <w:rsid w:val="00270C8F"/>
    <w:rsid w:val="002713E9"/>
    <w:rsid w:val="0027267D"/>
    <w:rsid w:val="00273428"/>
    <w:rsid w:val="002739EC"/>
    <w:rsid w:val="00274B6E"/>
    <w:rsid w:val="00275EAC"/>
    <w:rsid w:val="0027693A"/>
    <w:rsid w:val="00276CE3"/>
    <w:rsid w:val="00277A36"/>
    <w:rsid w:val="002800FC"/>
    <w:rsid w:val="00280F4B"/>
    <w:rsid w:val="00281270"/>
    <w:rsid w:val="0028372B"/>
    <w:rsid w:val="00285A5C"/>
    <w:rsid w:val="00285C61"/>
    <w:rsid w:val="00286A62"/>
    <w:rsid w:val="00286AE7"/>
    <w:rsid w:val="00286FDE"/>
    <w:rsid w:val="002871E7"/>
    <w:rsid w:val="00287ADF"/>
    <w:rsid w:val="00287CC8"/>
    <w:rsid w:val="00290889"/>
    <w:rsid w:val="00294046"/>
    <w:rsid w:val="002964F6"/>
    <w:rsid w:val="00297B1F"/>
    <w:rsid w:val="002A023D"/>
    <w:rsid w:val="002A0551"/>
    <w:rsid w:val="002A3CE5"/>
    <w:rsid w:val="002A5261"/>
    <w:rsid w:val="002A57AE"/>
    <w:rsid w:val="002A5ACF"/>
    <w:rsid w:val="002A71BE"/>
    <w:rsid w:val="002B01DC"/>
    <w:rsid w:val="002B05C1"/>
    <w:rsid w:val="002B09F9"/>
    <w:rsid w:val="002B0BA0"/>
    <w:rsid w:val="002B0F9F"/>
    <w:rsid w:val="002B16F5"/>
    <w:rsid w:val="002B1FA8"/>
    <w:rsid w:val="002B214C"/>
    <w:rsid w:val="002B24B7"/>
    <w:rsid w:val="002B2A89"/>
    <w:rsid w:val="002B2B8C"/>
    <w:rsid w:val="002B2CAE"/>
    <w:rsid w:val="002B3C0F"/>
    <w:rsid w:val="002B3FB8"/>
    <w:rsid w:val="002B40BA"/>
    <w:rsid w:val="002B4335"/>
    <w:rsid w:val="002B4AE3"/>
    <w:rsid w:val="002B569F"/>
    <w:rsid w:val="002B666A"/>
    <w:rsid w:val="002B6A87"/>
    <w:rsid w:val="002B75EF"/>
    <w:rsid w:val="002B7C2D"/>
    <w:rsid w:val="002C21F8"/>
    <w:rsid w:val="002C6BD3"/>
    <w:rsid w:val="002C6F8B"/>
    <w:rsid w:val="002C6F9F"/>
    <w:rsid w:val="002C7BD5"/>
    <w:rsid w:val="002D022A"/>
    <w:rsid w:val="002D061C"/>
    <w:rsid w:val="002D0B13"/>
    <w:rsid w:val="002D26C4"/>
    <w:rsid w:val="002D3233"/>
    <w:rsid w:val="002D3D96"/>
    <w:rsid w:val="002D3DA2"/>
    <w:rsid w:val="002D48F8"/>
    <w:rsid w:val="002D7B89"/>
    <w:rsid w:val="002E03FE"/>
    <w:rsid w:val="002E2C9F"/>
    <w:rsid w:val="002E3C75"/>
    <w:rsid w:val="002E42C0"/>
    <w:rsid w:val="002E5083"/>
    <w:rsid w:val="002E5387"/>
    <w:rsid w:val="002E546E"/>
    <w:rsid w:val="002E669B"/>
    <w:rsid w:val="002F026E"/>
    <w:rsid w:val="002F06DC"/>
    <w:rsid w:val="002F0A90"/>
    <w:rsid w:val="002F12D6"/>
    <w:rsid w:val="002F1B92"/>
    <w:rsid w:val="002F3D1B"/>
    <w:rsid w:val="002F55B5"/>
    <w:rsid w:val="002F5666"/>
    <w:rsid w:val="002F6A06"/>
    <w:rsid w:val="00300CC2"/>
    <w:rsid w:val="00302952"/>
    <w:rsid w:val="0030427B"/>
    <w:rsid w:val="00306B1E"/>
    <w:rsid w:val="003076FF"/>
    <w:rsid w:val="00307735"/>
    <w:rsid w:val="0031070F"/>
    <w:rsid w:val="00310B25"/>
    <w:rsid w:val="00310E82"/>
    <w:rsid w:val="00312C2F"/>
    <w:rsid w:val="00313E3A"/>
    <w:rsid w:val="00315F6A"/>
    <w:rsid w:val="0031662A"/>
    <w:rsid w:val="0031719C"/>
    <w:rsid w:val="00317636"/>
    <w:rsid w:val="00317B14"/>
    <w:rsid w:val="00320C7D"/>
    <w:rsid w:val="00321357"/>
    <w:rsid w:val="0032592D"/>
    <w:rsid w:val="00326C9B"/>
    <w:rsid w:val="003274E4"/>
    <w:rsid w:val="00327ED3"/>
    <w:rsid w:val="0033065F"/>
    <w:rsid w:val="003307D5"/>
    <w:rsid w:val="00330F37"/>
    <w:rsid w:val="00331536"/>
    <w:rsid w:val="0033157E"/>
    <w:rsid w:val="003319D1"/>
    <w:rsid w:val="00331DDB"/>
    <w:rsid w:val="00332699"/>
    <w:rsid w:val="00332DBA"/>
    <w:rsid w:val="00334CBE"/>
    <w:rsid w:val="00335137"/>
    <w:rsid w:val="0033598D"/>
    <w:rsid w:val="00335A9A"/>
    <w:rsid w:val="00337083"/>
    <w:rsid w:val="00340047"/>
    <w:rsid w:val="00340865"/>
    <w:rsid w:val="00341F16"/>
    <w:rsid w:val="003420A4"/>
    <w:rsid w:val="00342A6D"/>
    <w:rsid w:val="00343CE2"/>
    <w:rsid w:val="003441B2"/>
    <w:rsid w:val="003446B8"/>
    <w:rsid w:val="0034586F"/>
    <w:rsid w:val="00346176"/>
    <w:rsid w:val="0034637F"/>
    <w:rsid w:val="0034700F"/>
    <w:rsid w:val="0034753D"/>
    <w:rsid w:val="00347782"/>
    <w:rsid w:val="003528AD"/>
    <w:rsid w:val="003529B2"/>
    <w:rsid w:val="0035323B"/>
    <w:rsid w:val="00353A37"/>
    <w:rsid w:val="00354A43"/>
    <w:rsid w:val="00355397"/>
    <w:rsid w:val="0035615C"/>
    <w:rsid w:val="00357632"/>
    <w:rsid w:val="00357E7C"/>
    <w:rsid w:val="00360A6C"/>
    <w:rsid w:val="0036209B"/>
    <w:rsid w:val="003637B2"/>
    <w:rsid w:val="003638D1"/>
    <w:rsid w:val="00364704"/>
    <w:rsid w:val="00364D2C"/>
    <w:rsid w:val="00364DFB"/>
    <w:rsid w:val="00370622"/>
    <w:rsid w:val="00370CC2"/>
    <w:rsid w:val="00373788"/>
    <w:rsid w:val="003740AB"/>
    <w:rsid w:val="00374236"/>
    <w:rsid w:val="00375BC8"/>
    <w:rsid w:val="00375F12"/>
    <w:rsid w:val="00377C35"/>
    <w:rsid w:val="0038064D"/>
    <w:rsid w:val="0038255D"/>
    <w:rsid w:val="003837D2"/>
    <w:rsid w:val="003854E6"/>
    <w:rsid w:val="00385560"/>
    <w:rsid w:val="00385D50"/>
    <w:rsid w:val="00391209"/>
    <w:rsid w:val="0039326C"/>
    <w:rsid w:val="00393F9A"/>
    <w:rsid w:val="0039559D"/>
    <w:rsid w:val="00397192"/>
    <w:rsid w:val="003A12D4"/>
    <w:rsid w:val="003A1B8C"/>
    <w:rsid w:val="003A2EB7"/>
    <w:rsid w:val="003A3B77"/>
    <w:rsid w:val="003A426C"/>
    <w:rsid w:val="003A6581"/>
    <w:rsid w:val="003B05F3"/>
    <w:rsid w:val="003B2789"/>
    <w:rsid w:val="003B3080"/>
    <w:rsid w:val="003B4DD9"/>
    <w:rsid w:val="003B6948"/>
    <w:rsid w:val="003B699C"/>
    <w:rsid w:val="003B7487"/>
    <w:rsid w:val="003B7C00"/>
    <w:rsid w:val="003C2DD7"/>
    <w:rsid w:val="003C4582"/>
    <w:rsid w:val="003C5D95"/>
    <w:rsid w:val="003C5F01"/>
    <w:rsid w:val="003C716D"/>
    <w:rsid w:val="003D0BAD"/>
    <w:rsid w:val="003D169C"/>
    <w:rsid w:val="003D2172"/>
    <w:rsid w:val="003D29EF"/>
    <w:rsid w:val="003D2B12"/>
    <w:rsid w:val="003D32EF"/>
    <w:rsid w:val="003D4CA0"/>
    <w:rsid w:val="003D5EEC"/>
    <w:rsid w:val="003D6C28"/>
    <w:rsid w:val="003D77F1"/>
    <w:rsid w:val="003E0717"/>
    <w:rsid w:val="003E3F28"/>
    <w:rsid w:val="003E69CF"/>
    <w:rsid w:val="003E7562"/>
    <w:rsid w:val="003E7679"/>
    <w:rsid w:val="003F0655"/>
    <w:rsid w:val="003F4EAF"/>
    <w:rsid w:val="0040181F"/>
    <w:rsid w:val="00402310"/>
    <w:rsid w:val="004023D5"/>
    <w:rsid w:val="00403E6D"/>
    <w:rsid w:val="00404D74"/>
    <w:rsid w:val="004051CD"/>
    <w:rsid w:val="0040540D"/>
    <w:rsid w:val="0040745F"/>
    <w:rsid w:val="00411CC9"/>
    <w:rsid w:val="00413884"/>
    <w:rsid w:val="00413C43"/>
    <w:rsid w:val="004146F1"/>
    <w:rsid w:val="00414DA7"/>
    <w:rsid w:val="00416822"/>
    <w:rsid w:val="00416CB7"/>
    <w:rsid w:val="00421325"/>
    <w:rsid w:val="004217E4"/>
    <w:rsid w:val="004217E8"/>
    <w:rsid w:val="004229C1"/>
    <w:rsid w:val="00422B20"/>
    <w:rsid w:val="004239A7"/>
    <w:rsid w:val="00423BCC"/>
    <w:rsid w:val="00425FD3"/>
    <w:rsid w:val="00426552"/>
    <w:rsid w:val="00427CDE"/>
    <w:rsid w:val="00427DB6"/>
    <w:rsid w:val="00430202"/>
    <w:rsid w:val="00430548"/>
    <w:rsid w:val="004318E7"/>
    <w:rsid w:val="00432208"/>
    <w:rsid w:val="00432E1C"/>
    <w:rsid w:val="0043490C"/>
    <w:rsid w:val="004357AD"/>
    <w:rsid w:val="00440229"/>
    <w:rsid w:val="00440330"/>
    <w:rsid w:val="00440599"/>
    <w:rsid w:val="00441F52"/>
    <w:rsid w:val="004423E8"/>
    <w:rsid w:val="00442DC3"/>
    <w:rsid w:val="00443AA5"/>
    <w:rsid w:val="004448A1"/>
    <w:rsid w:val="00445878"/>
    <w:rsid w:val="00446E1D"/>
    <w:rsid w:val="00446E9B"/>
    <w:rsid w:val="00446FC6"/>
    <w:rsid w:val="00447BD8"/>
    <w:rsid w:val="004505FA"/>
    <w:rsid w:val="00450ADB"/>
    <w:rsid w:val="00452C2C"/>
    <w:rsid w:val="0045320C"/>
    <w:rsid w:val="0045411E"/>
    <w:rsid w:val="00457D4A"/>
    <w:rsid w:val="00457F10"/>
    <w:rsid w:val="00460016"/>
    <w:rsid w:val="00460475"/>
    <w:rsid w:val="004624DE"/>
    <w:rsid w:val="00463002"/>
    <w:rsid w:val="00464466"/>
    <w:rsid w:val="00464DA4"/>
    <w:rsid w:val="004659A2"/>
    <w:rsid w:val="00465C42"/>
    <w:rsid w:val="00466C5B"/>
    <w:rsid w:val="0046753E"/>
    <w:rsid w:val="00471882"/>
    <w:rsid w:val="004738FF"/>
    <w:rsid w:val="00473CDB"/>
    <w:rsid w:val="0047418F"/>
    <w:rsid w:val="00475DF7"/>
    <w:rsid w:val="00476D30"/>
    <w:rsid w:val="00476E3B"/>
    <w:rsid w:val="00480F5E"/>
    <w:rsid w:val="00481176"/>
    <w:rsid w:val="0048121F"/>
    <w:rsid w:val="00481FC9"/>
    <w:rsid w:val="004829B1"/>
    <w:rsid w:val="004841AE"/>
    <w:rsid w:val="00484502"/>
    <w:rsid w:val="004858F7"/>
    <w:rsid w:val="00485D92"/>
    <w:rsid w:val="00485F00"/>
    <w:rsid w:val="00486B6D"/>
    <w:rsid w:val="00487636"/>
    <w:rsid w:val="0048765D"/>
    <w:rsid w:val="00487F82"/>
    <w:rsid w:val="00491301"/>
    <w:rsid w:val="004935A1"/>
    <w:rsid w:val="004938F1"/>
    <w:rsid w:val="004955BF"/>
    <w:rsid w:val="0049671E"/>
    <w:rsid w:val="004972A7"/>
    <w:rsid w:val="004A04AA"/>
    <w:rsid w:val="004A09BF"/>
    <w:rsid w:val="004A2C70"/>
    <w:rsid w:val="004A2DBD"/>
    <w:rsid w:val="004A36BE"/>
    <w:rsid w:val="004A374A"/>
    <w:rsid w:val="004A39CC"/>
    <w:rsid w:val="004A3C19"/>
    <w:rsid w:val="004A3EA4"/>
    <w:rsid w:val="004A4720"/>
    <w:rsid w:val="004A65B9"/>
    <w:rsid w:val="004A6F44"/>
    <w:rsid w:val="004A7BCE"/>
    <w:rsid w:val="004B0823"/>
    <w:rsid w:val="004B1579"/>
    <w:rsid w:val="004B1FD8"/>
    <w:rsid w:val="004B2745"/>
    <w:rsid w:val="004B36A1"/>
    <w:rsid w:val="004B38B2"/>
    <w:rsid w:val="004B4115"/>
    <w:rsid w:val="004B45DB"/>
    <w:rsid w:val="004B4FB3"/>
    <w:rsid w:val="004B525E"/>
    <w:rsid w:val="004C1ECF"/>
    <w:rsid w:val="004C3A26"/>
    <w:rsid w:val="004C52F6"/>
    <w:rsid w:val="004C5655"/>
    <w:rsid w:val="004C568B"/>
    <w:rsid w:val="004C6AC5"/>
    <w:rsid w:val="004D318A"/>
    <w:rsid w:val="004D517F"/>
    <w:rsid w:val="004D6268"/>
    <w:rsid w:val="004D7C51"/>
    <w:rsid w:val="004E0312"/>
    <w:rsid w:val="004E1139"/>
    <w:rsid w:val="004E14E1"/>
    <w:rsid w:val="004E170C"/>
    <w:rsid w:val="004E1B0C"/>
    <w:rsid w:val="004E1F60"/>
    <w:rsid w:val="004E341B"/>
    <w:rsid w:val="004E3D55"/>
    <w:rsid w:val="004E41AE"/>
    <w:rsid w:val="004E465A"/>
    <w:rsid w:val="004E468B"/>
    <w:rsid w:val="004E6774"/>
    <w:rsid w:val="004E6D8F"/>
    <w:rsid w:val="004E6E06"/>
    <w:rsid w:val="004F0052"/>
    <w:rsid w:val="004F06E6"/>
    <w:rsid w:val="004F0F0D"/>
    <w:rsid w:val="004F1DD4"/>
    <w:rsid w:val="004F24E1"/>
    <w:rsid w:val="004F28DD"/>
    <w:rsid w:val="004F2BAA"/>
    <w:rsid w:val="004F2D1B"/>
    <w:rsid w:val="004F44E2"/>
    <w:rsid w:val="004F454E"/>
    <w:rsid w:val="004F56BF"/>
    <w:rsid w:val="00501E37"/>
    <w:rsid w:val="00502240"/>
    <w:rsid w:val="00503D55"/>
    <w:rsid w:val="00506405"/>
    <w:rsid w:val="00511167"/>
    <w:rsid w:val="00513A7A"/>
    <w:rsid w:val="005145D0"/>
    <w:rsid w:val="005146DD"/>
    <w:rsid w:val="00514E14"/>
    <w:rsid w:val="005162EE"/>
    <w:rsid w:val="005176BE"/>
    <w:rsid w:val="00517AC5"/>
    <w:rsid w:val="00521BC4"/>
    <w:rsid w:val="00522DF8"/>
    <w:rsid w:val="00523A08"/>
    <w:rsid w:val="005244F8"/>
    <w:rsid w:val="005246D1"/>
    <w:rsid w:val="005254EE"/>
    <w:rsid w:val="00527825"/>
    <w:rsid w:val="00527E86"/>
    <w:rsid w:val="00530C54"/>
    <w:rsid w:val="00530DF6"/>
    <w:rsid w:val="00530FE4"/>
    <w:rsid w:val="00531207"/>
    <w:rsid w:val="005316B8"/>
    <w:rsid w:val="00531D1A"/>
    <w:rsid w:val="0053210F"/>
    <w:rsid w:val="00534857"/>
    <w:rsid w:val="00535B44"/>
    <w:rsid w:val="0053624A"/>
    <w:rsid w:val="00537DE8"/>
    <w:rsid w:val="00541061"/>
    <w:rsid w:val="005412F1"/>
    <w:rsid w:val="0054166D"/>
    <w:rsid w:val="00544A52"/>
    <w:rsid w:val="00544CE2"/>
    <w:rsid w:val="00544F23"/>
    <w:rsid w:val="0054548C"/>
    <w:rsid w:val="00551ED1"/>
    <w:rsid w:val="005525EC"/>
    <w:rsid w:val="00553E4B"/>
    <w:rsid w:val="0055637B"/>
    <w:rsid w:val="005567CA"/>
    <w:rsid w:val="00556B7F"/>
    <w:rsid w:val="00556F22"/>
    <w:rsid w:val="00557640"/>
    <w:rsid w:val="00560C1D"/>
    <w:rsid w:val="0056130D"/>
    <w:rsid w:val="0056197C"/>
    <w:rsid w:val="00562CFE"/>
    <w:rsid w:val="00562F48"/>
    <w:rsid w:val="00563FFE"/>
    <w:rsid w:val="00564188"/>
    <w:rsid w:val="005642C6"/>
    <w:rsid w:val="005646EE"/>
    <w:rsid w:val="00564B4A"/>
    <w:rsid w:val="005656F2"/>
    <w:rsid w:val="0056745F"/>
    <w:rsid w:val="00572411"/>
    <w:rsid w:val="00572E5B"/>
    <w:rsid w:val="00573363"/>
    <w:rsid w:val="00573B85"/>
    <w:rsid w:val="00573DA0"/>
    <w:rsid w:val="005740F5"/>
    <w:rsid w:val="00575412"/>
    <w:rsid w:val="005755A4"/>
    <w:rsid w:val="00575C6B"/>
    <w:rsid w:val="00575ED9"/>
    <w:rsid w:val="0057634E"/>
    <w:rsid w:val="00576399"/>
    <w:rsid w:val="00576600"/>
    <w:rsid w:val="00577C72"/>
    <w:rsid w:val="0058015B"/>
    <w:rsid w:val="005803A2"/>
    <w:rsid w:val="00581B7B"/>
    <w:rsid w:val="00581DA9"/>
    <w:rsid w:val="005830E2"/>
    <w:rsid w:val="0058406C"/>
    <w:rsid w:val="005840C2"/>
    <w:rsid w:val="0058418B"/>
    <w:rsid w:val="00584B1D"/>
    <w:rsid w:val="0058686D"/>
    <w:rsid w:val="005908B7"/>
    <w:rsid w:val="00594645"/>
    <w:rsid w:val="00595081"/>
    <w:rsid w:val="005A0EB4"/>
    <w:rsid w:val="005A1108"/>
    <w:rsid w:val="005A28CE"/>
    <w:rsid w:val="005A3CB0"/>
    <w:rsid w:val="005A524A"/>
    <w:rsid w:val="005A6429"/>
    <w:rsid w:val="005A773E"/>
    <w:rsid w:val="005B2A4A"/>
    <w:rsid w:val="005B2CBA"/>
    <w:rsid w:val="005B301D"/>
    <w:rsid w:val="005B3C15"/>
    <w:rsid w:val="005B4D38"/>
    <w:rsid w:val="005B5876"/>
    <w:rsid w:val="005B712B"/>
    <w:rsid w:val="005B76A9"/>
    <w:rsid w:val="005B78BD"/>
    <w:rsid w:val="005C0940"/>
    <w:rsid w:val="005C0FF5"/>
    <w:rsid w:val="005C1446"/>
    <w:rsid w:val="005C2768"/>
    <w:rsid w:val="005C3C0F"/>
    <w:rsid w:val="005C3FEB"/>
    <w:rsid w:val="005C4418"/>
    <w:rsid w:val="005C466B"/>
    <w:rsid w:val="005C58C1"/>
    <w:rsid w:val="005D0946"/>
    <w:rsid w:val="005D11A5"/>
    <w:rsid w:val="005D1871"/>
    <w:rsid w:val="005D2438"/>
    <w:rsid w:val="005D522F"/>
    <w:rsid w:val="005E0380"/>
    <w:rsid w:val="005E1C4F"/>
    <w:rsid w:val="005E2BBD"/>
    <w:rsid w:val="005E3825"/>
    <w:rsid w:val="005E3B43"/>
    <w:rsid w:val="005E4BB7"/>
    <w:rsid w:val="005E4D4F"/>
    <w:rsid w:val="005E700B"/>
    <w:rsid w:val="005F0C99"/>
    <w:rsid w:val="005F168E"/>
    <w:rsid w:val="005F252C"/>
    <w:rsid w:val="005F3F86"/>
    <w:rsid w:val="005F5744"/>
    <w:rsid w:val="005F6090"/>
    <w:rsid w:val="005F73A1"/>
    <w:rsid w:val="005F7781"/>
    <w:rsid w:val="00602D5E"/>
    <w:rsid w:val="00604DDF"/>
    <w:rsid w:val="00605068"/>
    <w:rsid w:val="006100C9"/>
    <w:rsid w:val="006130E5"/>
    <w:rsid w:val="006160E0"/>
    <w:rsid w:val="006163A9"/>
    <w:rsid w:val="006169D0"/>
    <w:rsid w:val="006171C2"/>
    <w:rsid w:val="0061770D"/>
    <w:rsid w:val="00617D0C"/>
    <w:rsid w:val="006217D8"/>
    <w:rsid w:val="00621E07"/>
    <w:rsid w:val="00621E62"/>
    <w:rsid w:val="00621F86"/>
    <w:rsid w:val="006227A9"/>
    <w:rsid w:val="00623549"/>
    <w:rsid w:val="0062414E"/>
    <w:rsid w:val="0062458B"/>
    <w:rsid w:val="0062596B"/>
    <w:rsid w:val="00625FE6"/>
    <w:rsid w:val="006275B7"/>
    <w:rsid w:val="00627EE7"/>
    <w:rsid w:val="0063021E"/>
    <w:rsid w:val="00631ACA"/>
    <w:rsid w:val="00632AC3"/>
    <w:rsid w:val="00634939"/>
    <w:rsid w:val="00636D57"/>
    <w:rsid w:val="006378CA"/>
    <w:rsid w:val="006405DB"/>
    <w:rsid w:val="006409E6"/>
    <w:rsid w:val="00640D5B"/>
    <w:rsid w:val="006420E8"/>
    <w:rsid w:val="00642C09"/>
    <w:rsid w:val="00642D0E"/>
    <w:rsid w:val="00645040"/>
    <w:rsid w:val="006454B4"/>
    <w:rsid w:val="00646E05"/>
    <w:rsid w:val="00650A5B"/>
    <w:rsid w:val="006512FF"/>
    <w:rsid w:val="0065419D"/>
    <w:rsid w:val="006566ED"/>
    <w:rsid w:val="0065778D"/>
    <w:rsid w:val="00657B29"/>
    <w:rsid w:val="0066294E"/>
    <w:rsid w:val="00663600"/>
    <w:rsid w:val="00663B42"/>
    <w:rsid w:val="00665A9E"/>
    <w:rsid w:val="00665CEE"/>
    <w:rsid w:val="0067117E"/>
    <w:rsid w:val="00672BBE"/>
    <w:rsid w:val="00673603"/>
    <w:rsid w:val="00673611"/>
    <w:rsid w:val="006740AD"/>
    <w:rsid w:val="0067453E"/>
    <w:rsid w:val="00674F31"/>
    <w:rsid w:val="00675181"/>
    <w:rsid w:val="00676E74"/>
    <w:rsid w:val="006775E5"/>
    <w:rsid w:val="00677FB0"/>
    <w:rsid w:val="0068165E"/>
    <w:rsid w:val="00682497"/>
    <w:rsid w:val="00683891"/>
    <w:rsid w:val="00683E5D"/>
    <w:rsid w:val="00685752"/>
    <w:rsid w:val="00690F54"/>
    <w:rsid w:val="00691490"/>
    <w:rsid w:val="006922EE"/>
    <w:rsid w:val="00694782"/>
    <w:rsid w:val="00695AED"/>
    <w:rsid w:val="00695F54"/>
    <w:rsid w:val="00696082"/>
    <w:rsid w:val="0069660A"/>
    <w:rsid w:val="00697A13"/>
    <w:rsid w:val="00697EA3"/>
    <w:rsid w:val="00697FB4"/>
    <w:rsid w:val="006A0637"/>
    <w:rsid w:val="006A0C44"/>
    <w:rsid w:val="006A0DCD"/>
    <w:rsid w:val="006A2DA5"/>
    <w:rsid w:val="006A4092"/>
    <w:rsid w:val="006A42D1"/>
    <w:rsid w:val="006A66AD"/>
    <w:rsid w:val="006A7EC2"/>
    <w:rsid w:val="006B00B0"/>
    <w:rsid w:val="006B03D7"/>
    <w:rsid w:val="006B13F0"/>
    <w:rsid w:val="006B2519"/>
    <w:rsid w:val="006B3203"/>
    <w:rsid w:val="006B43BC"/>
    <w:rsid w:val="006B6483"/>
    <w:rsid w:val="006B79BD"/>
    <w:rsid w:val="006C1285"/>
    <w:rsid w:val="006C1309"/>
    <w:rsid w:val="006C140B"/>
    <w:rsid w:val="006C2672"/>
    <w:rsid w:val="006C5CDC"/>
    <w:rsid w:val="006C6958"/>
    <w:rsid w:val="006C6B73"/>
    <w:rsid w:val="006C6DDA"/>
    <w:rsid w:val="006C772B"/>
    <w:rsid w:val="006C79FE"/>
    <w:rsid w:val="006D051B"/>
    <w:rsid w:val="006D0C38"/>
    <w:rsid w:val="006D135A"/>
    <w:rsid w:val="006D3066"/>
    <w:rsid w:val="006D3E05"/>
    <w:rsid w:val="006D4046"/>
    <w:rsid w:val="006D446B"/>
    <w:rsid w:val="006D4873"/>
    <w:rsid w:val="006D4DA9"/>
    <w:rsid w:val="006D522F"/>
    <w:rsid w:val="006E0C42"/>
    <w:rsid w:val="006E17A1"/>
    <w:rsid w:val="006E3B47"/>
    <w:rsid w:val="006E4E89"/>
    <w:rsid w:val="006E65CF"/>
    <w:rsid w:val="006F02AD"/>
    <w:rsid w:val="006F06F9"/>
    <w:rsid w:val="006F2B1B"/>
    <w:rsid w:val="006F346D"/>
    <w:rsid w:val="006F3D60"/>
    <w:rsid w:val="006F4FAD"/>
    <w:rsid w:val="006F6553"/>
    <w:rsid w:val="006F68CD"/>
    <w:rsid w:val="006F7140"/>
    <w:rsid w:val="006F780D"/>
    <w:rsid w:val="006F79A7"/>
    <w:rsid w:val="0070223C"/>
    <w:rsid w:val="00702763"/>
    <w:rsid w:val="00702D61"/>
    <w:rsid w:val="00703407"/>
    <w:rsid w:val="00703BB3"/>
    <w:rsid w:val="00705493"/>
    <w:rsid w:val="00705663"/>
    <w:rsid w:val="00705F80"/>
    <w:rsid w:val="0070625D"/>
    <w:rsid w:val="007067C9"/>
    <w:rsid w:val="007069BD"/>
    <w:rsid w:val="00706A93"/>
    <w:rsid w:val="00706BF9"/>
    <w:rsid w:val="00706E5F"/>
    <w:rsid w:val="00707346"/>
    <w:rsid w:val="00707882"/>
    <w:rsid w:val="0071138E"/>
    <w:rsid w:val="00711A94"/>
    <w:rsid w:val="00711F93"/>
    <w:rsid w:val="00712472"/>
    <w:rsid w:val="00712A2D"/>
    <w:rsid w:val="00716259"/>
    <w:rsid w:val="00716714"/>
    <w:rsid w:val="00716A7E"/>
    <w:rsid w:val="00720A2D"/>
    <w:rsid w:val="00720F2D"/>
    <w:rsid w:val="007221F2"/>
    <w:rsid w:val="00722247"/>
    <w:rsid w:val="00723A79"/>
    <w:rsid w:val="00723FC9"/>
    <w:rsid w:val="00724DAA"/>
    <w:rsid w:val="00724E9E"/>
    <w:rsid w:val="0072604F"/>
    <w:rsid w:val="007270B8"/>
    <w:rsid w:val="00731441"/>
    <w:rsid w:val="00731A57"/>
    <w:rsid w:val="007364D2"/>
    <w:rsid w:val="00740054"/>
    <w:rsid w:val="00740336"/>
    <w:rsid w:val="00742529"/>
    <w:rsid w:val="00742C2C"/>
    <w:rsid w:val="00742EEB"/>
    <w:rsid w:val="00743D6A"/>
    <w:rsid w:val="00743D84"/>
    <w:rsid w:val="00744829"/>
    <w:rsid w:val="0074560D"/>
    <w:rsid w:val="00745B39"/>
    <w:rsid w:val="007463C8"/>
    <w:rsid w:val="00746F0A"/>
    <w:rsid w:val="0074724B"/>
    <w:rsid w:val="0074768A"/>
    <w:rsid w:val="007503E3"/>
    <w:rsid w:val="00750AC6"/>
    <w:rsid w:val="00750BC4"/>
    <w:rsid w:val="0075345C"/>
    <w:rsid w:val="00753DFD"/>
    <w:rsid w:val="0075439E"/>
    <w:rsid w:val="0075506A"/>
    <w:rsid w:val="00757056"/>
    <w:rsid w:val="00763841"/>
    <w:rsid w:val="007638E3"/>
    <w:rsid w:val="00765068"/>
    <w:rsid w:val="00765C72"/>
    <w:rsid w:val="007661F5"/>
    <w:rsid w:val="0076703D"/>
    <w:rsid w:val="00767470"/>
    <w:rsid w:val="007678AB"/>
    <w:rsid w:val="00772520"/>
    <w:rsid w:val="00773F8A"/>
    <w:rsid w:val="00774B7B"/>
    <w:rsid w:val="00776A82"/>
    <w:rsid w:val="00776ADF"/>
    <w:rsid w:val="00776F5C"/>
    <w:rsid w:val="0077716A"/>
    <w:rsid w:val="00780959"/>
    <w:rsid w:val="00781883"/>
    <w:rsid w:val="007820D3"/>
    <w:rsid w:val="00782329"/>
    <w:rsid w:val="0078330F"/>
    <w:rsid w:val="007835EE"/>
    <w:rsid w:val="007836D6"/>
    <w:rsid w:val="007842B9"/>
    <w:rsid w:val="007909B0"/>
    <w:rsid w:val="00791201"/>
    <w:rsid w:val="00792E10"/>
    <w:rsid w:val="00795D2E"/>
    <w:rsid w:val="00795F13"/>
    <w:rsid w:val="00796C55"/>
    <w:rsid w:val="007A07CD"/>
    <w:rsid w:val="007A0F3C"/>
    <w:rsid w:val="007A2631"/>
    <w:rsid w:val="007A2AAE"/>
    <w:rsid w:val="007A3190"/>
    <w:rsid w:val="007A3229"/>
    <w:rsid w:val="007A36E5"/>
    <w:rsid w:val="007A47F8"/>
    <w:rsid w:val="007A5A1B"/>
    <w:rsid w:val="007A5B3D"/>
    <w:rsid w:val="007A5D88"/>
    <w:rsid w:val="007B01A4"/>
    <w:rsid w:val="007B0A92"/>
    <w:rsid w:val="007B17F8"/>
    <w:rsid w:val="007B2203"/>
    <w:rsid w:val="007B3A75"/>
    <w:rsid w:val="007B3BC1"/>
    <w:rsid w:val="007B78D5"/>
    <w:rsid w:val="007C03E6"/>
    <w:rsid w:val="007C0415"/>
    <w:rsid w:val="007C1004"/>
    <w:rsid w:val="007C1172"/>
    <w:rsid w:val="007C137A"/>
    <w:rsid w:val="007C1CF0"/>
    <w:rsid w:val="007C26E0"/>
    <w:rsid w:val="007C409C"/>
    <w:rsid w:val="007C6E60"/>
    <w:rsid w:val="007C789B"/>
    <w:rsid w:val="007C7B69"/>
    <w:rsid w:val="007D0684"/>
    <w:rsid w:val="007D12B8"/>
    <w:rsid w:val="007D3001"/>
    <w:rsid w:val="007D3117"/>
    <w:rsid w:val="007D408C"/>
    <w:rsid w:val="007D427F"/>
    <w:rsid w:val="007D44A8"/>
    <w:rsid w:val="007D4F95"/>
    <w:rsid w:val="007D5342"/>
    <w:rsid w:val="007D5A5F"/>
    <w:rsid w:val="007D5E1D"/>
    <w:rsid w:val="007E22C5"/>
    <w:rsid w:val="007E476A"/>
    <w:rsid w:val="007E4890"/>
    <w:rsid w:val="007E4D50"/>
    <w:rsid w:val="007E5A91"/>
    <w:rsid w:val="007E7A2D"/>
    <w:rsid w:val="007F5CB9"/>
    <w:rsid w:val="007F6AF4"/>
    <w:rsid w:val="007F7100"/>
    <w:rsid w:val="007F7FEA"/>
    <w:rsid w:val="0080005B"/>
    <w:rsid w:val="0080037C"/>
    <w:rsid w:val="0080168D"/>
    <w:rsid w:val="008046F7"/>
    <w:rsid w:val="00807020"/>
    <w:rsid w:val="0080764A"/>
    <w:rsid w:val="00810DDC"/>
    <w:rsid w:val="0081202A"/>
    <w:rsid w:val="00812414"/>
    <w:rsid w:val="00813C71"/>
    <w:rsid w:val="00816B3B"/>
    <w:rsid w:val="008202C7"/>
    <w:rsid w:val="00823577"/>
    <w:rsid w:val="00823A6A"/>
    <w:rsid w:val="0082542A"/>
    <w:rsid w:val="00825C6E"/>
    <w:rsid w:val="00826A96"/>
    <w:rsid w:val="00826AF2"/>
    <w:rsid w:val="00827319"/>
    <w:rsid w:val="008311AB"/>
    <w:rsid w:val="008318C9"/>
    <w:rsid w:val="00833256"/>
    <w:rsid w:val="00834219"/>
    <w:rsid w:val="00834F0A"/>
    <w:rsid w:val="00836DC7"/>
    <w:rsid w:val="0083773A"/>
    <w:rsid w:val="008402F6"/>
    <w:rsid w:val="008405FB"/>
    <w:rsid w:val="008428F0"/>
    <w:rsid w:val="00843BAA"/>
    <w:rsid w:val="00843E91"/>
    <w:rsid w:val="00843EBD"/>
    <w:rsid w:val="00845263"/>
    <w:rsid w:val="008461DD"/>
    <w:rsid w:val="00846664"/>
    <w:rsid w:val="0084676F"/>
    <w:rsid w:val="0085003E"/>
    <w:rsid w:val="008505E2"/>
    <w:rsid w:val="00851E2F"/>
    <w:rsid w:val="008532F6"/>
    <w:rsid w:val="00853CFA"/>
    <w:rsid w:val="00853E00"/>
    <w:rsid w:val="00855964"/>
    <w:rsid w:val="00855EAA"/>
    <w:rsid w:val="00856323"/>
    <w:rsid w:val="008563BB"/>
    <w:rsid w:val="00860399"/>
    <w:rsid w:val="00860A00"/>
    <w:rsid w:val="00862ACE"/>
    <w:rsid w:val="00866157"/>
    <w:rsid w:val="00870BC4"/>
    <w:rsid w:val="00870D2B"/>
    <w:rsid w:val="00871C73"/>
    <w:rsid w:val="0087371A"/>
    <w:rsid w:val="00873F7C"/>
    <w:rsid w:val="008749A6"/>
    <w:rsid w:val="008751C8"/>
    <w:rsid w:val="008755DC"/>
    <w:rsid w:val="00876085"/>
    <w:rsid w:val="00876362"/>
    <w:rsid w:val="00880021"/>
    <w:rsid w:val="0088182C"/>
    <w:rsid w:val="00881F8A"/>
    <w:rsid w:val="00883815"/>
    <w:rsid w:val="00885A12"/>
    <w:rsid w:val="008862B3"/>
    <w:rsid w:val="00887859"/>
    <w:rsid w:val="00887DF0"/>
    <w:rsid w:val="0089114B"/>
    <w:rsid w:val="008914F4"/>
    <w:rsid w:val="00891D9C"/>
    <w:rsid w:val="008928A7"/>
    <w:rsid w:val="00893E59"/>
    <w:rsid w:val="0089491F"/>
    <w:rsid w:val="00896BCA"/>
    <w:rsid w:val="00897F4B"/>
    <w:rsid w:val="008A50D0"/>
    <w:rsid w:val="008A52A0"/>
    <w:rsid w:val="008A542A"/>
    <w:rsid w:val="008A6B7E"/>
    <w:rsid w:val="008A7319"/>
    <w:rsid w:val="008B0B0A"/>
    <w:rsid w:val="008B0B37"/>
    <w:rsid w:val="008B0EE5"/>
    <w:rsid w:val="008B1379"/>
    <w:rsid w:val="008B18D1"/>
    <w:rsid w:val="008B32D7"/>
    <w:rsid w:val="008B4293"/>
    <w:rsid w:val="008B6AB2"/>
    <w:rsid w:val="008B73EF"/>
    <w:rsid w:val="008B7850"/>
    <w:rsid w:val="008C265E"/>
    <w:rsid w:val="008C5013"/>
    <w:rsid w:val="008C505C"/>
    <w:rsid w:val="008C52EF"/>
    <w:rsid w:val="008C697A"/>
    <w:rsid w:val="008C69D7"/>
    <w:rsid w:val="008C6B2F"/>
    <w:rsid w:val="008D185B"/>
    <w:rsid w:val="008D272D"/>
    <w:rsid w:val="008D35BE"/>
    <w:rsid w:val="008D6359"/>
    <w:rsid w:val="008D7041"/>
    <w:rsid w:val="008D7060"/>
    <w:rsid w:val="008E0437"/>
    <w:rsid w:val="008E1A6F"/>
    <w:rsid w:val="008E1E81"/>
    <w:rsid w:val="008E212A"/>
    <w:rsid w:val="008E3909"/>
    <w:rsid w:val="008E418D"/>
    <w:rsid w:val="008E4B9D"/>
    <w:rsid w:val="008E5BDE"/>
    <w:rsid w:val="008E5D73"/>
    <w:rsid w:val="008E6E4A"/>
    <w:rsid w:val="008E733E"/>
    <w:rsid w:val="008F07F7"/>
    <w:rsid w:val="008F0A0C"/>
    <w:rsid w:val="008F120D"/>
    <w:rsid w:val="008F1FBA"/>
    <w:rsid w:val="008F2BE6"/>
    <w:rsid w:val="008F2E92"/>
    <w:rsid w:val="008F30CD"/>
    <w:rsid w:val="008F586C"/>
    <w:rsid w:val="008F587B"/>
    <w:rsid w:val="008F5F9A"/>
    <w:rsid w:val="008F6C62"/>
    <w:rsid w:val="008F7DFE"/>
    <w:rsid w:val="009009FA"/>
    <w:rsid w:val="00904B0A"/>
    <w:rsid w:val="00905A9D"/>
    <w:rsid w:val="00907AD0"/>
    <w:rsid w:val="00910A68"/>
    <w:rsid w:val="00911BB0"/>
    <w:rsid w:val="009132ED"/>
    <w:rsid w:val="00913B56"/>
    <w:rsid w:val="00914A6B"/>
    <w:rsid w:val="00914B4B"/>
    <w:rsid w:val="00914BD6"/>
    <w:rsid w:val="00915000"/>
    <w:rsid w:val="00915FD3"/>
    <w:rsid w:val="00916957"/>
    <w:rsid w:val="00917F6E"/>
    <w:rsid w:val="00920EDD"/>
    <w:rsid w:val="00921A5C"/>
    <w:rsid w:val="009225CA"/>
    <w:rsid w:val="00922739"/>
    <w:rsid w:val="0092391D"/>
    <w:rsid w:val="00923B09"/>
    <w:rsid w:val="00923B9B"/>
    <w:rsid w:val="00923FF9"/>
    <w:rsid w:val="009247D3"/>
    <w:rsid w:val="00925897"/>
    <w:rsid w:val="0092594E"/>
    <w:rsid w:val="00926652"/>
    <w:rsid w:val="0092758D"/>
    <w:rsid w:val="009279A2"/>
    <w:rsid w:val="00927CF2"/>
    <w:rsid w:val="00927DAC"/>
    <w:rsid w:val="009317CA"/>
    <w:rsid w:val="00935375"/>
    <w:rsid w:val="00936543"/>
    <w:rsid w:val="0094047E"/>
    <w:rsid w:val="00940512"/>
    <w:rsid w:val="00940F84"/>
    <w:rsid w:val="00941EAA"/>
    <w:rsid w:val="00942D4E"/>
    <w:rsid w:val="009441B9"/>
    <w:rsid w:val="009449D9"/>
    <w:rsid w:val="00947F4F"/>
    <w:rsid w:val="00950196"/>
    <w:rsid w:val="00950D06"/>
    <w:rsid w:val="00951481"/>
    <w:rsid w:val="009533EF"/>
    <w:rsid w:val="00953F2B"/>
    <w:rsid w:val="00954B9E"/>
    <w:rsid w:val="00954EE6"/>
    <w:rsid w:val="0095642C"/>
    <w:rsid w:val="009626F4"/>
    <w:rsid w:val="00966390"/>
    <w:rsid w:val="009665EE"/>
    <w:rsid w:val="00966B53"/>
    <w:rsid w:val="0097048D"/>
    <w:rsid w:val="009713B5"/>
    <w:rsid w:val="0097179E"/>
    <w:rsid w:val="00972B22"/>
    <w:rsid w:val="009733AB"/>
    <w:rsid w:val="00973948"/>
    <w:rsid w:val="00974482"/>
    <w:rsid w:val="00974609"/>
    <w:rsid w:val="0097465C"/>
    <w:rsid w:val="00974A3D"/>
    <w:rsid w:val="00975FDD"/>
    <w:rsid w:val="00981D9E"/>
    <w:rsid w:val="0098397A"/>
    <w:rsid w:val="00983D8C"/>
    <w:rsid w:val="009840E2"/>
    <w:rsid w:val="00984C40"/>
    <w:rsid w:val="00985C02"/>
    <w:rsid w:val="00990108"/>
    <w:rsid w:val="00990242"/>
    <w:rsid w:val="00990A9C"/>
    <w:rsid w:val="009946EB"/>
    <w:rsid w:val="00996564"/>
    <w:rsid w:val="009972D5"/>
    <w:rsid w:val="009A1967"/>
    <w:rsid w:val="009A59F1"/>
    <w:rsid w:val="009B0457"/>
    <w:rsid w:val="009B179F"/>
    <w:rsid w:val="009B4ADB"/>
    <w:rsid w:val="009B5510"/>
    <w:rsid w:val="009B57D1"/>
    <w:rsid w:val="009B663B"/>
    <w:rsid w:val="009B6F67"/>
    <w:rsid w:val="009B76A0"/>
    <w:rsid w:val="009C0C2D"/>
    <w:rsid w:val="009C0F63"/>
    <w:rsid w:val="009C29A7"/>
    <w:rsid w:val="009C3248"/>
    <w:rsid w:val="009D0293"/>
    <w:rsid w:val="009D02C4"/>
    <w:rsid w:val="009D060F"/>
    <w:rsid w:val="009D4DF1"/>
    <w:rsid w:val="009D5FF8"/>
    <w:rsid w:val="009D619D"/>
    <w:rsid w:val="009E0EE0"/>
    <w:rsid w:val="009E2A4B"/>
    <w:rsid w:val="009E440F"/>
    <w:rsid w:val="009E7C8D"/>
    <w:rsid w:val="009F1756"/>
    <w:rsid w:val="009F205B"/>
    <w:rsid w:val="009F2543"/>
    <w:rsid w:val="009F2D9A"/>
    <w:rsid w:val="009F4C32"/>
    <w:rsid w:val="009F5DB4"/>
    <w:rsid w:val="009F6503"/>
    <w:rsid w:val="009F6617"/>
    <w:rsid w:val="009F68EA"/>
    <w:rsid w:val="009F773F"/>
    <w:rsid w:val="00A005E6"/>
    <w:rsid w:val="00A011B7"/>
    <w:rsid w:val="00A01F50"/>
    <w:rsid w:val="00A02329"/>
    <w:rsid w:val="00A02B85"/>
    <w:rsid w:val="00A02BEA"/>
    <w:rsid w:val="00A034E4"/>
    <w:rsid w:val="00A04C4D"/>
    <w:rsid w:val="00A04D7C"/>
    <w:rsid w:val="00A10A02"/>
    <w:rsid w:val="00A143A1"/>
    <w:rsid w:val="00A15970"/>
    <w:rsid w:val="00A16614"/>
    <w:rsid w:val="00A17FF2"/>
    <w:rsid w:val="00A214CC"/>
    <w:rsid w:val="00A22188"/>
    <w:rsid w:val="00A22D32"/>
    <w:rsid w:val="00A2415E"/>
    <w:rsid w:val="00A24E2C"/>
    <w:rsid w:val="00A25020"/>
    <w:rsid w:val="00A25089"/>
    <w:rsid w:val="00A2585A"/>
    <w:rsid w:val="00A2784F"/>
    <w:rsid w:val="00A30033"/>
    <w:rsid w:val="00A307A3"/>
    <w:rsid w:val="00A309D5"/>
    <w:rsid w:val="00A31B0F"/>
    <w:rsid w:val="00A32434"/>
    <w:rsid w:val="00A341FE"/>
    <w:rsid w:val="00A34C16"/>
    <w:rsid w:val="00A352DB"/>
    <w:rsid w:val="00A36702"/>
    <w:rsid w:val="00A36763"/>
    <w:rsid w:val="00A369C3"/>
    <w:rsid w:val="00A40A35"/>
    <w:rsid w:val="00A42B81"/>
    <w:rsid w:val="00A43351"/>
    <w:rsid w:val="00A43F94"/>
    <w:rsid w:val="00A44516"/>
    <w:rsid w:val="00A454A1"/>
    <w:rsid w:val="00A45F8A"/>
    <w:rsid w:val="00A45FA8"/>
    <w:rsid w:val="00A46779"/>
    <w:rsid w:val="00A503D4"/>
    <w:rsid w:val="00A518A1"/>
    <w:rsid w:val="00A51EC4"/>
    <w:rsid w:val="00A54187"/>
    <w:rsid w:val="00A55A7E"/>
    <w:rsid w:val="00A5642B"/>
    <w:rsid w:val="00A57208"/>
    <w:rsid w:val="00A572D6"/>
    <w:rsid w:val="00A5732F"/>
    <w:rsid w:val="00A606B8"/>
    <w:rsid w:val="00A60B44"/>
    <w:rsid w:val="00A61D43"/>
    <w:rsid w:val="00A64E0E"/>
    <w:rsid w:val="00A65291"/>
    <w:rsid w:val="00A65668"/>
    <w:rsid w:val="00A65ACA"/>
    <w:rsid w:val="00A668CC"/>
    <w:rsid w:val="00A67A2A"/>
    <w:rsid w:val="00A723FD"/>
    <w:rsid w:val="00A73085"/>
    <w:rsid w:val="00A731FE"/>
    <w:rsid w:val="00A748C3"/>
    <w:rsid w:val="00A74B3F"/>
    <w:rsid w:val="00A805F6"/>
    <w:rsid w:val="00A80A96"/>
    <w:rsid w:val="00A82211"/>
    <w:rsid w:val="00A82C36"/>
    <w:rsid w:val="00A836B2"/>
    <w:rsid w:val="00A83F0F"/>
    <w:rsid w:val="00A841B7"/>
    <w:rsid w:val="00A844AA"/>
    <w:rsid w:val="00A84543"/>
    <w:rsid w:val="00A863F4"/>
    <w:rsid w:val="00A867EF"/>
    <w:rsid w:val="00A86C8C"/>
    <w:rsid w:val="00A8741F"/>
    <w:rsid w:val="00A87A21"/>
    <w:rsid w:val="00A90CA8"/>
    <w:rsid w:val="00A91CD0"/>
    <w:rsid w:val="00A93692"/>
    <w:rsid w:val="00A939DB"/>
    <w:rsid w:val="00A950FC"/>
    <w:rsid w:val="00A95258"/>
    <w:rsid w:val="00AA12FA"/>
    <w:rsid w:val="00AA2E4F"/>
    <w:rsid w:val="00AA38C1"/>
    <w:rsid w:val="00AA3BBE"/>
    <w:rsid w:val="00AA6DFD"/>
    <w:rsid w:val="00AB120A"/>
    <w:rsid w:val="00AB15C6"/>
    <w:rsid w:val="00AB353E"/>
    <w:rsid w:val="00AB35D6"/>
    <w:rsid w:val="00AB3754"/>
    <w:rsid w:val="00AC0B9F"/>
    <w:rsid w:val="00AC1D8F"/>
    <w:rsid w:val="00AC4145"/>
    <w:rsid w:val="00AC51F9"/>
    <w:rsid w:val="00AC549C"/>
    <w:rsid w:val="00AC7BAA"/>
    <w:rsid w:val="00AD1B19"/>
    <w:rsid w:val="00AD25CA"/>
    <w:rsid w:val="00AD45C9"/>
    <w:rsid w:val="00AD4DC0"/>
    <w:rsid w:val="00AD545E"/>
    <w:rsid w:val="00AD5803"/>
    <w:rsid w:val="00AD69DE"/>
    <w:rsid w:val="00AE09B3"/>
    <w:rsid w:val="00AE0EB3"/>
    <w:rsid w:val="00AE2744"/>
    <w:rsid w:val="00AE440E"/>
    <w:rsid w:val="00AE4431"/>
    <w:rsid w:val="00AE49F9"/>
    <w:rsid w:val="00AE583A"/>
    <w:rsid w:val="00AE5CC9"/>
    <w:rsid w:val="00AE640F"/>
    <w:rsid w:val="00AE67D9"/>
    <w:rsid w:val="00AE692F"/>
    <w:rsid w:val="00AE7624"/>
    <w:rsid w:val="00AE77E0"/>
    <w:rsid w:val="00AE7D0F"/>
    <w:rsid w:val="00AF2DA7"/>
    <w:rsid w:val="00AF37E0"/>
    <w:rsid w:val="00AF4373"/>
    <w:rsid w:val="00AF657B"/>
    <w:rsid w:val="00AF73EF"/>
    <w:rsid w:val="00AF7A5B"/>
    <w:rsid w:val="00AF7F13"/>
    <w:rsid w:val="00B00B78"/>
    <w:rsid w:val="00B00F1B"/>
    <w:rsid w:val="00B01A30"/>
    <w:rsid w:val="00B02835"/>
    <w:rsid w:val="00B0400E"/>
    <w:rsid w:val="00B04CEE"/>
    <w:rsid w:val="00B04D0C"/>
    <w:rsid w:val="00B05B97"/>
    <w:rsid w:val="00B05CC9"/>
    <w:rsid w:val="00B05F4C"/>
    <w:rsid w:val="00B11965"/>
    <w:rsid w:val="00B11DC6"/>
    <w:rsid w:val="00B121B0"/>
    <w:rsid w:val="00B14F04"/>
    <w:rsid w:val="00B17651"/>
    <w:rsid w:val="00B177F9"/>
    <w:rsid w:val="00B20402"/>
    <w:rsid w:val="00B214B8"/>
    <w:rsid w:val="00B216C0"/>
    <w:rsid w:val="00B23865"/>
    <w:rsid w:val="00B23E91"/>
    <w:rsid w:val="00B243F8"/>
    <w:rsid w:val="00B24C6B"/>
    <w:rsid w:val="00B24E84"/>
    <w:rsid w:val="00B255D5"/>
    <w:rsid w:val="00B30B9C"/>
    <w:rsid w:val="00B32C73"/>
    <w:rsid w:val="00B345F7"/>
    <w:rsid w:val="00B34749"/>
    <w:rsid w:val="00B35411"/>
    <w:rsid w:val="00B36AD2"/>
    <w:rsid w:val="00B37481"/>
    <w:rsid w:val="00B37C13"/>
    <w:rsid w:val="00B4218A"/>
    <w:rsid w:val="00B429F2"/>
    <w:rsid w:val="00B4335D"/>
    <w:rsid w:val="00B439F4"/>
    <w:rsid w:val="00B46CB2"/>
    <w:rsid w:val="00B47C3E"/>
    <w:rsid w:val="00B5038A"/>
    <w:rsid w:val="00B5174D"/>
    <w:rsid w:val="00B5182D"/>
    <w:rsid w:val="00B530E1"/>
    <w:rsid w:val="00B5327E"/>
    <w:rsid w:val="00B5354B"/>
    <w:rsid w:val="00B53DF6"/>
    <w:rsid w:val="00B57F70"/>
    <w:rsid w:val="00B60ACB"/>
    <w:rsid w:val="00B60BC1"/>
    <w:rsid w:val="00B631A1"/>
    <w:rsid w:val="00B63673"/>
    <w:rsid w:val="00B642BE"/>
    <w:rsid w:val="00B70AB1"/>
    <w:rsid w:val="00B721F6"/>
    <w:rsid w:val="00B722B3"/>
    <w:rsid w:val="00B73F46"/>
    <w:rsid w:val="00B75B44"/>
    <w:rsid w:val="00B77C59"/>
    <w:rsid w:val="00B81A57"/>
    <w:rsid w:val="00B8218E"/>
    <w:rsid w:val="00B82191"/>
    <w:rsid w:val="00B82A1C"/>
    <w:rsid w:val="00B82D97"/>
    <w:rsid w:val="00B842C3"/>
    <w:rsid w:val="00B852A7"/>
    <w:rsid w:val="00B90DE2"/>
    <w:rsid w:val="00B9183B"/>
    <w:rsid w:val="00B91E9F"/>
    <w:rsid w:val="00B928DD"/>
    <w:rsid w:val="00B92990"/>
    <w:rsid w:val="00B94898"/>
    <w:rsid w:val="00B9493E"/>
    <w:rsid w:val="00B954FC"/>
    <w:rsid w:val="00BA0AE8"/>
    <w:rsid w:val="00BA1A84"/>
    <w:rsid w:val="00BA1D12"/>
    <w:rsid w:val="00BA2B97"/>
    <w:rsid w:val="00BA359D"/>
    <w:rsid w:val="00BA391D"/>
    <w:rsid w:val="00BA5C4E"/>
    <w:rsid w:val="00BA5DB5"/>
    <w:rsid w:val="00BA65DC"/>
    <w:rsid w:val="00BA7469"/>
    <w:rsid w:val="00BB0721"/>
    <w:rsid w:val="00BB1B39"/>
    <w:rsid w:val="00BB2383"/>
    <w:rsid w:val="00BB4BA0"/>
    <w:rsid w:val="00BB4BB0"/>
    <w:rsid w:val="00BB4C7F"/>
    <w:rsid w:val="00BB4FB2"/>
    <w:rsid w:val="00BB551E"/>
    <w:rsid w:val="00BB5ED3"/>
    <w:rsid w:val="00BB66DD"/>
    <w:rsid w:val="00BB7406"/>
    <w:rsid w:val="00BB79F9"/>
    <w:rsid w:val="00BC38EE"/>
    <w:rsid w:val="00BC4012"/>
    <w:rsid w:val="00BC74F5"/>
    <w:rsid w:val="00BC7825"/>
    <w:rsid w:val="00BD26CC"/>
    <w:rsid w:val="00BD3FC0"/>
    <w:rsid w:val="00BD61CD"/>
    <w:rsid w:val="00BD67DA"/>
    <w:rsid w:val="00BE0144"/>
    <w:rsid w:val="00BE1A5B"/>
    <w:rsid w:val="00BE28A2"/>
    <w:rsid w:val="00BE28E4"/>
    <w:rsid w:val="00BE3297"/>
    <w:rsid w:val="00BE6E9D"/>
    <w:rsid w:val="00BE7D98"/>
    <w:rsid w:val="00BE7ED8"/>
    <w:rsid w:val="00BF0158"/>
    <w:rsid w:val="00BF177B"/>
    <w:rsid w:val="00BF17AD"/>
    <w:rsid w:val="00BF1B38"/>
    <w:rsid w:val="00BF1BD2"/>
    <w:rsid w:val="00BF2828"/>
    <w:rsid w:val="00BF36B1"/>
    <w:rsid w:val="00BF3B22"/>
    <w:rsid w:val="00BF3D0C"/>
    <w:rsid w:val="00BF3E95"/>
    <w:rsid w:val="00BF43F8"/>
    <w:rsid w:val="00BF4EDB"/>
    <w:rsid w:val="00BF51E6"/>
    <w:rsid w:val="00BF6D06"/>
    <w:rsid w:val="00BF7982"/>
    <w:rsid w:val="00C0316D"/>
    <w:rsid w:val="00C036B2"/>
    <w:rsid w:val="00C03D18"/>
    <w:rsid w:val="00C04153"/>
    <w:rsid w:val="00C05E80"/>
    <w:rsid w:val="00C07521"/>
    <w:rsid w:val="00C12ABF"/>
    <w:rsid w:val="00C13516"/>
    <w:rsid w:val="00C138C3"/>
    <w:rsid w:val="00C13ED3"/>
    <w:rsid w:val="00C15E72"/>
    <w:rsid w:val="00C16491"/>
    <w:rsid w:val="00C16FA5"/>
    <w:rsid w:val="00C172B1"/>
    <w:rsid w:val="00C17F31"/>
    <w:rsid w:val="00C2000E"/>
    <w:rsid w:val="00C220BE"/>
    <w:rsid w:val="00C223D5"/>
    <w:rsid w:val="00C23495"/>
    <w:rsid w:val="00C24CB0"/>
    <w:rsid w:val="00C26B60"/>
    <w:rsid w:val="00C26D26"/>
    <w:rsid w:val="00C3252B"/>
    <w:rsid w:val="00C33A96"/>
    <w:rsid w:val="00C33B56"/>
    <w:rsid w:val="00C33FF6"/>
    <w:rsid w:val="00C34149"/>
    <w:rsid w:val="00C3526D"/>
    <w:rsid w:val="00C36000"/>
    <w:rsid w:val="00C36E8C"/>
    <w:rsid w:val="00C41BAE"/>
    <w:rsid w:val="00C41BF3"/>
    <w:rsid w:val="00C427B3"/>
    <w:rsid w:val="00C43D6A"/>
    <w:rsid w:val="00C45062"/>
    <w:rsid w:val="00C455D8"/>
    <w:rsid w:val="00C4613C"/>
    <w:rsid w:val="00C4677D"/>
    <w:rsid w:val="00C501E2"/>
    <w:rsid w:val="00C52A85"/>
    <w:rsid w:val="00C531F4"/>
    <w:rsid w:val="00C532D7"/>
    <w:rsid w:val="00C541C1"/>
    <w:rsid w:val="00C553C6"/>
    <w:rsid w:val="00C55DE1"/>
    <w:rsid w:val="00C573D9"/>
    <w:rsid w:val="00C616C8"/>
    <w:rsid w:val="00C61EE4"/>
    <w:rsid w:val="00C621D6"/>
    <w:rsid w:val="00C63764"/>
    <w:rsid w:val="00C64901"/>
    <w:rsid w:val="00C65E67"/>
    <w:rsid w:val="00C66161"/>
    <w:rsid w:val="00C665D4"/>
    <w:rsid w:val="00C66CAC"/>
    <w:rsid w:val="00C672DE"/>
    <w:rsid w:val="00C7227D"/>
    <w:rsid w:val="00C728B5"/>
    <w:rsid w:val="00C72C7B"/>
    <w:rsid w:val="00C72E38"/>
    <w:rsid w:val="00C742A3"/>
    <w:rsid w:val="00C77055"/>
    <w:rsid w:val="00C77AA1"/>
    <w:rsid w:val="00C77CB8"/>
    <w:rsid w:val="00C801E6"/>
    <w:rsid w:val="00C813C3"/>
    <w:rsid w:val="00C81EA2"/>
    <w:rsid w:val="00C83BFD"/>
    <w:rsid w:val="00C83DAC"/>
    <w:rsid w:val="00C843B4"/>
    <w:rsid w:val="00C852E2"/>
    <w:rsid w:val="00C8665B"/>
    <w:rsid w:val="00C870BA"/>
    <w:rsid w:val="00C87601"/>
    <w:rsid w:val="00C90968"/>
    <w:rsid w:val="00C928C2"/>
    <w:rsid w:val="00C937F7"/>
    <w:rsid w:val="00C97180"/>
    <w:rsid w:val="00C97312"/>
    <w:rsid w:val="00CA1B40"/>
    <w:rsid w:val="00CA5209"/>
    <w:rsid w:val="00CA5252"/>
    <w:rsid w:val="00CA57E7"/>
    <w:rsid w:val="00CA6DE8"/>
    <w:rsid w:val="00CA7956"/>
    <w:rsid w:val="00CB093D"/>
    <w:rsid w:val="00CB11C6"/>
    <w:rsid w:val="00CB2891"/>
    <w:rsid w:val="00CB2A31"/>
    <w:rsid w:val="00CB3DA4"/>
    <w:rsid w:val="00CB3F28"/>
    <w:rsid w:val="00CB61EE"/>
    <w:rsid w:val="00CB7675"/>
    <w:rsid w:val="00CC0A56"/>
    <w:rsid w:val="00CC1C22"/>
    <w:rsid w:val="00CC5DA8"/>
    <w:rsid w:val="00CC5F8F"/>
    <w:rsid w:val="00CC65DC"/>
    <w:rsid w:val="00CC7E52"/>
    <w:rsid w:val="00CD4ACD"/>
    <w:rsid w:val="00CD4BEE"/>
    <w:rsid w:val="00CD54AA"/>
    <w:rsid w:val="00CD5F1D"/>
    <w:rsid w:val="00CD631A"/>
    <w:rsid w:val="00CD6A3E"/>
    <w:rsid w:val="00CD746F"/>
    <w:rsid w:val="00CE0A92"/>
    <w:rsid w:val="00CE13F5"/>
    <w:rsid w:val="00CE168C"/>
    <w:rsid w:val="00CE319F"/>
    <w:rsid w:val="00CE33B4"/>
    <w:rsid w:val="00CE3E11"/>
    <w:rsid w:val="00CE4A20"/>
    <w:rsid w:val="00CE4FC9"/>
    <w:rsid w:val="00CE501B"/>
    <w:rsid w:val="00CE5620"/>
    <w:rsid w:val="00CE5E3E"/>
    <w:rsid w:val="00CF3BB5"/>
    <w:rsid w:val="00CF411A"/>
    <w:rsid w:val="00CF42A0"/>
    <w:rsid w:val="00CF546D"/>
    <w:rsid w:val="00CF5A44"/>
    <w:rsid w:val="00CF74D2"/>
    <w:rsid w:val="00CF75A4"/>
    <w:rsid w:val="00CF78E4"/>
    <w:rsid w:val="00CF7B36"/>
    <w:rsid w:val="00D02B30"/>
    <w:rsid w:val="00D02D8A"/>
    <w:rsid w:val="00D033AE"/>
    <w:rsid w:val="00D036DF"/>
    <w:rsid w:val="00D03E4B"/>
    <w:rsid w:val="00D03F4F"/>
    <w:rsid w:val="00D04D55"/>
    <w:rsid w:val="00D0736D"/>
    <w:rsid w:val="00D102A1"/>
    <w:rsid w:val="00D1076B"/>
    <w:rsid w:val="00D10F75"/>
    <w:rsid w:val="00D12D34"/>
    <w:rsid w:val="00D13D8B"/>
    <w:rsid w:val="00D14C2C"/>
    <w:rsid w:val="00D14C5B"/>
    <w:rsid w:val="00D15795"/>
    <w:rsid w:val="00D15D85"/>
    <w:rsid w:val="00D16B5B"/>
    <w:rsid w:val="00D17F36"/>
    <w:rsid w:val="00D214FF"/>
    <w:rsid w:val="00D2186C"/>
    <w:rsid w:val="00D21EA9"/>
    <w:rsid w:val="00D2216E"/>
    <w:rsid w:val="00D239BD"/>
    <w:rsid w:val="00D2411D"/>
    <w:rsid w:val="00D24931"/>
    <w:rsid w:val="00D27BF3"/>
    <w:rsid w:val="00D30B57"/>
    <w:rsid w:val="00D317BC"/>
    <w:rsid w:val="00D322B1"/>
    <w:rsid w:val="00D32520"/>
    <w:rsid w:val="00D33A4F"/>
    <w:rsid w:val="00D4087C"/>
    <w:rsid w:val="00D410A3"/>
    <w:rsid w:val="00D41F9F"/>
    <w:rsid w:val="00D43744"/>
    <w:rsid w:val="00D43F13"/>
    <w:rsid w:val="00D44002"/>
    <w:rsid w:val="00D46173"/>
    <w:rsid w:val="00D465CD"/>
    <w:rsid w:val="00D5055F"/>
    <w:rsid w:val="00D50E02"/>
    <w:rsid w:val="00D53029"/>
    <w:rsid w:val="00D53A96"/>
    <w:rsid w:val="00D53EF7"/>
    <w:rsid w:val="00D55A4B"/>
    <w:rsid w:val="00D56D57"/>
    <w:rsid w:val="00D607C1"/>
    <w:rsid w:val="00D613BF"/>
    <w:rsid w:val="00D61C52"/>
    <w:rsid w:val="00D62109"/>
    <w:rsid w:val="00D6307E"/>
    <w:rsid w:val="00D630D6"/>
    <w:rsid w:val="00D646E3"/>
    <w:rsid w:val="00D649EA"/>
    <w:rsid w:val="00D64F51"/>
    <w:rsid w:val="00D67AAD"/>
    <w:rsid w:val="00D67B3C"/>
    <w:rsid w:val="00D67F32"/>
    <w:rsid w:val="00D70CAE"/>
    <w:rsid w:val="00D70DCC"/>
    <w:rsid w:val="00D7180D"/>
    <w:rsid w:val="00D71944"/>
    <w:rsid w:val="00D71AF6"/>
    <w:rsid w:val="00D71EB5"/>
    <w:rsid w:val="00D724CA"/>
    <w:rsid w:val="00D72DBE"/>
    <w:rsid w:val="00D75816"/>
    <w:rsid w:val="00D76DD7"/>
    <w:rsid w:val="00D80B05"/>
    <w:rsid w:val="00D80B2C"/>
    <w:rsid w:val="00D815A9"/>
    <w:rsid w:val="00D81B2B"/>
    <w:rsid w:val="00D8364E"/>
    <w:rsid w:val="00D85556"/>
    <w:rsid w:val="00D85994"/>
    <w:rsid w:val="00D85AD3"/>
    <w:rsid w:val="00D85FAF"/>
    <w:rsid w:val="00D871E6"/>
    <w:rsid w:val="00D87C58"/>
    <w:rsid w:val="00D906FB"/>
    <w:rsid w:val="00D90C73"/>
    <w:rsid w:val="00D91525"/>
    <w:rsid w:val="00D93F35"/>
    <w:rsid w:val="00D947BB"/>
    <w:rsid w:val="00D94975"/>
    <w:rsid w:val="00D95D57"/>
    <w:rsid w:val="00D95F9E"/>
    <w:rsid w:val="00D964EC"/>
    <w:rsid w:val="00D9661B"/>
    <w:rsid w:val="00D96D92"/>
    <w:rsid w:val="00D97314"/>
    <w:rsid w:val="00DA0695"/>
    <w:rsid w:val="00DA08B8"/>
    <w:rsid w:val="00DA09F2"/>
    <w:rsid w:val="00DA201C"/>
    <w:rsid w:val="00DA467E"/>
    <w:rsid w:val="00DA4BE6"/>
    <w:rsid w:val="00DA4F5C"/>
    <w:rsid w:val="00DA628A"/>
    <w:rsid w:val="00DA6DF1"/>
    <w:rsid w:val="00DB3896"/>
    <w:rsid w:val="00DB453A"/>
    <w:rsid w:val="00DB4815"/>
    <w:rsid w:val="00DB6410"/>
    <w:rsid w:val="00DB6C94"/>
    <w:rsid w:val="00DC00E6"/>
    <w:rsid w:val="00DC0D1F"/>
    <w:rsid w:val="00DC0DBA"/>
    <w:rsid w:val="00DC7399"/>
    <w:rsid w:val="00DD085A"/>
    <w:rsid w:val="00DD0D55"/>
    <w:rsid w:val="00DD113A"/>
    <w:rsid w:val="00DD16A1"/>
    <w:rsid w:val="00DD2B7A"/>
    <w:rsid w:val="00DD46BF"/>
    <w:rsid w:val="00DD6478"/>
    <w:rsid w:val="00DD6BA4"/>
    <w:rsid w:val="00DD7522"/>
    <w:rsid w:val="00DE0C39"/>
    <w:rsid w:val="00DE1146"/>
    <w:rsid w:val="00DE1F4B"/>
    <w:rsid w:val="00DE28E3"/>
    <w:rsid w:val="00DE2987"/>
    <w:rsid w:val="00DE3460"/>
    <w:rsid w:val="00DE4384"/>
    <w:rsid w:val="00DE68A7"/>
    <w:rsid w:val="00DE6F55"/>
    <w:rsid w:val="00DE7471"/>
    <w:rsid w:val="00DF021E"/>
    <w:rsid w:val="00DF152B"/>
    <w:rsid w:val="00DF1D16"/>
    <w:rsid w:val="00DF552E"/>
    <w:rsid w:val="00DF5AAE"/>
    <w:rsid w:val="00DF636D"/>
    <w:rsid w:val="00DF6B37"/>
    <w:rsid w:val="00DF6D7C"/>
    <w:rsid w:val="00E01927"/>
    <w:rsid w:val="00E02C5B"/>
    <w:rsid w:val="00E0519B"/>
    <w:rsid w:val="00E058E6"/>
    <w:rsid w:val="00E05BD8"/>
    <w:rsid w:val="00E060C7"/>
    <w:rsid w:val="00E06467"/>
    <w:rsid w:val="00E06DC8"/>
    <w:rsid w:val="00E07B47"/>
    <w:rsid w:val="00E128F8"/>
    <w:rsid w:val="00E1303B"/>
    <w:rsid w:val="00E14F17"/>
    <w:rsid w:val="00E14FD6"/>
    <w:rsid w:val="00E15DDF"/>
    <w:rsid w:val="00E1603E"/>
    <w:rsid w:val="00E1741F"/>
    <w:rsid w:val="00E17F7C"/>
    <w:rsid w:val="00E20824"/>
    <w:rsid w:val="00E20DF3"/>
    <w:rsid w:val="00E21185"/>
    <w:rsid w:val="00E212E3"/>
    <w:rsid w:val="00E2330E"/>
    <w:rsid w:val="00E23E53"/>
    <w:rsid w:val="00E25153"/>
    <w:rsid w:val="00E270A3"/>
    <w:rsid w:val="00E27596"/>
    <w:rsid w:val="00E27BB3"/>
    <w:rsid w:val="00E33267"/>
    <w:rsid w:val="00E33DA8"/>
    <w:rsid w:val="00E34C45"/>
    <w:rsid w:val="00E35215"/>
    <w:rsid w:val="00E353DE"/>
    <w:rsid w:val="00E356B7"/>
    <w:rsid w:val="00E360A0"/>
    <w:rsid w:val="00E3665C"/>
    <w:rsid w:val="00E437A3"/>
    <w:rsid w:val="00E43CD0"/>
    <w:rsid w:val="00E45E44"/>
    <w:rsid w:val="00E46D97"/>
    <w:rsid w:val="00E50961"/>
    <w:rsid w:val="00E50C37"/>
    <w:rsid w:val="00E51423"/>
    <w:rsid w:val="00E54292"/>
    <w:rsid w:val="00E54795"/>
    <w:rsid w:val="00E561D9"/>
    <w:rsid w:val="00E63008"/>
    <w:rsid w:val="00E630C5"/>
    <w:rsid w:val="00E64CAB"/>
    <w:rsid w:val="00E64DDC"/>
    <w:rsid w:val="00E6618B"/>
    <w:rsid w:val="00E6638E"/>
    <w:rsid w:val="00E66800"/>
    <w:rsid w:val="00E674D4"/>
    <w:rsid w:val="00E70775"/>
    <w:rsid w:val="00E70D4F"/>
    <w:rsid w:val="00E712A8"/>
    <w:rsid w:val="00E73A6D"/>
    <w:rsid w:val="00E73DF9"/>
    <w:rsid w:val="00E7410D"/>
    <w:rsid w:val="00E7654E"/>
    <w:rsid w:val="00E774D6"/>
    <w:rsid w:val="00E77CBA"/>
    <w:rsid w:val="00E82140"/>
    <w:rsid w:val="00E82BBE"/>
    <w:rsid w:val="00E82EF5"/>
    <w:rsid w:val="00E83715"/>
    <w:rsid w:val="00E85F15"/>
    <w:rsid w:val="00E85FC6"/>
    <w:rsid w:val="00E86AC7"/>
    <w:rsid w:val="00E86CC0"/>
    <w:rsid w:val="00E87265"/>
    <w:rsid w:val="00E87EAD"/>
    <w:rsid w:val="00E9007B"/>
    <w:rsid w:val="00E90B39"/>
    <w:rsid w:val="00E943D2"/>
    <w:rsid w:val="00E94E0B"/>
    <w:rsid w:val="00E97EEF"/>
    <w:rsid w:val="00EA0366"/>
    <w:rsid w:val="00EA056A"/>
    <w:rsid w:val="00EA1A00"/>
    <w:rsid w:val="00EA1F86"/>
    <w:rsid w:val="00EA3933"/>
    <w:rsid w:val="00EA3EC9"/>
    <w:rsid w:val="00EA444C"/>
    <w:rsid w:val="00EB0B09"/>
    <w:rsid w:val="00EB1BFF"/>
    <w:rsid w:val="00EB285F"/>
    <w:rsid w:val="00EB2B25"/>
    <w:rsid w:val="00EB3E9D"/>
    <w:rsid w:val="00EB55D6"/>
    <w:rsid w:val="00EB6137"/>
    <w:rsid w:val="00EB6852"/>
    <w:rsid w:val="00EB69AF"/>
    <w:rsid w:val="00EC0C42"/>
    <w:rsid w:val="00EC1917"/>
    <w:rsid w:val="00EC1E8E"/>
    <w:rsid w:val="00EC1F61"/>
    <w:rsid w:val="00EC29C3"/>
    <w:rsid w:val="00EC49C6"/>
    <w:rsid w:val="00EC608D"/>
    <w:rsid w:val="00EC73EB"/>
    <w:rsid w:val="00ED0889"/>
    <w:rsid w:val="00ED36A6"/>
    <w:rsid w:val="00ED47ED"/>
    <w:rsid w:val="00ED4CBC"/>
    <w:rsid w:val="00EE1E9F"/>
    <w:rsid w:val="00EE1FB6"/>
    <w:rsid w:val="00EE32D3"/>
    <w:rsid w:val="00EE5186"/>
    <w:rsid w:val="00EE6B2F"/>
    <w:rsid w:val="00EE7A8E"/>
    <w:rsid w:val="00EF0312"/>
    <w:rsid w:val="00EF2536"/>
    <w:rsid w:val="00EF2615"/>
    <w:rsid w:val="00EF3277"/>
    <w:rsid w:val="00EF399B"/>
    <w:rsid w:val="00EF3B36"/>
    <w:rsid w:val="00EF3BC4"/>
    <w:rsid w:val="00EF3D8D"/>
    <w:rsid w:val="00EF601D"/>
    <w:rsid w:val="00EF76A7"/>
    <w:rsid w:val="00EF7C40"/>
    <w:rsid w:val="00F016BB"/>
    <w:rsid w:val="00F04238"/>
    <w:rsid w:val="00F043A5"/>
    <w:rsid w:val="00F050AB"/>
    <w:rsid w:val="00F06C7A"/>
    <w:rsid w:val="00F07D4C"/>
    <w:rsid w:val="00F1074A"/>
    <w:rsid w:val="00F11F4D"/>
    <w:rsid w:val="00F12F16"/>
    <w:rsid w:val="00F13F82"/>
    <w:rsid w:val="00F14F39"/>
    <w:rsid w:val="00F15EFF"/>
    <w:rsid w:val="00F17536"/>
    <w:rsid w:val="00F17F5F"/>
    <w:rsid w:val="00F201A4"/>
    <w:rsid w:val="00F204D2"/>
    <w:rsid w:val="00F2094F"/>
    <w:rsid w:val="00F20EFA"/>
    <w:rsid w:val="00F20FE1"/>
    <w:rsid w:val="00F21035"/>
    <w:rsid w:val="00F23388"/>
    <w:rsid w:val="00F3273F"/>
    <w:rsid w:val="00F32DDF"/>
    <w:rsid w:val="00F33646"/>
    <w:rsid w:val="00F3377B"/>
    <w:rsid w:val="00F33F65"/>
    <w:rsid w:val="00F35AFC"/>
    <w:rsid w:val="00F3661B"/>
    <w:rsid w:val="00F37AB4"/>
    <w:rsid w:val="00F37C02"/>
    <w:rsid w:val="00F37FAC"/>
    <w:rsid w:val="00F40617"/>
    <w:rsid w:val="00F442FE"/>
    <w:rsid w:val="00F47CF9"/>
    <w:rsid w:val="00F50324"/>
    <w:rsid w:val="00F51BDB"/>
    <w:rsid w:val="00F53339"/>
    <w:rsid w:val="00F54097"/>
    <w:rsid w:val="00F54FEB"/>
    <w:rsid w:val="00F55877"/>
    <w:rsid w:val="00F564F7"/>
    <w:rsid w:val="00F57098"/>
    <w:rsid w:val="00F57D2D"/>
    <w:rsid w:val="00F60308"/>
    <w:rsid w:val="00F608F0"/>
    <w:rsid w:val="00F60916"/>
    <w:rsid w:val="00F60CCA"/>
    <w:rsid w:val="00F60D92"/>
    <w:rsid w:val="00F62416"/>
    <w:rsid w:val="00F63717"/>
    <w:rsid w:val="00F63C90"/>
    <w:rsid w:val="00F7085F"/>
    <w:rsid w:val="00F70946"/>
    <w:rsid w:val="00F70FA2"/>
    <w:rsid w:val="00F71042"/>
    <w:rsid w:val="00F7154B"/>
    <w:rsid w:val="00F72314"/>
    <w:rsid w:val="00F73E4E"/>
    <w:rsid w:val="00F74106"/>
    <w:rsid w:val="00F74386"/>
    <w:rsid w:val="00F7482E"/>
    <w:rsid w:val="00F74C86"/>
    <w:rsid w:val="00F74EAC"/>
    <w:rsid w:val="00F76A55"/>
    <w:rsid w:val="00F76D1B"/>
    <w:rsid w:val="00F83762"/>
    <w:rsid w:val="00F86537"/>
    <w:rsid w:val="00F87851"/>
    <w:rsid w:val="00F90618"/>
    <w:rsid w:val="00F922F1"/>
    <w:rsid w:val="00F925F1"/>
    <w:rsid w:val="00F92823"/>
    <w:rsid w:val="00F942B9"/>
    <w:rsid w:val="00F94344"/>
    <w:rsid w:val="00F947F2"/>
    <w:rsid w:val="00F95C05"/>
    <w:rsid w:val="00F967EA"/>
    <w:rsid w:val="00F9700C"/>
    <w:rsid w:val="00F973FC"/>
    <w:rsid w:val="00FA05CD"/>
    <w:rsid w:val="00FA0F09"/>
    <w:rsid w:val="00FA1644"/>
    <w:rsid w:val="00FA1C41"/>
    <w:rsid w:val="00FA2278"/>
    <w:rsid w:val="00FA2765"/>
    <w:rsid w:val="00FA3EAE"/>
    <w:rsid w:val="00FA5206"/>
    <w:rsid w:val="00FA6723"/>
    <w:rsid w:val="00FA675B"/>
    <w:rsid w:val="00FA7EE6"/>
    <w:rsid w:val="00FB00A8"/>
    <w:rsid w:val="00FB02CB"/>
    <w:rsid w:val="00FB326A"/>
    <w:rsid w:val="00FB4255"/>
    <w:rsid w:val="00FB4755"/>
    <w:rsid w:val="00FB4A34"/>
    <w:rsid w:val="00FB4F75"/>
    <w:rsid w:val="00FB6362"/>
    <w:rsid w:val="00FC207B"/>
    <w:rsid w:val="00FC3EBA"/>
    <w:rsid w:val="00FC6202"/>
    <w:rsid w:val="00FD06CA"/>
    <w:rsid w:val="00FD09B2"/>
    <w:rsid w:val="00FD15E2"/>
    <w:rsid w:val="00FD16FC"/>
    <w:rsid w:val="00FD2427"/>
    <w:rsid w:val="00FD3F18"/>
    <w:rsid w:val="00FD4FD0"/>
    <w:rsid w:val="00FE09FD"/>
    <w:rsid w:val="00FE0E36"/>
    <w:rsid w:val="00FE1C9C"/>
    <w:rsid w:val="00FE1FC8"/>
    <w:rsid w:val="00FE6AD2"/>
    <w:rsid w:val="00FE6CF4"/>
    <w:rsid w:val="00FE76DF"/>
    <w:rsid w:val="00FF0BF5"/>
    <w:rsid w:val="00FF0E80"/>
    <w:rsid w:val="00FF27F6"/>
    <w:rsid w:val="00FF2B0F"/>
    <w:rsid w:val="00FF5FB8"/>
    <w:rsid w:val="00FF73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75457"/>
    <o:shapelayout v:ext="edit">
      <o:idmap v:ext="edit" data="1"/>
    </o:shapelayout>
  </w:shapeDefaults>
  <w:decimalSymbol w:val=","/>
  <w:listSeparator w:val=";"/>
  <w14:docId w14:val="2A73A2BA"/>
  <w15:docId w15:val="{CF017470-9249-415F-8A7A-7E452067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A22D32"/>
    <w:pPr>
      <w:keepNext/>
      <w:numPr>
        <w:numId w:val="9"/>
      </w:numPr>
      <w:tabs>
        <w:tab w:val="left" w:pos="709"/>
      </w:tabs>
      <w:spacing w:before="360" w:after="240"/>
      <w:jc w:val="both"/>
      <w:outlineLvl w:val="0"/>
    </w:pPr>
    <w:rPr>
      <w:rFonts w:ascii="Georgia" w:hAnsi="Georgia" w:cs="Arial"/>
      <w:b/>
      <w:color w:val="014171"/>
      <w:sz w:val="32"/>
      <w:szCs w:val="40"/>
    </w:rPr>
  </w:style>
  <w:style w:type="paragraph" w:styleId="Heading2">
    <w:name w:val="heading 2"/>
    <w:basedOn w:val="Normal"/>
    <w:next w:val="Normal"/>
    <w:link w:val="Heading2Char"/>
    <w:qFormat/>
    <w:rsid w:val="00A22D32"/>
    <w:pPr>
      <w:keepNext/>
      <w:numPr>
        <w:ilvl w:val="1"/>
        <w:numId w:val="9"/>
      </w:numPr>
      <w:spacing w:before="240" w:after="120"/>
      <w:jc w:val="both"/>
      <w:outlineLvl w:val="1"/>
    </w:pPr>
    <w:rPr>
      <w:rFonts w:ascii="Georgia" w:hAnsi="Georgia" w:cs="Calibri"/>
      <w:b/>
      <w:bCs/>
      <w:color w:val="014171"/>
      <w:sz w:val="24"/>
      <w:szCs w:val="24"/>
    </w:rPr>
  </w:style>
  <w:style w:type="paragraph" w:styleId="Heading3">
    <w:name w:val="heading 3"/>
    <w:basedOn w:val="Normal"/>
    <w:next w:val="Normal"/>
    <w:link w:val="Heading3Char"/>
    <w:qFormat/>
    <w:rsid w:val="008A542A"/>
    <w:pPr>
      <w:keepNext/>
      <w:numPr>
        <w:ilvl w:val="2"/>
        <w:numId w:val="9"/>
      </w:numPr>
      <w:spacing w:before="240" w:after="120"/>
      <w:jc w:val="both"/>
      <w:outlineLvl w:val="2"/>
    </w:pPr>
    <w:rPr>
      <w:rFonts w:ascii="Georgia" w:hAnsi="Georgia" w:cs="Calibri"/>
      <w:b/>
      <w:color w:val="014171"/>
      <w:szCs w:val="24"/>
    </w:rPr>
  </w:style>
  <w:style w:type="paragraph" w:styleId="Heading4">
    <w:name w:val="heading 4"/>
    <w:basedOn w:val="Normal"/>
    <w:next w:val="BodyText"/>
    <w:link w:val="Heading4Char"/>
    <w:qFormat/>
    <w:rsid w:val="008A542A"/>
    <w:pPr>
      <w:keepNext/>
      <w:numPr>
        <w:ilvl w:val="3"/>
        <w:numId w:val="9"/>
      </w:numPr>
      <w:tabs>
        <w:tab w:val="left" w:pos="851"/>
      </w:tabs>
      <w:spacing w:before="240"/>
      <w:jc w:val="both"/>
      <w:outlineLvl w:val="3"/>
    </w:pPr>
    <w:rPr>
      <w:rFonts w:ascii="Georgia" w:hAnsi="Georgia" w:cs="Calibri"/>
      <w:color w:val="014171"/>
      <w:szCs w:val="24"/>
    </w:rPr>
  </w:style>
  <w:style w:type="paragraph" w:styleId="Heading5">
    <w:name w:val="heading 5"/>
    <w:basedOn w:val="Normal"/>
    <w:next w:val="Normal"/>
    <w:link w:val="Heading5Char"/>
    <w:qFormat/>
    <w:rsid w:val="00974482"/>
    <w:pPr>
      <w:keepNext/>
      <w:numPr>
        <w:ilvl w:val="4"/>
        <w:numId w:val="9"/>
      </w:numPr>
      <w:jc w:val="both"/>
      <w:outlineLvl w:val="4"/>
    </w:pPr>
    <w:rPr>
      <w:rFonts w:ascii="Arial" w:hAnsi="Arial" w:cs="Arial"/>
      <w:b/>
      <w:i/>
    </w:rPr>
  </w:style>
  <w:style w:type="paragraph" w:styleId="Heading6">
    <w:name w:val="heading 6"/>
    <w:basedOn w:val="Normal"/>
    <w:next w:val="Normal"/>
    <w:link w:val="Heading6Char"/>
    <w:qFormat/>
    <w:rsid w:val="00974482"/>
    <w:pPr>
      <w:keepNext/>
      <w:numPr>
        <w:ilvl w:val="5"/>
        <w:numId w:val="9"/>
      </w:numPr>
      <w:spacing w:before="240"/>
      <w:jc w:val="both"/>
      <w:outlineLvl w:val="5"/>
    </w:pPr>
    <w:rPr>
      <w:rFonts w:ascii="Arial" w:hAnsi="Arial" w:cs="Arial"/>
      <w:b/>
      <w:i/>
      <w:color w:val="002060"/>
      <w:u w:val="single"/>
      <w:lang w:val="en-US"/>
    </w:rPr>
  </w:style>
  <w:style w:type="paragraph" w:styleId="Heading7">
    <w:name w:val="heading 7"/>
    <w:basedOn w:val="Normal"/>
    <w:next w:val="Normal"/>
    <w:link w:val="Heading7Char"/>
    <w:qFormat/>
    <w:rsid w:val="00974482"/>
    <w:pPr>
      <w:keepNext/>
      <w:numPr>
        <w:ilvl w:val="6"/>
        <w:numId w:val="9"/>
      </w:numPr>
      <w:jc w:val="both"/>
      <w:outlineLvl w:val="6"/>
    </w:pPr>
    <w:rPr>
      <w:rFonts w:ascii="Arial" w:hAnsi="Arial" w:cs="Arial"/>
      <w:b/>
    </w:rPr>
  </w:style>
  <w:style w:type="paragraph" w:styleId="Heading8">
    <w:name w:val="heading 8"/>
    <w:basedOn w:val="Normal"/>
    <w:next w:val="Normal"/>
    <w:link w:val="Heading8Char"/>
    <w:qFormat/>
    <w:rsid w:val="00974482"/>
    <w:pPr>
      <w:keepNext/>
      <w:numPr>
        <w:ilvl w:val="7"/>
        <w:numId w:val="9"/>
      </w:numPr>
      <w:jc w:val="right"/>
      <w:outlineLvl w:val="7"/>
    </w:pPr>
    <w:rPr>
      <w:rFonts w:ascii="Arial Narrow" w:hAnsi="Arial Narrow" w:cs="Arial"/>
      <w:b/>
    </w:rPr>
  </w:style>
  <w:style w:type="paragraph" w:styleId="Heading9">
    <w:name w:val="heading 9"/>
    <w:basedOn w:val="Normal"/>
    <w:next w:val="Normal"/>
    <w:link w:val="Heading9Char"/>
    <w:qFormat/>
    <w:rsid w:val="00974482"/>
    <w:pPr>
      <w:keepNext/>
      <w:numPr>
        <w:ilvl w:val="8"/>
        <w:numId w:val="9"/>
      </w:numPr>
      <w:jc w:val="both"/>
      <w:outlineLvl w:val="8"/>
    </w:pPr>
    <w:rPr>
      <w:rFonts w:ascii="Bookman" w:hAnsi="Bookman"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D32"/>
    <w:rPr>
      <w:rFonts w:ascii="Georgia" w:hAnsi="Georgia" w:cs="Arial"/>
      <w:b/>
      <w:color w:val="014171"/>
      <w:sz w:val="32"/>
      <w:szCs w:val="40"/>
      <w:lang w:eastAsia="en-US"/>
    </w:rPr>
  </w:style>
  <w:style w:type="character" w:customStyle="1" w:styleId="Heading2Char">
    <w:name w:val="Heading 2 Char"/>
    <w:basedOn w:val="DefaultParagraphFont"/>
    <w:link w:val="Heading2"/>
    <w:rsid w:val="00A22D32"/>
    <w:rPr>
      <w:rFonts w:ascii="Georgia" w:hAnsi="Georgia" w:cs="Calibri"/>
      <w:b/>
      <w:bCs/>
      <w:color w:val="014171"/>
      <w:sz w:val="24"/>
      <w:szCs w:val="24"/>
      <w:lang w:eastAsia="en-US"/>
    </w:rPr>
  </w:style>
  <w:style w:type="character" w:customStyle="1" w:styleId="Heading3Char">
    <w:name w:val="Heading 3 Char"/>
    <w:basedOn w:val="DefaultParagraphFont"/>
    <w:link w:val="Heading3"/>
    <w:rsid w:val="008A542A"/>
    <w:rPr>
      <w:rFonts w:ascii="Georgia" w:hAnsi="Georgia" w:cs="Calibri"/>
      <w:b/>
      <w:color w:val="014171"/>
      <w:sz w:val="22"/>
      <w:szCs w:val="24"/>
      <w:lang w:eastAsia="en-US"/>
    </w:rPr>
  </w:style>
  <w:style w:type="character" w:customStyle="1" w:styleId="Heading4Char">
    <w:name w:val="Heading 4 Char"/>
    <w:basedOn w:val="DefaultParagraphFont"/>
    <w:link w:val="Heading4"/>
    <w:rsid w:val="008A542A"/>
    <w:rPr>
      <w:rFonts w:ascii="Georgia" w:hAnsi="Georgia" w:cs="Calibri"/>
      <w:color w:val="014171"/>
      <w:sz w:val="22"/>
      <w:szCs w:val="24"/>
      <w:lang w:eastAsia="en-US"/>
    </w:rPr>
  </w:style>
  <w:style w:type="character" w:customStyle="1" w:styleId="Heading5Char">
    <w:name w:val="Heading 5 Char"/>
    <w:basedOn w:val="DefaultParagraphFont"/>
    <w:link w:val="Heading5"/>
    <w:rsid w:val="00974482"/>
    <w:rPr>
      <w:rFonts w:ascii="Arial" w:hAnsi="Arial" w:cs="Arial"/>
      <w:b/>
      <w:i/>
      <w:sz w:val="22"/>
      <w:szCs w:val="22"/>
      <w:lang w:eastAsia="en-US"/>
    </w:rPr>
  </w:style>
  <w:style w:type="character" w:customStyle="1" w:styleId="Heading6Char">
    <w:name w:val="Heading 6 Char"/>
    <w:basedOn w:val="DefaultParagraphFont"/>
    <w:link w:val="Heading6"/>
    <w:rsid w:val="00974482"/>
    <w:rPr>
      <w:rFonts w:ascii="Arial" w:hAnsi="Arial" w:cs="Arial"/>
      <w:b/>
      <w:i/>
      <w:color w:val="002060"/>
      <w:sz w:val="22"/>
      <w:szCs w:val="22"/>
      <w:u w:val="single"/>
      <w:lang w:val="en-US" w:eastAsia="en-US"/>
    </w:rPr>
  </w:style>
  <w:style w:type="character" w:customStyle="1" w:styleId="Heading7Char">
    <w:name w:val="Heading 7 Char"/>
    <w:basedOn w:val="DefaultParagraphFont"/>
    <w:link w:val="Heading7"/>
    <w:rsid w:val="00974482"/>
    <w:rPr>
      <w:rFonts w:ascii="Arial" w:hAnsi="Arial" w:cs="Arial"/>
      <w:b/>
      <w:sz w:val="22"/>
      <w:szCs w:val="22"/>
      <w:lang w:eastAsia="en-US"/>
    </w:rPr>
  </w:style>
  <w:style w:type="character" w:customStyle="1" w:styleId="Heading8Char">
    <w:name w:val="Heading 8 Char"/>
    <w:basedOn w:val="DefaultParagraphFont"/>
    <w:link w:val="Heading8"/>
    <w:rsid w:val="00974482"/>
    <w:rPr>
      <w:rFonts w:ascii="Arial Narrow" w:hAnsi="Arial Narrow" w:cs="Arial"/>
      <w:b/>
      <w:sz w:val="22"/>
      <w:szCs w:val="22"/>
      <w:lang w:eastAsia="en-US"/>
    </w:rPr>
  </w:style>
  <w:style w:type="character" w:customStyle="1" w:styleId="Heading9Char">
    <w:name w:val="Heading 9 Char"/>
    <w:basedOn w:val="DefaultParagraphFont"/>
    <w:link w:val="Heading9"/>
    <w:rsid w:val="00974482"/>
    <w:rPr>
      <w:rFonts w:ascii="Bookman" w:hAnsi="Bookman" w:cs="Arial"/>
      <w:sz w:val="22"/>
      <w:szCs w:val="22"/>
      <w:u w:val="single"/>
      <w:lang w:eastAsia="en-US"/>
    </w:rPr>
  </w:style>
  <w:style w:type="character" w:styleId="Hyperlink">
    <w:name w:val="Hyperlink"/>
    <w:uiPriority w:val="99"/>
    <w:unhideWhenUsed/>
    <w:rsid w:val="00974482"/>
    <w:rPr>
      <w:color w:val="0000FF"/>
      <w:u w:val="single"/>
    </w:rPr>
  </w:style>
  <w:style w:type="paragraph" w:styleId="ListParagraph">
    <w:name w:val="List Paragraph"/>
    <w:basedOn w:val="Normal"/>
    <w:link w:val="ListParagraphChar"/>
    <w:uiPriority w:val="34"/>
    <w:qFormat/>
    <w:rsid w:val="00974482"/>
    <w:pPr>
      <w:ind w:left="720"/>
    </w:pPr>
    <w:rPr>
      <w:rFonts w:ascii="Arial" w:hAnsi="Arial" w:cs="Arial"/>
      <w:lang w:eastAsia="ja-JP"/>
    </w:rPr>
  </w:style>
  <w:style w:type="paragraph" w:styleId="FootnoteText">
    <w:name w:val="footnote text"/>
    <w:basedOn w:val="Normal"/>
    <w:link w:val="FootnoteTextChar"/>
    <w:uiPriority w:val="99"/>
    <w:rsid w:val="00DA09F2"/>
    <w:pPr>
      <w:overflowPunct w:val="0"/>
      <w:autoSpaceDE w:val="0"/>
      <w:autoSpaceDN w:val="0"/>
      <w:adjustRightInd w:val="0"/>
      <w:spacing w:before="120" w:after="120"/>
      <w:jc w:val="both"/>
      <w:textAlignment w:val="baseline"/>
    </w:pPr>
    <w:rPr>
      <w:rFonts w:eastAsia="MS Mincho" w:cs="Arial"/>
      <w:i/>
      <w:sz w:val="18"/>
      <w:szCs w:val="20"/>
    </w:rPr>
  </w:style>
  <w:style w:type="character" w:customStyle="1" w:styleId="FootnoteTextChar">
    <w:name w:val="Footnote Text Char"/>
    <w:basedOn w:val="DefaultParagraphFont"/>
    <w:link w:val="FootnoteText"/>
    <w:uiPriority w:val="99"/>
    <w:rsid w:val="00DA09F2"/>
    <w:rPr>
      <w:rFonts w:eastAsia="MS Mincho" w:cs="Arial"/>
      <w:i/>
      <w:sz w:val="18"/>
      <w:lang w:eastAsia="en-US"/>
    </w:rPr>
  </w:style>
  <w:style w:type="character" w:styleId="FootnoteReference">
    <w:name w:val="footnote reference"/>
    <w:uiPriority w:val="99"/>
    <w:rsid w:val="00974482"/>
    <w:rPr>
      <w:vertAlign w:val="superscript"/>
    </w:rPr>
  </w:style>
  <w:style w:type="paragraph" w:styleId="BodyText">
    <w:name w:val="Body Text"/>
    <w:basedOn w:val="Normal"/>
    <w:link w:val="BodyTextChar"/>
    <w:unhideWhenUsed/>
    <w:rsid w:val="00974482"/>
    <w:pPr>
      <w:spacing w:after="120"/>
    </w:pPr>
  </w:style>
  <w:style w:type="character" w:customStyle="1" w:styleId="BodyTextChar">
    <w:name w:val="Body Text Char"/>
    <w:basedOn w:val="DefaultParagraphFont"/>
    <w:link w:val="BodyText"/>
    <w:rsid w:val="00974482"/>
    <w:rPr>
      <w:sz w:val="22"/>
      <w:szCs w:val="22"/>
      <w:lang w:eastAsia="en-US"/>
    </w:rPr>
  </w:style>
  <w:style w:type="paragraph" w:customStyle="1" w:styleId="Daiwabullet">
    <w:name w:val="Daiwa_bullet"/>
    <w:basedOn w:val="Normal"/>
    <w:next w:val="Normal"/>
    <w:link w:val="DaiwabulletChar"/>
    <w:qFormat/>
    <w:rsid w:val="00974482"/>
    <w:pPr>
      <w:numPr>
        <w:numId w:val="1"/>
      </w:numPr>
      <w:tabs>
        <w:tab w:val="left" w:pos="284"/>
      </w:tabs>
      <w:spacing w:after="0" w:line="300" w:lineRule="auto"/>
      <w:ind w:left="284" w:hanging="284"/>
    </w:pPr>
    <w:rPr>
      <w:rFonts w:ascii="Arial" w:hAnsi="Arial" w:cs="Arial"/>
    </w:rPr>
  </w:style>
  <w:style w:type="paragraph" w:styleId="Caption">
    <w:name w:val="caption"/>
    <w:basedOn w:val="Normal"/>
    <w:next w:val="Normal"/>
    <w:unhideWhenUsed/>
    <w:qFormat/>
    <w:rsid w:val="00C36000"/>
    <w:pPr>
      <w:overflowPunct w:val="0"/>
      <w:autoSpaceDE w:val="0"/>
      <w:autoSpaceDN w:val="0"/>
      <w:adjustRightInd w:val="0"/>
      <w:spacing w:after="0" w:line="240" w:lineRule="auto"/>
      <w:ind w:left="284"/>
      <w:jc w:val="center"/>
      <w:textAlignment w:val="baseline"/>
    </w:pPr>
    <w:rPr>
      <w:rFonts w:eastAsia="MS Mincho" w:cs="Calibri"/>
      <w:b/>
      <w:bCs/>
      <w:sz w:val="20"/>
      <w:szCs w:val="20"/>
    </w:rPr>
  </w:style>
  <w:style w:type="paragraph" w:customStyle="1" w:styleId="xl27">
    <w:name w:val="xl27"/>
    <w:basedOn w:val="Normal"/>
    <w:rsid w:val="00974482"/>
    <w:pPr>
      <w:overflowPunct w:val="0"/>
      <w:autoSpaceDE w:val="0"/>
      <w:autoSpaceDN w:val="0"/>
      <w:adjustRightInd w:val="0"/>
      <w:spacing w:before="100" w:beforeAutospacing="1" w:after="100" w:afterAutospacing="1"/>
      <w:jc w:val="right"/>
      <w:textAlignment w:val="baseline"/>
    </w:pPr>
    <w:rPr>
      <w:rFonts w:ascii="Arial" w:eastAsia="Arial Unicode MS" w:hAnsi="Arial" w:cs="Arial"/>
      <w:b/>
      <w:bCs/>
      <w:sz w:val="14"/>
      <w:szCs w:val="14"/>
    </w:rPr>
  </w:style>
  <w:style w:type="paragraph" w:customStyle="1" w:styleId="Daiwabody">
    <w:name w:val="Daiwa_body"/>
    <w:basedOn w:val="Normal"/>
    <w:link w:val="DaiwabodyChar"/>
    <w:qFormat/>
    <w:rsid w:val="00974482"/>
    <w:pPr>
      <w:spacing w:line="300" w:lineRule="auto"/>
    </w:pPr>
    <w:rPr>
      <w:rFonts w:ascii="Arial" w:hAnsi="Arial" w:cs="Arial"/>
    </w:rPr>
  </w:style>
  <w:style w:type="character" w:customStyle="1" w:styleId="DaiwabodyChar">
    <w:name w:val="Daiwa_body Char"/>
    <w:link w:val="Daiwabody"/>
    <w:rsid w:val="00974482"/>
    <w:rPr>
      <w:rFonts w:ascii="Arial" w:hAnsi="Arial" w:cs="Arial"/>
      <w:sz w:val="22"/>
      <w:szCs w:val="22"/>
      <w:lang w:eastAsia="en-US"/>
    </w:rPr>
  </w:style>
  <w:style w:type="paragraph" w:styleId="Header">
    <w:name w:val="header"/>
    <w:basedOn w:val="Normal"/>
    <w:link w:val="HeaderChar"/>
    <w:unhideWhenUsed/>
    <w:rsid w:val="00D8364E"/>
    <w:pPr>
      <w:tabs>
        <w:tab w:val="center" w:pos="4513"/>
        <w:tab w:val="right" w:pos="9026"/>
      </w:tabs>
      <w:spacing w:after="0" w:line="240" w:lineRule="auto"/>
    </w:pPr>
    <w:rPr>
      <w:rFonts w:asciiTheme="minorBidi" w:eastAsiaTheme="minorHAnsi" w:hAnsiTheme="minorBidi" w:cstheme="minorBidi"/>
    </w:rPr>
  </w:style>
  <w:style w:type="character" w:customStyle="1" w:styleId="HeaderChar">
    <w:name w:val="Header Char"/>
    <w:basedOn w:val="DefaultParagraphFont"/>
    <w:link w:val="Header"/>
    <w:rsid w:val="00D8364E"/>
    <w:rPr>
      <w:rFonts w:asciiTheme="minorBidi" w:eastAsiaTheme="minorHAnsi" w:hAnsiTheme="minorBidi" w:cstheme="minorBidi"/>
      <w:sz w:val="22"/>
      <w:szCs w:val="22"/>
      <w:lang w:eastAsia="en-US"/>
    </w:rPr>
  </w:style>
  <w:style w:type="paragraph" w:styleId="Footer">
    <w:name w:val="footer"/>
    <w:basedOn w:val="Normal"/>
    <w:link w:val="FooterChar"/>
    <w:uiPriority w:val="99"/>
    <w:unhideWhenUsed/>
    <w:rsid w:val="00D8364E"/>
    <w:pPr>
      <w:tabs>
        <w:tab w:val="center" w:pos="4513"/>
        <w:tab w:val="right" w:pos="9026"/>
      </w:tabs>
      <w:spacing w:after="0" w:line="240" w:lineRule="auto"/>
    </w:pPr>
    <w:rPr>
      <w:rFonts w:asciiTheme="minorBidi" w:eastAsiaTheme="minorHAnsi" w:hAnsiTheme="minorBidi" w:cstheme="minorBidi"/>
    </w:rPr>
  </w:style>
  <w:style w:type="character" w:customStyle="1" w:styleId="FooterChar">
    <w:name w:val="Footer Char"/>
    <w:basedOn w:val="DefaultParagraphFont"/>
    <w:link w:val="Footer"/>
    <w:uiPriority w:val="99"/>
    <w:rsid w:val="00D8364E"/>
    <w:rPr>
      <w:rFonts w:asciiTheme="minorBidi" w:eastAsiaTheme="minorHAnsi" w:hAnsiTheme="minorBidi" w:cstheme="minorBidi"/>
      <w:sz w:val="22"/>
      <w:szCs w:val="22"/>
      <w:lang w:eastAsia="en-US"/>
    </w:rPr>
  </w:style>
  <w:style w:type="paragraph" w:styleId="BalloonText">
    <w:name w:val="Balloon Text"/>
    <w:basedOn w:val="Normal"/>
    <w:link w:val="BalloonTextChar"/>
    <w:unhideWhenUsed/>
    <w:rsid w:val="00D8364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rsid w:val="00D8364E"/>
    <w:rPr>
      <w:rFonts w:ascii="Tahoma" w:eastAsiaTheme="minorHAnsi" w:hAnsi="Tahoma" w:cs="Tahoma"/>
      <w:sz w:val="16"/>
      <w:szCs w:val="16"/>
      <w:lang w:eastAsia="en-US"/>
    </w:rPr>
  </w:style>
  <w:style w:type="paragraph" w:styleId="NormalWeb">
    <w:name w:val="Normal (Web)"/>
    <w:basedOn w:val="Normal"/>
    <w:uiPriority w:val="99"/>
    <w:unhideWhenUsed/>
    <w:rsid w:val="00D8364E"/>
    <w:pPr>
      <w:spacing w:before="100" w:beforeAutospacing="1" w:after="100" w:afterAutospacing="1" w:line="240" w:lineRule="auto"/>
    </w:pPr>
    <w:rPr>
      <w:rFonts w:ascii="Times New Roman" w:eastAsia="MS Mincho" w:hAnsi="Times New Roman"/>
      <w:sz w:val="24"/>
      <w:szCs w:val="24"/>
      <w:lang w:eastAsia="ja-JP"/>
    </w:rPr>
  </w:style>
  <w:style w:type="paragraph" w:styleId="NoSpacing">
    <w:name w:val="No Spacing"/>
    <w:link w:val="NoSpacingChar"/>
    <w:uiPriority w:val="1"/>
    <w:qFormat/>
    <w:rsid w:val="00D8364E"/>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8364E"/>
    <w:rPr>
      <w:rFonts w:asciiTheme="minorHAnsi" w:eastAsiaTheme="minorEastAsia" w:hAnsiTheme="minorHAnsi" w:cstheme="minorBidi"/>
      <w:sz w:val="22"/>
      <w:szCs w:val="22"/>
      <w:lang w:val="en-US" w:eastAsia="ja-JP"/>
    </w:rPr>
  </w:style>
  <w:style w:type="paragraph" w:customStyle="1" w:styleId="DaiwaHeading1">
    <w:name w:val="Daiwa_Heading_1"/>
    <w:basedOn w:val="Normal"/>
    <w:link w:val="DaiwaHeading1Char"/>
    <w:qFormat/>
    <w:rsid w:val="00D8364E"/>
    <w:pPr>
      <w:tabs>
        <w:tab w:val="left" w:pos="1725"/>
      </w:tabs>
      <w:spacing w:after="400"/>
    </w:pPr>
    <w:rPr>
      <w:rFonts w:asciiTheme="minorBidi" w:eastAsiaTheme="minorHAnsi" w:hAnsiTheme="minorBidi" w:cstheme="minorBidi"/>
      <w:color w:val="014171"/>
      <w:sz w:val="40"/>
      <w:szCs w:val="40"/>
    </w:rPr>
  </w:style>
  <w:style w:type="paragraph" w:styleId="TOC2">
    <w:name w:val="toc 2"/>
    <w:basedOn w:val="Normal"/>
    <w:next w:val="Normal"/>
    <w:autoRedefine/>
    <w:uiPriority w:val="39"/>
    <w:unhideWhenUsed/>
    <w:rsid w:val="00E14FD6"/>
    <w:pPr>
      <w:tabs>
        <w:tab w:val="left" w:pos="1080"/>
        <w:tab w:val="right" w:leader="dot" w:pos="9016"/>
      </w:tabs>
      <w:spacing w:after="0" w:line="240" w:lineRule="auto"/>
      <w:ind w:left="896" w:hanging="539"/>
    </w:pPr>
    <w:rPr>
      <w:rFonts w:asciiTheme="minorHAnsi" w:eastAsiaTheme="minorHAnsi" w:hAnsiTheme="minorHAnsi" w:cstheme="minorHAnsi"/>
      <w:sz w:val="20"/>
    </w:rPr>
  </w:style>
  <w:style w:type="character" w:customStyle="1" w:styleId="DaiwaHeading1Char">
    <w:name w:val="Daiwa_Heading_1 Char"/>
    <w:basedOn w:val="DefaultParagraphFont"/>
    <w:link w:val="DaiwaHeading1"/>
    <w:rsid w:val="00D8364E"/>
    <w:rPr>
      <w:rFonts w:asciiTheme="minorBidi" w:eastAsiaTheme="minorHAnsi" w:hAnsiTheme="minorBidi" w:cstheme="minorBidi"/>
      <w:color w:val="014171"/>
      <w:sz w:val="40"/>
      <w:szCs w:val="40"/>
      <w:lang w:eastAsia="en-US"/>
    </w:rPr>
  </w:style>
  <w:style w:type="paragraph" w:customStyle="1" w:styleId="Daiwaheading2">
    <w:name w:val="Daiwa_heading 2"/>
    <w:basedOn w:val="Daiwabody"/>
    <w:link w:val="Daiwaheading2Char"/>
    <w:qFormat/>
    <w:rsid w:val="00D8364E"/>
    <w:pPr>
      <w:spacing w:after="120"/>
    </w:pPr>
    <w:rPr>
      <w:rFonts w:asciiTheme="minorBidi" w:eastAsiaTheme="minorHAnsi" w:hAnsiTheme="minorBidi" w:cstheme="minorBidi"/>
      <w:b/>
      <w:bCs/>
      <w:color w:val="014171"/>
    </w:rPr>
  </w:style>
  <w:style w:type="paragraph" w:customStyle="1" w:styleId="Daiwaheading3">
    <w:name w:val="Daiwa_heading_3"/>
    <w:basedOn w:val="Daiwaheading2"/>
    <w:link w:val="Daiwaheading3Char"/>
    <w:qFormat/>
    <w:rsid w:val="00D8364E"/>
    <w:rPr>
      <w:b w:val="0"/>
      <w:bCs w:val="0"/>
    </w:rPr>
  </w:style>
  <w:style w:type="character" w:customStyle="1" w:styleId="Daiwaheading2Char">
    <w:name w:val="Daiwa_heading 2 Char"/>
    <w:basedOn w:val="DaiwabodyChar"/>
    <w:link w:val="Daiwaheading2"/>
    <w:rsid w:val="00D8364E"/>
    <w:rPr>
      <w:rFonts w:asciiTheme="minorBidi" w:eastAsiaTheme="minorHAnsi" w:hAnsiTheme="minorBidi" w:cstheme="minorBidi"/>
      <w:b/>
      <w:bCs/>
      <w:color w:val="014171"/>
      <w:sz w:val="22"/>
      <w:szCs w:val="22"/>
      <w:lang w:eastAsia="en-US"/>
    </w:rPr>
  </w:style>
  <w:style w:type="paragraph" w:customStyle="1" w:styleId="Daiwaheading4">
    <w:name w:val="Daiwa_heading_4"/>
    <w:basedOn w:val="Daiwaheading3"/>
    <w:link w:val="Daiwaheading4Char"/>
    <w:qFormat/>
    <w:rsid w:val="00D8364E"/>
    <w:rPr>
      <w:i/>
      <w:iCs/>
    </w:rPr>
  </w:style>
  <w:style w:type="character" w:customStyle="1" w:styleId="Daiwaheading3Char">
    <w:name w:val="Daiwa_heading_3 Char"/>
    <w:basedOn w:val="Daiwaheading2Char"/>
    <w:link w:val="Daiwaheading3"/>
    <w:rsid w:val="00D8364E"/>
    <w:rPr>
      <w:rFonts w:asciiTheme="minorBidi" w:eastAsiaTheme="minorHAnsi" w:hAnsiTheme="minorBidi" w:cstheme="minorBidi"/>
      <w:b w:val="0"/>
      <w:bCs w:val="0"/>
      <w:color w:val="014171"/>
      <w:sz w:val="22"/>
      <w:szCs w:val="22"/>
      <w:lang w:eastAsia="en-US"/>
    </w:rPr>
  </w:style>
  <w:style w:type="character" w:customStyle="1" w:styleId="Daiwaheading4Char">
    <w:name w:val="Daiwa_heading_4 Char"/>
    <w:basedOn w:val="Daiwaheading3Char"/>
    <w:link w:val="Daiwaheading4"/>
    <w:rsid w:val="00D8364E"/>
    <w:rPr>
      <w:rFonts w:asciiTheme="minorBidi" w:eastAsiaTheme="minorHAnsi" w:hAnsiTheme="minorBidi" w:cstheme="minorBidi"/>
      <w:b w:val="0"/>
      <w:bCs w:val="0"/>
      <w:i/>
      <w:iCs/>
      <w:color w:val="014171"/>
      <w:sz w:val="22"/>
      <w:szCs w:val="22"/>
      <w:lang w:eastAsia="en-US"/>
    </w:rPr>
  </w:style>
  <w:style w:type="paragraph" w:customStyle="1" w:styleId="Daiwasubbullet">
    <w:name w:val="Daiwa_sub_bullet"/>
    <w:basedOn w:val="Daiwabody"/>
    <w:link w:val="DaiwasubbulletChar"/>
    <w:qFormat/>
    <w:rsid w:val="00D8364E"/>
    <w:pPr>
      <w:numPr>
        <w:numId w:val="2"/>
      </w:numPr>
      <w:tabs>
        <w:tab w:val="left" w:pos="284"/>
      </w:tabs>
      <w:spacing w:after="0"/>
      <w:ind w:left="568" w:hanging="284"/>
    </w:pPr>
    <w:rPr>
      <w:rFonts w:asciiTheme="minorBidi" w:eastAsiaTheme="minorHAnsi" w:hAnsiTheme="minorBidi" w:cstheme="minorBidi"/>
    </w:rPr>
  </w:style>
  <w:style w:type="character" w:customStyle="1" w:styleId="DaiwabulletChar">
    <w:name w:val="Daiwa_bullet Char"/>
    <w:basedOn w:val="DaiwabodyChar"/>
    <w:link w:val="Daiwabullet"/>
    <w:rsid w:val="00D8364E"/>
    <w:rPr>
      <w:rFonts w:ascii="Arial" w:hAnsi="Arial" w:cs="Arial"/>
      <w:sz w:val="22"/>
      <w:szCs w:val="22"/>
      <w:lang w:eastAsia="en-US"/>
    </w:rPr>
  </w:style>
  <w:style w:type="table" w:styleId="TableGrid">
    <w:name w:val="Table Grid"/>
    <w:basedOn w:val="TableNormal"/>
    <w:uiPriority w:val="39"/>
    <w:rsid w:val="00D836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iwasubbulletChar">
    <w:name w:val="Daiwa_sub_bullet Char"/>
    <w:basedOn w:val="DaiwabodyChar"/>
    <w:link w:val="Daiwasubbullet"/>
    <w:rsid w:val="00D8364E"/>
    <w:rPr>
      <w:rFonts w:asciiTheme="minorBidi" w:eastAsiaTheme="minorHAnsi" w:hAnsiTheme="minorBidi" w:cstheme="minorBidi"/>
      <w:sz w:val="22"/>
      <w:szCs w:val="22"/>
      <w:lang w:eastAsia="en-US"/>
    </w:rPr>
  </w:style>
  <w:style w:type="paragraph" w:customStyle="1" w:styleId="DaiwaTableText">
    <w:name w:val="Daiwa_Table_Text"/>
    <w:basedOn w:val="Daiwabody"/>
    <w:qFormat/>
    <w:rsid w:val="00D8364E"/>
    <w:pPr>
      <w:spacing w:after="0"/>
    </w:pPr>
    <w:rPr>
      <w:rFonts w:asciiTheme="minorBidi" w:eastAsiaTheme="minorHAnsi" w:hAnsiTheme="minorBidi" w:cstheme="minorBidi"/>
      <w:sz w:val="18"/>
      <w:szCs w:val="18"/>
    </w:rPr>
  </w:style>
  <w:style w:type="paragraph" w:customStyle="1" w:styleId="DaiwaTableHeading">
    <w:name w:val="Daiwa_Table_Heading"/>
    <w:basedOn w:val="Daiwabody"/>
    <w:qFormat/>
    <w:rsid w:val="00D8364E"/>
    <w:pPr>
      <w:spacing w:after="0"/>
    </w:pPr>
    <w:rPr>
      <w:rFonts w:asciiTheme="minorBidi" w:eastAsiaTheme="minorHAnsi" w:hAnsiTheme="minorBidi" w:cstheme="minorBidi"/>
      <w:b/>
      <w:bCs/>
      <w:sz w:val="18"/>
      <w:szCs w:val="18"/>
    </w:rPr>
  </w:style>
  <w:style w:type="paragraph" w:customStyle="1" w:styleId="DaiwaColumnHeading">
    <w:name w:val="Daiwa_Column Heading"/>
    <w:basedOn w:val="Daiwaheading2"/>
    <w:link w:val="DaiwaColumnHeadingChar"/>
    <w:qFormat/>
    <w:rsid w:val="00D8364E"/>
    <w:pPr>
      <w:pBdr>
        <w:bottom w:val="single" w:sz="4" w:space="1" w:color="014171"/>
      </w:pBdr>
      <w:spacing w:before="1120"/>
    </w:pPr>
    <w:rPr>
      <w:b w:val="0"/>
      <w:caps/>
    </w:rPr>
  </w:style>
  <w:style w:type="paragraph" w:customStyle="1" w:styleId="DaiwaColumnText">
    <w:name w:val="Daiwa_Column_Text"/>
    <w:basedOn w:val="Daiwabody"/>
    <w:link w:val="DaiwaColumnTextChar"/>
    <w:qFormat/>
    <w:rsid w:val="00D8364E"/>
    <w:rPr>
      <w:rFonts w:asciiTheme="minorBidi" w:eastAsiaTheme="minorHAnsi" w:hAnsiTheme="minorBidi" w:cstheme="minorBidi"/>
      <w:sz w:val="18"/>
      <w:szCs w:val="18"/>
    </w:rPr>
  </w:style>
  <w:style w:type="character" w:customStyle="1" w:styleId="DaiwaColumnHeadingChar">
    <w:name w:val="Daiwa_Column Heading Char"/>
    <w:basedOn w:val="Daiwaheading2Char"/>
    <w:link w:val="DaiwaColumnHeading"/>
    <w:rsid w:val="00D8364E"/>
    <w:rPr>
      <w:rFonts w:asciiTheme="minorBidi" w:eastAsiaTheme="minorHAnsi" w:hAnsiTheme="minorBidi" w:cstheme="minorBidi"/>
      <w:b w:val="0"/>
      <w:bCs/>
      <w:caps/>
      <w:color w:val="014171"/>
      <w:sz w:val="22"/>
      <w:szCs w:val="22"/>
      <w:lang w:eastAsia="en-US"/>
    </w:rPr>
  </w:style>
  <w:style w:type="character" w:customStyle="1" w:styleId="DaiwaColumnTextChar">
    <w:name w:val="Daiwa_Column_Text Char"/>
    <w:basedOn w:val="DaiwabodyChar"/>
    <w:link w:val="DaiwaColumnText"/>
    <w:rsid w:val="00D8364E"/>
    <w:rPr>
      <w:rFonts w:asciiTheme="minorBidi" w:eastAsiaTheme="minorHAnsi" w:hAnsiTheme="minorBidi" w:cstheme="minorBidi"/>
      <w:sz w:val="18"/>
      <w:szCs w:val="18"/>
      <w:lang w:eastAsia="en-US"/>
    </w:rPr>
  </w:style>
  <w:style w:type="paragraph" w:styleId="TOC1">
    <w:name w:val="toc 1"/>
    <w:basedOn w:val="Normal"/>
    <w:next w:val="Normal"/>
    <w:autoRedefine/>
    <w:uiPriority w:val="39"/>
    <w:unhideWhenUsed/>
    <w:rsid w:val="000D32AD"/>
    <w:pPr>
      <w:tabs>
        <w:tab w:val="left" w:pos="900"/>
        <w:tab w:val="right" w:leader="dot" w:pos="9016"/>
      </w:tabs>
      <w:spacing w:after="0" w:line="240" w:lineRule="auto"/>
    </w:pPr>
    <w:rPr>
      <w:rFonts w:asciiTheme="minorHAnsi" w:eastAsiaTheme="minorHAnsi" w:hAnsiTheme="minorHAnsi" w:cstheme="minorBidi"/>
      <w:b/>
    </w:rPr>
  </w:style>
  <w:style w:type="paragraph" w:styleId="ListBullet3">
    <w:name w:val="List Bullet 3"/>
    <w:basedOn w:val="Normal"/>
    <w:rsid w:val="00D8364E"/>
    <w:pPr>
      <w:numPr>
        <w:numId w:val="3"/>
      </w:numPr>
      <w:jc w:val="both"/>
    </w:pPr>
    <w:rPr>
      <w:rFonts w:ascii="Arial" w:hAnsi="Arial" w:cs="Arial"/>
    </w:rPr>
  </w:style>
  <w:style w:type="paragraph" w:customStyle="1" w:styleId="TableContent">
    <w:name w:val="TableContent"/>
    <w:basedOn w:val="Normal"/>
    <w:link w:val="TableContentChar"/>
    <w:qFormat/>
    <w:rsid w:val="00D8364E"/>
    <w:pPr>
      <w:keepNext/>
      <w:overflowPunct w:val="0"/>
      <w:autoSpaceDE w:val="0"/>
      <w:autoSpaceDN w:val="0"/>
      <w:adjustRightInd w:val="0"/>
      <w:spacing w:before="120" w:after="0"/>
      <w:ind w:left="23"/>
      <w:jc w:val="right"/>
      <w:textAlignment w:val="baseline"/>
    </w:pPr>
    <w:rPr>
      <w:rFonts w:eastAsia="MS Mincho" w:cs="Arial"/>
      <w:sz w:val="18"/>
      <w:szCs w:val="20"/>
    </w:rPr>
  </w:style>
  <w:style w:type="character" w:customStyle="1" w:styleId="TableContentChar">
    <w:name w:val="TableContent Char"/>
    <w:link w:val="TableContent"/>
    <w:rsid w:val="00D8364E"/>
    <w:rPr>
      <w:rFonts w:eastAsia="MS Mincho" w:cs="Arial"/>
      <w:sz w:val="18"/>
      <w:lang w:eastAsia="en-US"/>
    </w:rPr>
  </w:style>
  <w:style w:type="paragraph" w:customStyle="1" w:styleId="TableHeading">
    <w:name w:val="TableHeading"/>
    <w:basedOn w:val="Normal"/>
    <w:link w:val="TableHeadingChar"/>
    <w:qFormat/>
    <w:rsid w:val="00D8364E"/>
    <w:pPr>
      <w:overflowPunct w:val="0"/>
      <w:autoSpaceDE w:val="0"/>
      <w:autoSpaceDN w:val="0"/>
      <w:adjustRightInd w:val="0"/>
      <w:spacing w:before="120" w:after="0"/>
      <w:ind w:firstLine="34"/>
      <w:jc w:val="both"/>
      <w:textAlignment w:val="baseline"/>
    </w:pPr>
    <w:rPr>
      <w:rFonts w:eastAsia="MS Mincho" w:cs="Arial"/>
      <w:b/>
      <w:szCs w:val="20"/>
    </w:rPr>
  </w:style>
  <w:style w:type="character" w:customStyle="1" w:styleId="TableHeadingChar">
    <w:name w:val="TableHeading Char"/>
    <w:link w:val="TableHeading"/>
    <w:rsid w:val="00D8364E"/>
    <w:rPr>
      <w:rFonts w:eastAsia="MS Mincho" w:cs="Arial"/>
      <w:b/>
      <w:sz w:val="22"/>
      <w:lang w:eastAsia="en-US"/>
    </w:rPr>
  </w:style>
  <w:style w:type="character" w:styleId="Emphasis">
    <w:name w:val="Emphasis"/>
    <w:qFormat/>
    <w:rsid w:val="00D8364E"/>
    <w:rPr>
      <w:i/>
    </w:rPr>
  </w:style>
  <w:style w:type="numbering" w:customStyle="1" w:styleId="Style1">
    <w:name w:val="Style1"/>
    <w:uiPriority w:val="99"/>
    <w:rsid w:val="00D8364E"/>
    <w:pPr>
      <w:numPr>
        <w:numId w:val="4"/>
      </w:numPr>
    </w:pPr>
  </w:style>
  <w:style w:type="paragraph" w:styleId="BodyText2">
    <w:name w:val="Body Text 2"/>
    <w:basedOn w:val="Normal"/>
    <w:link w:val="BodyText2Char"/>
    <w:rsid w:val="00D8364E"/>
    <w:pPr>
      <w:keepNext/>
      <w:tabs>
        <w:tab w:val="left" w:pos="720"/>
      </w:tabs>
      <w:overflowPunct w:val="0"/>
      <w:autoSpaceDE w:val="0"/>
      <w:autoSpaceDN w:val="0"/>
      <w:adjustRightInd w:val="0"/>
      <w:spacing w:before="120" w:after="120"/>
      <w:ind w:left="357"/>
      <w:jc w:val="both"/>
      <w:textAlignment w:val="baseline"/>
    </w:pPr>
    <w:rPr>
      <w:rFonts w:eastAsia="MS Mincho" w:cs="Arial"/>
      <w:sz w:val="21"/>
      <w:szCs w:val="20"/>
    </w:rPr>
  </w:style>
  <w:style w:type="character" w:customStyle="1" w:styleId="BodyText2Char">
    <w:name w:val="Body Text 2 Char"/>
    <w:basedOn w:val="DefaultParagraphFont"/>
    <w:link w:val="BodyText2"/>
    <w:rsid w:val="00D8364E"/>
    <w:rPr>
      <w:rFonts w:eastAsia="MS Mincho" w:cs="Arial"/>
      <w:sz w:val="21"/>
      <w:lang w:eastAsia="en-US"/>
    </w:rPr>
  </w:style>
  <w:style w:type="paragraph" w:styleId="BodyText3">
    <w:name w:val="Body Text 3"/>
    <w:basedOn w:val="Normal"/>
    <w:link w:val="BodyText3Char"/>
    <w:rsid w:val="00D8364E"/>
    <w:pPr>
      <w:overflowPunct w:val="0"/>
      <w:autoSpaceDE w:val="0"/>
      <w:autoSpaceDN w:val="0"/>
      <w:adjustRightInd w:val="0"/>
      <w:spacing w:before="100" w:after="100"/>
      <w:jc w:val="both"/>
      <w:textAlignment w:val="baseline"/>
    </w:pPr>
    <w:rPr>
      <w:rFonts w:eastAsia="MS Mincho" w:cs="Arial"/>
      <w:sz w:val="21"/>
      <w:szCs w:val="20"/>
      <w:lang w:val="en-US"/>
    </w:rPr>
  </w:style>
  <w:style w:type="character" w:customStyle="1" w:styleId="BodyText3Char">
    <w:name w:val="Body Text 3 Char"/>
    <w:basedOn w:val="DefaultParagraphFont"/>
    <w:link w:val="BodyText3"/>
    <w:rsid w:val="00D8364E"/>
    <w:rPr>
      <w:rFonts w:eastAsia="MS Mincho" w:cs="Arial"/>
      <w:sz w:val="21"/>
      <w:lang w:val="en-US" w:eastAsia="en-US"/>
    </w:rPr>
  </w:style>
  <w:style w:type="paragraph" w:customStyle="1" w:styleId="xl24">
    <w:name w:val="xl24"/>
    <w:basedOn w:val="Normal"/>
    <w:rsid w:val="00D8364E"/>
    <w:pPr>
      <w:overflowPunct w:val="0"/>
      <w:autoSpaceDE w:val="0"/>
      <w:autoSpaceDN w:val="0"/>
      <w:adjustRightInd w:val="0"/>
      <w:spacing w:before="100" w:beforeAutospacing="1" w:after="100" w:afterAutospacing="1"/>
      <w:jc w:val="both"/>
      <w:textAlignment w:val="baseline"/>
    </w:pPr>
    <w:rPr>
      <w:rFonts w:ascii="Arial" w:eastAsia="Arial Unicode MS" w:hAnsi="Arial" w:cs="Arial"/>
      <w:sz w:val="14"/>
      <w:szCs w:val="14"/>
    </w:rPr>
  </w:style>
  <w:style w:type="paragraph" w:customStyle="1" w:styleId="xl25">
    <w:name w:val="xl25"/>
    <w:basedOn w:val="Normal"/>
    <w:rsid w:val="00D8364E"/>
    <w:pPr>
      <w:overflowPunct w:val="0"/>
      <w:autoSpaceDE w:val="0"/>
      <w:autoSpaceDN w:val="0"/>
      <w:adjustRightInd w:val="0"/>
      <w:spacing w:before="100" w:beforeAutospacing="1" w:after="100" w:afterAutospacing="1"/>
      <w:jc w:val="both"/>
      <w:textAlignment w:val="baseline"/>
    </w:pPr>
    <w:rPr>
      <w:rFonts w:ascii="Arial" w:eastAsia="Arial Unicode MS" w:hAnsi="Arial" w:cs="Arial"/>
      <w:sz w:val="14"/>
      <w:szCs w:val="14"/>
    </w:rPr>
  </w:style>
  <w:style w:type="paragraph" w:customStyle="1" w:styleId="xl26">
    <w:name w:val="xl26"/>
    <w:basedOn w:val="Normal"/>
    <w:rsid w:val="00D8364E"/>
    <w:pPr>
      <w:overflowPunct w:val="0"/>
      <w:autoSpaceDE w:val="0"/>
      <w:autoSpaceDN w:val="0"/>
      <w:adjustRightInd w:val="0"/>
      <w:spacing w:before="100" w:beforeAutospacing="1" w:after="100" w:afterAutospacing="1"/>
      <w:jc w:val="both"/>
      <w:textAlignment w:val="baseline"/>
    </w:pPr>
    <w:rPr>
      <w:rFonts w:ascii="Arial" w:eastAsia="Arial Unicode MS" w:hAnsi="Arial" w:cs="Arial"/>
      <w:b/>
      <w:bCs/>
      <w:sz w:val="14"/>
      <w:szCs w:val="14"/>
    </w:rPr>
  </w:style>
  <w:style w:type="paragraph" w:customStyle="1" w:styleId="xl28">
    <w:name w:val="xl28"/>
    <w:basedOn w:val="Normal"/>
    <w:rsid w:val="00D8364E"/>
    <w:pPr>
      <w:pBdr>
        <w:bottom w:val="single" w:sz="8" w:space="0" w:color="auto"/>
      </w:pBdr>
      <w:overflowPunct w:val="0"/>
      <w:autoSpaceDE w:val="0"/>
      <w:autoSpaceDN w:val="0"/>
      <w:adjustRightInd w:val="0"/>
      <w:spacing w:before="100" w:beforeAutospacing="1" w:after="100" w:afterAutospacing="1"/>
      <w:jc w:val="right"/>
      <w:textAlignment w:val="baseline"/>
    </w:pPr>
    <w:rPr>
      <w:rFonts w:ascii="Arial" w:eastAsia="Arial Unicode MS" w:hAnsi="Arial" w:cs="Arial"/>
      <w:sz w:val="14"/>
      <w:szCs w:val="14"/>
    </w:rPr>
  </w:style>
  <w:style w:type="paragraph" w:customStyle="1" w:styleId="xl29">
    <w:name w:val="xl29"/>
    <w:basedOn w:val="Normal"/>
    <w:rsid w:val="00D8364E"/>
    <w:pPr>
      <w:overflowPunct w:val="0"/>
      <w:autoSpaceDE w:val="0"/>
      <w:autoSpaceDN w:val="0"/>
      <w:adjustRightInd w:val="0"/>
      <w:spacing w:before="100" w:beforeAutospacing="1" w:after="100" w:afterAutospacing="1"/>
      <w:jc w:val="both"/>
      <w:textAlignment w:val="baseline"/>
    </w:pPr>
    <w:rPr>
      <w:rFonts w:ascii="Arial" w:eastAsia="Arial Unicode MS" w:hAnsi="Arial" w:cs="Arial"/>
      <w:sz w:val="12"/>
      <w:szCs w:val="12"/>
    </w:rPr>
  </w:style>
  <w:style w:type="paragraph" w:customStyle="1" w:styleId="xl30">
    <w:name w:val="xl30"/>
    <w:basedOn w:val="Normal"/>
    <w:rsid w:val="00D8364E"/>
    <w:pPr>
      <w:spacing w:before="100" w:beforeAutospacing="1" w:after="100" w:afterAutospacing="1"/>
    </w:pPr>
    <w:rPr>
      <w:rFonts w:eastAsia="Arial Unicode MS" w:cs="Arial"/>
      <w:sz w:val="18"/>
      <w:szCs w:val="18"/>
    </w:rPr>
  </w:style>
  <w:style w:type="paragraph" w:customStyle="1" w:styleId="xl31">
    <w:name w:val="xl31"/>
    <w:basedOn w:val="Normal"/>
    <w:rsid w:val="00D8364E"/>
    <w:pPr>
      <w:overflowPunct w:val="0"/>
      <w:autoSpaceDE w:val="0"/>
      <w:autoSpaceDN w:val="0"/>
      <w:adjustRightInd w:val="0"/>
      <w:spacing w:before="100" w:beforeAutospacing="1" w:after="100" w:afterAutospacing="1"/>
      <w:jc w:val="both"/>
      <w:textAlignment w:val="baseline"/>
    </w:pPr>
    <w:rPr>
      <w:rFonts w:ascii="Arial" w:eastAsia="Arial Unicode MS" w:hAnsi="Arial" w:cs="Arial"/>
      <w:b/>
      <w:bCs/>
      <w:sz w:val="18"/>
      <w:szCs w:val="18"/>
    </w:rPr>
  </w:style>
  <w:style w:type="paragraph" w:customStyle="1" w:styleId="xl32">
    <w:name w:val="xl32"/>
    <w:basedOn w:val="Normal"/>
    <w:rsid w:val="00D8364E"/>
    <w:pPr>
      <w:overflowPunct w:val="0"/>
      <w:autoSpaceDE w:val="0"/>
      <w:autoSpaceDN w:val="0"/>
      <w:adjustRightInd w:val="0"/>
      <w:spacing w:before="100" w:beforeAutospacing="1" w:after="100" w:afterAutospacing="1"/>
      <w:jc w:val="both"/>
      <w:textAlignment w:val="baseline"/>
    </w:pPr>
    <w:rPr>
      <w:rFonts w:ascii="Arial" w:eastAsia="Arial Unicode MS" w:hAnsi="Arial" w:cs="Arial"/>
      <w:sz w:val="18"/>
      <w:szCs w:val="18"/>
    </w:rPr>
  </w:style>
  <w:style w:type="paragraph" w:customStyle="1" w:styleId="xl33">
    <w:name w:val="xl33"/>
    <w:basedOn w:val="Normal"/>
    <w:rsid w:val="00D8364E"/>
    <w:pPr>
      <w:pBdr>
        <w:top w:val="single" w:sz="4" w:space="0" w:color="auto"/>
        <w:bottom w:val="single" w:sz="8" w:space="0" w:color="auto"/>
      </w:pBdr>
      <w:overflowPunct w:val="0"/>
      <w:autoSpaceDE w:val="0"/>
      <w:autoSpaceDN w:val="0"/>
      <w:adjustRightInd w:val="0"/>
      <w:spacing w:before="100" w:beforeAutospacing="1" w:after="100" w:afterAutospacing="1"/>
      <w:jc w:val="both"/>
      <w:textAlignment w:val="baseline"/>
    </w:pPr>
    <w:rPr>
      <w:rFonts w:ascii="Arial" w:eastAsia="Arial Unicode MS" w:hAnsi="Arial" w:cs="Arial"/>
      <w:b/>
      <w:bCs/>
      <w:sz w:val="18"/>
      <w:szCs w:val="18"/>
    </w:rPr>
  </w:style>
  <w:style w:type="paragraph" w:customStyle="1" w:styleId="xl34">
    <w:name w:val="xl34"/>
    <w:basedOn w:val="Normal"/>
    <w:rsid w:val="00D8364E"/>
    <w:pPr>
      <w:overflowPunct w:val="0"/>
      <w:autoSpaceDE w:val="0"/>
      <w:autoSpaceDN w:val="0"/>
      <w:adjustRightInd w:val="0"/>
      <w:spacing w:before="100" w:beforeAutospacing="1" w:after="100" w:afterAutospacing="1"/>
      <w:jc w:val="right"/>
      <w:textAlignment w:val="baseline"/>
    </w:pPr>
    <w:rPr>
      <w:rFonts w:ascii="Arial" w:eastAsia="Arial Unicode MS" w:hAnsi="Arial" w:cs="Arial"/>
      <w:sz w:val="12"/>
      <w:szCs w:val="12"/>
    </w:rPr>
  </w:style>
  <w:style w:type="character" w:styleId="FollowedHyperlink">
    <w:name w:val="FollowedHyperlink"/>
    <w:rsid w:val="00D8364E"/>
    <w:rPr>
      <w:color w:val="800080"/>
      <w:u w:val="single"/>
    </w:rPr>
  </w:style>
  <w:style w:type="character" w:styleId="PageNumber">
    <w:name w:val="page number"/>
    <w:rsid w:val="00D8364E"/>
  </w:style>
  <w:style w:type="paragraph" w:styleId="TOC3">
    <w:name w:val="toc 3"/>
    <w:basedOn w:val="Normal"/>
    <w:next w:val="Normal"/>
    <w:autoRedefine/>
    <w:uiPriority w:val="39"/>
    <w:rsid w:val="00D8364E"/>
    <w:pPr>
      <w:tabs>
        <w:tab w:val="left" w:pos="993"/>
        <w:tab w:val="right" w:leader="dot" w:pos="8849"/>
      </w:tabs>
      <w:overflowPunct w:val="0"/>
      <w:autoSpaceDE w:val="0"/>
      <w:autoSpaceDN w:val="0"/>
      <w:adjustRightInd w:val="0"/>
      <w:spacing w:before="120" w:after="0"/>
      <w:ind w:left="284"/>
      <w:textAlignment w:val="baseline"/>
    </w:pPr>
    <w:rPr>
      <w:rFonts w:eastAsia="MS Mincho" w:cs="Arial"/>
      <w:szCs w:val="20"/>
    </w:rPr>
  </w:style>
  <w:style w:type="paragraph" w:styleId="TOC4">
    <w:name w:val="toc 4"/>
    <w:basedOn w:val="Normal"/>
    <w:next w:val="Normal"/>
    <w:autoRedefine/>
    <w:uiPriority w:val="39"/>
    <w:rsid w:val="00D8364E"/>
    <w:pPr>
      <w:overflowPunct w:val="0"/>
      <w:autoSpaceDE w:val="0"/>
      <w:autoSpaceDN w:val="0"/>
      <w:adjustRightInd w:val="0"/>
      <w:spacing w:before="120" w:after="120"/>
      <w:ind w:left="440"/>
      <w:textAlignment w:val="baseline"/>
    </w:pPr>
    <w:rPr>
      <w:rFonts w:eastAsia="MS Mincho" w:cs="Arial"/>
      <w:szCs w:val="20"/>
    </w:rPr>
  </w:style>
  <w:style w:type="paragraph" w:styleId="TOC5">
    <w:name w:val="toc 5"/>
    <w:basedOn w:val="Normal"/>
    <w:next w:val="Normal"/>
    <w:autoRedefine/>
    <w:uiPriority w:val="39"/>
    <w:rsid w:val="00D8364E"/>
    <w:pPr>
      <w:overflowPunct w:val="0"/>
      <w:autoSpaceDE w:val="0"/>
      <w:autoSpaceDN w:val="0"/>
      <w:adjustRightInd w:val="0"/>
      <w:spacing w:before="120" w:after="120"/>
      <w:ind w:left="660"/>
      <w:textAlignment w:val="baseline"/>
    </w:pPr>
    <w:rPr>
      <w:rFonts w:eastAsia="MS Mincho" w:cs="Arial"/>
      <w:szCs w:val="20"/>
    </w:rPr>
  </w:style>
  <w:style w:type="paragraph" w:styleId="TOC6">
    <w:name w:val="toc 6"/>
    <w:basedOn w:val="Normal"/>
    <w:next w:val="Normal"/>
    <w:autoRedefine/>
    <w:uiPriority w:val="39"/>
    <w:rsid w:val="00D8364E"/>
    <w:pPr>
      <w:overflowPunct w:val="0"/>
      <w:autoSpaceDE w:val="0"/>
      <w:autoSpaceDN w:val="0"/>
      <w:adjustRightInd w:val="0"/>
      <w:spacing w:before="120" w:after="120"/>
      <w:ind w:left="880"/>
      <w:textAlignment w:val="baseline"/>
    </w:pPr>
    <w:rPr>
      <w:rFonts w:eastAsia="MS Mincho" w:cs="Arial"/>
      <w:szCs w:val="20"/>
    </w:rPr>
  </w:style>
  <w:style w:type="paragraph" w:styleId="TOC7">
    <w:name w:val="toc 7"/>
    <w:basedOn w:val="Normal"/>
    <w:next w:val="Normal"/>
    <w:autoRedefine/>
    <w:uiPriority w:val="39"/>
    <w:rsid w:val="00D8364E"/>
    <w:pPr>
      <w:overflowPunct w:val="0"/>
      <w:autoSpaceDE w:val="0"/>
      <w:autoSpaceDN w:val="0"/>
      <w:adjustRightInd w:val="0"/>
      <w:spacing w:before="120" w:after="120"/>
      <w:ind w:left="1100"/>
      <w:textAlignment w:val="baseline"/>
    </w:pPr>
    <w:rPr>
      <w:rFonts w:eastAsia="MS Mincho" w:cs="Arial"/>
      <w:szCs w:val="20"/>
    </w:rPr>
  </w:style>
  <w:style w:type="paragraph" w:styleId="TOC8">
    <w:name w:val="toc 8"/>
    <w:basedOn w:val="Normal"/>
    <w:next w:val="Normal"/>
    <w:autoRedefine/>
    <w:uiPriority w:val="39"/>
    <w:rsid w:val="00D8364E"/>
    <w:pPr>
      <w:overflowPunct w:val="0"/>
      <w:autoSpaceDE w:val="0"/>
      <w:autoSpaceDN w:val="0"/>
      <w:adjustRightInd w:val="0"/>
      <w:spacing w:before="120" w:after="120"/>
      <w:ind w:left="1320"/>
      <w:textAlignment w:val="baseline"/>
    </w:pPr>
    <w:rPr>
      <w:rFonts w:eastAsia="MS Mincho" w:cs="Arial"/>
      <w:szCs w:val="20"/>
    </w:rPr>
  </w:style>
  <w:style w:type="paragraph" w:styleId="TOC9">
    <w:name w:val="toc 9"/>
    <w:basedOn w:val="Normal"/>
    <w:next w:val="Normal"/>
    <w:autoRedefine/>
    <w:uiPriority w:val="39"/>
    <w:rsid w:val="00D8364E"/>
    <w:pPr>
      <w:overflowPunct w:val="0"/>
      <w:autoSpaceDE w:val="0"/>
      <w:autoSpaceDN w:val="0"/>
      <w:adjustRightInd w:val="0"/>
      <w:spacing w:before="120" w:after="120"/>
      <w:ind w:left="1540"/>
      <w:textAlignment w:val="baseline"/>
    </w:pPr>
    <w:rPr>
      <w:rFonts w:eastAsia="MS Mincho" w:cs="Arial"/>
      <w:szCs w:val="20"/>
    </w:rPr>
  </w:style>
  <w:style w:type="paragraph" w:customStyle="1" w:styleId="T1">
    <w:name w:val="T1"/>
    <w:basedOn w:val="Heading1"/>
    <w:rsid w:val="00D8364E"/>
    <w:pPr>
      <w:pageBreakBefore/>
      <w:numPr>
        <w:numId w:val="0"/>
      </w:numPr>
      <w:pBdr>
        <w:bottom w:val="single" w:sz="6" w:space="1" w:color="auto"/>
      </w:pBdr>
      <w:overflowPunct w:val="0"/>
      <w:autoSpaceDE w:val="0"/>
      <w:autoSpaceDN w:val="0"/>
      <w:adjustRightInd w:val="0"/>
      <w:spacing w:before="120" w:after="301" w:line="301" w:lineRule="atLeast"/>
      <w:ind w:left="851" w:hanging="851"/>
      <w:textAlignment w:val="baseline"/>
      <w:outlineLvl w:val="9"/>
    </w:pPr>
    <w:rPr>
      <w:rFonts w:eastAsia="Times New Roman"/>
      <w:color w:val="auto"/>
      <w:kern w:val="32"/>
      <w:sz w:val="19"/>
      <w:szCs w:val="20"/>
    </w:rPr>
  </w:style>
  <w:style w:type="paragraph" w:customStyle="1" w:styleId="xl35">
    <w:name w:val="xl35"/>
    <w:basedOn w:val="Normal"/>
    <w:rsid w:val="00D8364E"/>
    <w:pPr>
      <w:pBdr>
        <w:top w:val="single" w:sz="4" w:space="0" w:color="auto"/>
        <w:bottom w:val="single" w:sz="8" w:space="0" w:color="auto"/>
      </w:pBdr>
      <w:overflowPunct w:val="0"/>
      <w:autoSpaceDE w:val="0"/>
      <w:autoSpaceDN w:val="0"/>
      <w:adjustRightInd w:val="0"/>
      <w:spacing w:before="100" w:beforeAutospacing="1" w:after="100" w:afterAutospacing="1"/>
      <w:jc w:val="right"/>
      <w:textAlignment w:val="baseline"/>
    </w:pPr>
    <w:rPr>
      <w:rFonts w:ascii="Arial" w:eastAsia="Arial Unicode MS" w:hAnsi="Arial" w:cs="Arial"/>
      <w:b/>
      <w:bCs/>
      <w:sz w:val="18"/>
      <w:szCs w:val="18"/>
    </w:rPr>
  </w:style>
  <w:style w:type="paragraph" w:customStyle="1" w:styleId="xl36">
    <w:name w:val="xl36"/>
    <w:basedOn w:val="Normal"/>
    <w:rsid w:val="00D8364E"/>
    <w:pPr>
      <w:pBdr>
        <w:bottom w:val="single" w:sz="4" w:space="0" w:color="auto"/>
      </w:pBdr>
      <w:overflowPunct w:val="0"/>
      <w:autoSpaceDE w:val="0"/>
      <w:autoSpaceDN w:val="0"/>
      <w:adjustRightInd w:val="0"/>
      <w:spacing w:before="100" w:beforeAutospacing="1" w:after="100" w:afterAutospacing="1"/>
      <w:jc w:val="right"/>
      <w:textAlignment w:val="baseline"/>
    </w:pPr>
    <w:rPr>
      <w:rFonts w:ascii="Arial" w:eastAsia="Arial Unicode MS" w:hAnsi="Arial" w:cs="Arial"/>
      <w:sz w:val="18"/>
      <w:szCs w:val="18"/>
    </w:rPr>
  </w:style>
  <w:style w:type="paragraph" w:customStyle="1" w:styleId="xl37">
    <w:name w:val="xl37"/>
    <w:basedOn w:val="Normal"/>
    <w:rsid w:val="00D8364E"/>
    <w:pPr>
      <w:overflowPunct w:val="0"/>
      <w:autoSpaceDE w:val="0"/>
      <w:autoSpaceDN w:val="0"/>
      <w:adjustRightInd w:val="0"/>
      <w:spacing w:before="100" w:beforeAutospacing="1" w:after="100" w:afterAutospacing="1"/>
      <w:jc w:val="both"/>
      <w:textAlignment w:val="baseline"/>
    </w:pPr>
    <w:rPr>
      <w:rFonts w:ascii="Arial" w:eastAsia="Arial Unicode MS" w:hAnsi="Arial" w:cs="Arial"/>
      <w:i/>
      <w:iCs/>
      <w:sz w:val="18"/>
      <w:szCs w:val="18"/>
    </w:rPr>
  </w:style>
  <w:style w:type="paragraph" w:customStyle="1" w:styleId="xl38">
    <w:name w:val="xl38"/>
    <w:basedOn w:val="Normal"/>
    <w:rsid w:val="00D8364E"/>
    <w:pPr>
      <w:overflowPunct w:val="0"/>
      <w:autoSpaceDE w:val="0"/>
      <w:autoSpaceDN w:val="0"/>
      <w:adjustRightInd w:val="0"/>
      <w:spacing w:before="100" w:beforeAutospacing="1" w:after="100" w:afterAutospacing="1"/>
      <w:jc w:val="right"/>
      <w:textAlignment w:val="baseline"/>
    </w:pPr>
    <w:rPr>
      <w:rFonts w:ascii="Arial" w:eastAsia="Arial Unicode MS" w:hAnsi="Arial" w:cs="Arial"/>
      <w:sz w:val="18"/>
      <w:szCs w:val="18"/>
    </w:rPr>
  </w:style>
  <w:style w:type="paragraph" w:customStyle="1" w:styleId="xl39">
    <w:name w:val="xl39"/>
    <w:basedOn w:val="Normal"/>
    <w:rsid w:val="00D8364E"/>
    <w:pPr>
      <w:pBdr>
        <w:bottom w:val="single" w:sz="8" w:space="0" w:color="auto"/>
      </w:pBdr>
      <w:overflowPunct w:val="0"/>
      <w:autoSpaceDE w:val="0"/>
      <w:autoSpaceDN w:val="0"/>
      <w:adjustRightInd w:val="0"/>
      <w:spacing w:before="100" w:beforeAutospacing="1" w:after="100" w:afterAutospacing="1"/>
      <w:jc w:val="right"/>
      <w:textAlignment w:val="baseline"/>
    </w:pPr>
    <w:rPr>
      <w:rFonts w:ascii="Arial" w:eastAsia="Arial Unicode MS" w:hAnsi="Arial" w:cs="Arial"/>
      <w:sz w:val="18"/>
      <w:szCs w:val="18"/>
    </w:rPr>
  </w:style>
  <w:style w:type="paragraph" w:customStyle="1" w:styleId="xl40">
    <w:name w:val="xl40"/>
    <w:basedOn w:val="Normal"/>
    <w:rsid w:val="00D8364E"/>
    <w:pPr>
      <w:overflowPunct w:val="0"/>
      <w:autoSpaceDE w:val="0"/>
      <w:autoSpaceDN w:val="0"/>
      <w:adjustRightInd w:val="0"/>
      <w:spacing w:before="100" w:beforeAutospacing="1" w:after="100" w:afterAutospacing="1"/>
      <w:jc w:val="both"/>
      <w:textAlignment w:val="baseline"/>
    </w:pPr>
    <w:rPr>
      <w:rFonts w:ascii="Arial" w:eastAsia="Arial Unicode MS" w:hAnsi="Arial" w:cs="Arial"/>
      <w:sz w:val="18"/>
      <w:szCs w:val="18"/>
    </w:rPr>
  </w:style>
  <w:style w:type="character" w:styleId="CommentReference">
    <w:name w:val="annotation reference"/>
    <w:uiPriority w:val="99"/>
    <w:rsid w:val="00D8364E"/>
    <w:rPr>
      <w:sz w:val="16"/>
      <w:szCs w:val="16"/>
    </w:rPr>
  </w:style>
  <w:style w:type="paragraph" w:styleId="CommentText">
    <w:name w:val="annotation text"/>
    <w:basedOn w:val="Normal"/>
    <w:link w:val="CommentTextChar"/>
    <w:uiPriority w:val="99"/>
    <w:rsid w:val="00D8364E"/>
    <w:pPr>
      <w:overflowPunct w:val="0"/>
      <w:autoSpaceDE w:val="0"/>
      <w:autoSpaceDN w:val="0"/>
      <w:adjustRightInd w:val="0"/>
      <w:spacing w:before="120" w:after="120"/>
      <w:jc w:val="both"/>
      <w:textAlignment w:val="baseline"/>
    </w:pPr>
    <w:rPr>
      <w:rFonts w:eastAsia="MS Mincho" w:cs="Arial"/>
      <w:szCs w:val="20"/>
    </w:rPr>
  </w:style>
  <w:style w:type="character" w:customStyle="1" w:styleId="CommentTextChar">
    <w:name w:val="Comment Text Char"/>
    <w:basedOn w:val="DefaultParagraphFont"/>
    <w:link w:val="CommentText"/>
    <w:uiPriority w:val="99"/>
    <w:rsid w:val="00D8364E"/>
    <w:rPr>
      <w:rFonts w:eastAsia="MS Mincho" w:cs="Arial"/>
      <w:sz w:val="22"/>
      <w:lang w:eastAsia="en-US"/>
    </w:rPr>
  </w:style>
  <w:style w:type="paragraph" w:styleId="CommentSubject">
    <w:name w:val="annotation subject"/>
    <w:basedOn w:val="CommentText"/>
    <w:next w:val="CommentText"/>
    <w:link w:val="CommentSubjectChar"/>
    <w:rsid w:val="00D8364E"/>
    <w:rPr>
      <w:b/>
      <w:bCs/>
    </w:rPr>
  </w:style>
  <w:style w:type="character" w:customStyle="1" w:styleId="CommentSubjectChar">
    <w:name w:val="Comment Subject Char"/>
    <w:basedOn w:val="CommentTextChar"/>
    <w:link w:val="CommentSubject"/>
    <w:rsid w:val="00D8364E"/>
    <w:rPr>
      <w:rFonts w:eastAsia="MS Mincho" w:cs="Arial"/>
      <w:b/>
      <w:bCs/>
      <w:sz w:val="22"/>
      <w:lang w:eastAsia="en-US"/>
    </w:rPr>
  </w:style>
  <w:style w:type="paragraph" w:customStyle="1" w:styleId="TT">
    <w:name w:val="TT"/>
    <w:basedOn w:val="Normal"/>
    <w:rsid w:val="00D8364E"/>
    <w:pPr>
      <w:keepNext/>
      <w:tabs>
        <w:tab w:val="right" w:pos="1202"/>
      </w:tabs>
      <w:overflowPunct w:val="0"/>
      <w:autoSpaceDE w:val="0"/>
      <w:autoSpaceDN w:val="0"/>
      <w:adjustRightInd w:val="0"/>
      <w:spacing w:before="120" w:after="120" w:line="301" w:lineRule="exact"/>
      <w:jc w:val="both"/>
      <w:textAlignment w:val="baseline"/>
      <w:outlineLvl w:val="0"/>
    </w:pPr>
    <w:rPr>
      <w:rFonts w:ascii="Arial" w:eastAsia="MS Mincho" w:hAnsi="Arial" w:cs="Arial"/>
      <w:sz w:val="19"/>
      <w:szCs w:val="20"/>
    </w:rPr>
  </w:style>
  <w:style w:type="paragraph" w:customStyle="1" w:styleId="TH">
    <w:name w:val="TH"/>
    <w:basedOn w:val="Normal"/>
    <w:rsid w:val="00D8364E"/>
    <w:pPr>
      <w:tabs>
        <w:tab w:val="right" w:pos="1202"/>
      </w:tabs>
      <w:overflowPunct w:val="0"/>
      <w:autoSpaceDE w:val="0"/>
      <w:autoSpaceDN w:val="0"/>
      <w:adjustRightInd w:val="0"/>
      <w:spacing w:before="120" w:after="120" w:line="240" w:lineRule="atLeast"/>
      <w:jc w:val="both"/>
      <w:textAlignment w:val="baseline"/>
      <w:outlineLvl w:val="0"/>
    </w:pPr>
    <w:rPr>
      <w:rFonts w:ascii="Arial" w:eastAsia="MS Mincho" w:hAnsi="Arial" w:cs="Arial"/>
      <w:b/>
      <w:sz w:val="19"/>
      <w:szCs w:val="20"/>
    </w:rPr>
  </w:style>
  <w:style w:type="paragraph" w:styleId="DocumentMap">
    <w:name w:val="Document Map"/>
    <w:basedOn w:val="Normal"/>
    <w:link w:val="DocumentMapChar"/>
    <w:rsid w:val="00D8364E"/>
    <w:pPr>
      <w:shd w:val="clear" w:color="auto" w:fill="000080"/>
      <w:overflowPunct w:val="0"/>
      <w:autoSpaceDE w:val="0"/>
      <w:autoSpaceDN w:val="0"/>
      <w:adjustRightInd w:val="0"/>
      <w:spacing w:before="120" w:after="120"/>
      <w:jc w:val="both"/>
      <w:textAlignment w:val="baseline"/>
    </w:pPr>
    <w:rPr>
      <w:rFonts w:ascii="Tahoma" w:eastAsia="MS Mincho" w:hAnsi="Tahoma" w:cs="Tahoma"/>
      <w:szCs w:val="20"/>
    </w:rPr>
  </w:style>
  <w:style w:type="character" w:customStyle="1" w:styleId="DocumentMapChar">
    <w:name w:val="Document Map Char"/>
    <w:basedOn w:val="DefaultParagraphFont"/>
    <w:link w:val="DocumentMap"/>
    <w:rsid w:val="00D8364E"/>
    <w:rPr>
      <w:rFonts w:ascii="Tahoma" w:eastAsia="MS Mincho" w:hAnsi="Tahoma" w:cs="Tahoma"/>
      <w:sz w:val="22"/>
      <w:shd w:val="clear" w:color="auto" w:fill="000080"/>
      <w:lang w:eastAsia="en-US"/>
    </w:rPr>
  </w:style>
  <w:style w:type="paragraph" w:styleId="Title">
    <w:name w:val="Title"/>
    <w:basedOn w:val="Normal"/>
    <w:next w:val="Normal"/>
    <w:link w:val="TitleChar"/>
    <w:qFormat/>
    <w:rsid w:val="00D8364E"/>
    <w:pPr>
      <w:overflowPunct w:val="0"/>
      <w:autoSpaceDE w:val="0"/>
      <w:autoSpaceDN w:val="0"/>
      <w:adjustRightInd w:val="0"/>
      <w:spacing w:before="120" w:after="120"/>
      <w:jc w:val="center"/>
      <w:textAlignment w:val="baseline"/>
    </w:pPr>
    <w:rPr>
      <w:rFonts w:ascii="Arial Black" w:eastAsia="MS Mincho" w:hAnsi="Arial Black" w:cs="Arial"/>
      <w:b/>
      <w:sz w:val="28"/>
      <w:szCs w:val="28"/>
    </w:rPr>
  </w:style>
  <w:style w:type="character" w:customStyle="1" w:styleId="TitleChar">
    <w:name w:val="Title Char"/>
    <w:basedOn w:val="DefaultParagraphFont"/>
    <w:link w:val="Title"/>
    <w:rsid w:val="00D8364E"/>
    <w:rPr>
      <w:rFonts w:ascii="Arial Black" w:eastAsia="MS Mincho" w:hAnsi="Arial Black" w:cs="Arial"/>
      <w:b/>
      <w:sz w:val="28"/>
      <w:szCs w:val="28"/>
      <w:lang w:eastAsia="en-US"/>
    </w:rPr>
  </w:style>
  <w:style w:type="paragraph" w:customStyle="1" w:styleId="TableBullets1">
    <w:name w:val="*Table_Bullets_1"/>
    <w:rsid w:val="00D8364E"/>
    <w:pPr>
      <w:numPr>
        <w:numId w:val="5"/>
      </w:numPr>
      <w:spacing w:before="60" w:after="20"/>
    </w:pPr>
    <w:rPr>
      <w:rFonts w:ascii="Arial" w:eastAsia="Times New Roman" w:hAnsi="Arial"/>
      <w:sz w:val="16"/>
      <w:szCs w:val="22"/>
      <w:lang w:eastAsia="en-US"/>
    </w:rPr>
  </w:style>
  <w:style w:type="paragraph" w:customStyle="1" w:styleId="TableBullets2">
    <w:name w:val="*Table_Bullets_2"/>
    <w:rsid w:val="00D8364E"/>
    <w:pPr>
      <w:numPr>
        <w:ilvl w:val="1"/>
        <w:numId w:val="5"/>
      </w:numPr>
      <w:spacing w:before="20" w:after="20"/>
    </w:pPr>
    <w:rPr>
      <w:rFonts w:ascii="Arial" w:eastAsia="Times New Roman" w:hAnsi="Arial"/>
      <w:bCs/>
      <w:sz w:val="16"/>
      <w:szCs w:val="24"/>
      <w:lang w:eastAsia="en-US"/>
    </w:rPr>
  </w:style>
  <w:style w:type="paragraph" w:customStyle="1" w:styleId="TableBullets3">
    <w:name w:val="*Table_Bullets_3"/>
    <w:rsid w:val="00D8364E"/>
    <w:pPr>
      <w:numPr>
        <w:ilvl w:val="2"/>
        <w:numId w:val="5"/>
      </w:numPr>
    </w:pPr>
    <w:rPr>
      <w:rFonts w:ascii="Arial" w:eastAsia="Times New Roman" w:hAnsi="Arial"/>
      <w:bCs/>
      <w:sz w:val="16"/>
      <w:szCs w:val="24"/>
      <w:lang w:eastAsia="en-US"/>
    </w:rPr>
  </w:style>
  <w:style w:type="paragraph" w:customStyle="1" w:styleId="01daibodytext">
    <w:name w:val="01_dai_body text"/>
    <w:link w:val="01daibodytextChar1"/>
    <w:rsid w:val="00D8364E"/>
    <w:pPr>
      <w:spacing w:after="160" w:line="200" w:lineRule="exact"/>
    </w:pPr>
    <w:rPr>
      <w:rFonts w:ascii="Arial" w:eastAsia="MS Mincho" w:hAnsi="Arial" w:cs="Arial"/>
      <w:color w:val="000000"/>
      <w:sz w:val="16"/>
      <w:lang w:val="en-US" w:eastAsia="en-US"/>
    </w:rPr>
  </w:style>
  <w:style w:type="character" w:customStyle="1" w:styleId="01daibodytextChar1">
    <w:name w:val="01_dai_body text Char1"/>
    <w:link w:val="01daibodytext"/>
    <w:rsid w:val="00D8364E"/>
    <w:rPr>
      <w:rFonts w:ascii="Arial" w:eastAsia="MS Mincho" w:hAnsi="Arial" w:cs="Arial"/>
      <w:color w:val="000000"/>
      <w:sz w:val="16"/>
      <w:lang w:val="en-US" w:eastAsia="en-US"/>
    </w:rPr>
  </w:style>
  <w:style w:type="paragraph" w:customStyle="1" w:styleId="BodySingle">
    <w:name w:val="Body Single"/>
    <w:basedOn w:val="BodyText"/>
    <w:rsid w:val="00D8364E"/>
    <w:pPr>
      <w:spacing w:after="0" w:line="240" w:lineRule="atLeast"/>
    </w:pPr>
    <w:rPr>
      <w:rFonts w:eastAsia="SimSun" w:cs="Arial"/>
      <w:szCs w:val="20"/>
      <w:lang w:eastAsia="zh-CN"/>
    </w:rPr>
  </w:style>
  <w:style w:type="paragraph" w:styleId="BodyTextIndent">
    <w:name w:val="Body Text Indent"/>
    <w:basedOn w:val="Normal"/>
    <w:link w:val="BodyTextIndentChar"/>
    <w:rsid w:val="00D8364E"/>
    <w:pPr>
      <w:overflowPunct w:val="0"/>
      <w:autoSpaceDE w:val="0"/>
      <w:autoSpaceDN w:val="0"/>
      <w:adjustRightInd w:val="0"/>
      <w:spacing w:before="120" w:after="120"/>
      <w:ind w:left="360"/>
      <w:jc w:val="both"/>
      <w:textAlignment w:val="baseline"/>
    </w:pPr>
    <w:rPr>
      <w:rFonts w:ascii="Garamond" w:eastAsia="MS PGothic" w:hAnsi="Garamond" w:cs="Arial"/>
      <w:szCs w:val="12"/>
    </w:rPr>
  </w:style>
  <w:style w:type="character" w:customStyle="1" w:styleId="BodyTextIndentChar">
    <w:name w:val="Body Text Indent Char"/>
    <w:basedOn w:val="DefaultParagraphFont"/>
    <w:link w:val="BodyTextIndent"/>
    <w:rsid w:val="00D8364E"/>
    <w:rPr>
      <w:rFonts w:ascii="Garamond" w:eastAsia="MS PGothic" w:hAnsi="Garamond" w:cs="Arial"/>
      <w:sz w:val="22"/>
      <w:szCs w:val="12"/>
      <w:lang w:eastAsia="en-US"/>
    </w:rPr>
  </w:style>
  <w:style w:type="paragraph" w:styleId="BodyTextFirstIndent2">
    <w:name w:val="Body Text First Indent 2"/>
    <w:basedOn w:val="BodyTextIndent"/>
    <w:link w:val="BodyTextFirstIndent2Char"/>
    <w:rsid w:val="00D8364E"/>
    <w:pPr>
      <w:ind w:left="283" w:firstLine="210"/>
    </w:pPr>
    <w:rPr>
      <w:rFonts w:ascii="Times New Roman" w:eastAsia="MS Mincho" w:hAnsi="Times New Roman"/>
      <w:szCs w:val="20"/>
    </w:rPr>
  </w:style>
  <w:style w:type="character" w:customStyle="1" w:styleId="BodyTextFirstIndent2Char">
    <w:name w:val="Body Text First Indent 2 Char"/>
    <w:basedOn w:val="BodyTextIndentChar"/>
    <w:link w:val="BodyTextFirstIndent2"/>
    <w:rsid w:val="00D8364E"/>
    <w:rPr>
      <w:rFonts w:ascii="Times New Roman" w:eastAsia="MS Mincho" w:hAnsi="Times New Roman" w:cs="Arial"/>
      <w:sz w:val="22"/>
      <w:szCs w:val="12"/>
      <w:lang w:eastAsia="en-US"/>
    </w:rPr>
  </w:style>
  <w:style w:type="paragraph" w:styleId="BodyTextIndent2">
    <w:name w:val="Body Text Indent 2"/>
    <w:basedOn w:val="Normal"/>
    <w:link w:val="BodyTextIndent2Char"/>
    <w:rsid w:val="00D8364E"/>
    <w:pPr>
      <w:overflowPunct w:val="0"/>
      <w:autoSpaceDE w:val="0"/>
      <w:autoSpaceDN w:val="0"/>
      <w:adjustRightInd w:val="0"/>
      <w:spacing w:before="120" w:after="120"/>
      <w:ind w:left="360"/>
      <w:jc w:val="both"/>
      <w:textAlignment w:val="baseline"/>
    </w:pPr>
    <w:rPr>
      <w:rFonts w:eastAsia="MS Mincho" w:cs="Arial"/>
      <w:sz w:val="21"/>
      <w:szCs w:val="20"/>
      <w:lang w:val="en-US"/>
    </w:rPr>
  </w:style>
  <w:style w:type="character" w:customStyle="1" w:styleId="BodyTextIndent2Char">
    <w:name w:val="Body Text Indent 2 Char"/>
    <w:basedOn w:val="DefaultParagraphFont"/>
    <w:link w:val="BodyTextIndent2"/>
    <w:rsid w:val="00D8364E"/>
    <w:rPr>
      <w:rFonts w:eastAsia="MS Mincho" w:cs="Arial"/>
      <w:sz w:val="21"/>
      <w:lang w:val="en-US" w:eastAsia="en-US"/>
    </w:rPr>
  </w:style>
  <w:style w:type="paragraph" w:styleId="BodyTextIndent3">
    <w:name w:val="Body Text Indent 3"/>
    <w:basedOn w:val="Normal"/>
    <w:link w:val="BodyTextIndent3Char"/>
    <w:rsid w:val="00D8364E"/>
    <w:pPr>
      <w:spacing w:before="120" w:after="120"/>
      <w:ind w:left="720"/>
      <w:jc w:val="both"/>
    </w:pPr>
    <w:rPr>
      <w:rFonts w:ascii="Garamond" w:eastAsia="MS Mincho" w:hAnsi="Garamond" w:cs="Arial"/>
      <w:color w:val="333333"/>
    </w:rPr>
  </w:style>
  <w:style w:type="character" w:customStyle="1" w:styleId="BodyTextIndent3Char">
    <w:name w:val="Body Text Indent 3 Char"/>
    <w:basedOn w:val="DefaultParagraphFont"/>
    <w:link w:val="BodyTextIndent3"/>
    <w:rsid w:val="00D8364E"/>
    <w:rPr>
      <w:rFonts w:ascii="Garamond" w:eastAsia="MS Mincho" w:hAnsi="Garamond" w:cs="Arial"/>
      <w:color w:val="333333"/>
      <w:sz w:val="22"/>
      <w:szCs w:val="22"/>
      <w:lang w:eastAsia="en-US"/>
    </w:rPr>
  </w:style>
  <w:style w:type="character" w:customStyle="1" w:styleId="CharChar1">
    <w:name w:val="Char Char1"/>
    <w:rsid w:val="00D8364E"/>
    <w:rPr>
      <w:rFonts w:ascii="Times New Roman" w:eastAsia="MS Mincho" w:hAnsi="Times New Roman" w:cs="Times New Roman"/>
      <w:szCs w:val="20"/>
      <w:lang w:eastAsia="en-US"/>
    </w:rPr>
  </w:style>
  <w:style w:type="paragraph" w:customStyle="1" w:styleId="ColorfulList-Accent11">
    <w:name w:val="Colorful List - Accent 11"/>
    <w:basedOn w:val="Normal"/>
    <w:qFormat/>
    <w:rsid w:val="00D8364E"/>
    <w:pPr>
      <w:overflowPunct w:val="0"/>
      <w:autoSpaceDE w:val="0"/>
      <w:autoSpaceDN w:val="0"/>
      <w:adjustRightInd w:val="0"/>
      <w:spacing w:before="120" w:after="120"/>
      <w:ind w:left="720"/>
      <w:jc w:val="both"/>
      <w:textAlignment w:val="baseline"/>
    </w:pPr>
    <w:rPr>
      <w:rFonts w:eastAsia="MS Mincho" w:cs="Arial"/>
      <w:szCs w:val="20"/>
    </w:rPr>
  </w:style>
  <w:style w:type="paragraph" w:styleId="Date">
    <w:name w:val="Date"/>
    <w:basedOn w:val="Normal"/>
    <w:next w:val="Normal"/>
    <w:link w:val="DateChar"/>
    <w:rsid w:val="00D8364E"/>
    <w:pPr>
      <w:overflowPunct w:val="0"/>
      <w:autoSpaceDE w:val="0"/>
      <w:autoSpaceDN w:val="0"/>
      <w:adjustRightInd w:val="0"/>
      <w:spacing w:before="120" w:after="120"/>
      <w:jc w:val="both"/>
      <w:textAlignment w:val="baseline"/>
    </w:pPr>
    <w:rPr>
      <w:rFonts w:eastAsia="MS Mincho" w:cs="Arial"/>
      <w:szCs w:val="20"/>
    </w:rPr>
  </w:style>
  <w:style w:type="character" w:customStyle="1" w:styleId="DateChar">
    <w:name w:val="Date Char"/>
    <w:basedOn w:val="DefaultParagraphFont"/>
    <w:link w:val="Date"/>
    <w:rsid w:val="00D8364E"/>
    <w:rPr>
      <w:rFonts w:eastAsia="MS Mincho" w:cs="Arial"/>
      <w:sz w:val="22"/>
      <w:lang w:eastAsia="en-US"/>
    </w:rPr>
  </w:style>
  <w:style w:type="paragraph" w:customStyle="1" w:styleId="Default">
    <w:name w:val="Default"/>
    <w:rsid w:val="00D8364E"/>
    <w:pPr>
      <w:autoSpaceDE w:val="0"/>
      <w:autoSpaceDN w:val="0"/>
      <w:adjustRightInd w:val="0"/>
    </w:pPr>
    <w:rPr>
      <w:rFonts w:ascii="Times New Roman" w:eastAsia="MS Mincho" w:hAnsi="Times New Roman"/>
      <w:color w:val="000000"/>
      <w:sz w:val="24"/>
      <w:szCs w:val="24"/>
      <w:lang w:eastAsia="ja-JP"/>
    </w:rPr>
  </w:style>
  <w:style w:type="paragraph" w:customStyle="1" w:styleId="DELHeading2">
    <w:name w:val="DEL Heading 2"/>
    <w:basedOn w:val="Normal"/>
    <w:rsid w:val="00D8364E"/>
    <w:pPr>
      <w:keepNext/>
      <w:spacing w:before="240" w:after="120"/>
    </w:pPr>
    <w:rPr>
      <w:rFonts w:eastAsia="Times New Roman" w:cs="Arial"/>
      <w:b/>
      <w:caps/>
      <w:sz w:val="24"/>
      <w:szCs w:val="20"/>
    </w:rPr>
  </w:style>
  <w:style w:type="character" w:customStyle="1" w:styleId="EmailStyle120">
    <w:name w:val="EmailStyle120"/>
    <w:semiHidden/>
    <w:rsid w:val="00D8364E"/>
    <w:rPr>
      <w:rFonts w:ascii="Arial" w:hAnsi="Arial" w:cs="Arial"/>
      <w:color w:val="000000"/>
      <w:sz w:val="20"/>
      <w:szCs w:val="20"/>
    </w:rPr>
  </w:style>
  <w:style w:type="character" w:customStyle="1" w:styleId="EmailStyle121">
    <w:name w:val="EmailStyle121"/>
    <w:rsid w:val="00D8364E"/>
    <w:rPr>
      <w:rFonts w:ascii="Arial" w:hAnsi="Arial" w:cs="Arial"/>
      <w:color w:val="auto"/>
      <w:sz w:val="20"/>
      <w:szCs w:val="20"/>
    </w:rPr>
  </w:style>
  <w:style w:type="character" w:customStyle="1" w:styleId="EmailStyle1221">
    <w:name w:val="EmailStyle1221"/>
    <w:semiHidden/>
    <w:rsid w:val="00D8364E"/>
    <w:rPr>
      <w:rFonts w:ascii="Arial" w:hAnsi="Arial" w:cs="Arial"/>
      <w:color w:val="000000"/>
      <w:sz w:val="20"/>
      <w:szCs w:val="20"/>
    </w:rPr>
  </w:style>
  <w:style w:type="character" w:customStyle="1" w:styleId="EmailStyle1231">
    <w:name w:val="EmailStyle1231"/>
    <w:rsid w:val="00D8364E"/>
    <w:rPr>
      <w:rFonts w:ascii="Arial" w:hAnsi="Arial" w:cs="Arial"/>
      <w:color w:val="auto"/>
      <w:sz w:val="20"/>
      <w:szCs w:val="20"/>
    </w:rPr>
  </w:style>
  <w:style w:type="character" w:customStyle="1" w:styleId="EmailStyle381">
    <w:name w:val="EmailStyle381"/>
    <w:semiHidden/>
    <w:rsid w:val="00D8364E"/>
    <w:rPr>
      <w:rFonts w:ascii="Arial" w:hAnsi="Arial" w:cs="Arial"/>
      <w:color w:val="000000"/>
      <w:sz w:val="20"/>
      <w:szCs w:val="20"/>
    </w:rPr>
  </w:style>
  <w:style w:type="character" w:customStyle="1" w:styleId="EmailStyle431">
    <w:name w:val="EmailStyle431"/>
    <w:rsid w:val="00D8364E"/>
    <w:rPr>
      <w:rFonts w:ascii="Arial" w:hAnsi="Arial" w:cs="Arial"/>
      <w:color w:val="auto"/>
      <w:sz w:val="20"/>
      <w:szCs w:val="20"/>
    </w:rPr>
  </w:style>
  <w:style w:type="character" w:styleId="EndnoteReference">
    <w:name w:val="endnote reference"/>
    <w:rsid w:val="00D8364E"/>
    <w:rPr>
      <w:vertAlign w:val="superscript"/>
    </w:rPr>
  </w:style>
  <w:style w:type="paragraph" w:styleId="EndnoteText">
    <w:name w:val="endnote text"/>
    <w:basedOn w:val="Normal"/>
    <w:link w:val="EndnoteTextChar"/>
    <w:rsid w:val="00D8364E"/>
    <w:pPr>
      <w:overflowPunct w:val="0"/>
      <w:autoSpaceDE w:val="0"/>
      <w:autoSpaceDN w:val="0"/>
      <w:adjustRightInd w:val="0"/>
      <w:spacing w:before="120" w:after="0"/>
      <w:jc w:val="both"/>
      <w:textAlignment w:val="baseline"/>
    </w:pPr>
    <w:rPr>
      <w:rFonts w:eastAsia="MS Mincho" w:cs="Arial"/>
      <w:szCs w:val="20"/>
    </w:rPr>
  </w:style>
  <w:style w:type="character" w:customStyle="1" w:styleId="EndnoteTextChar">
    <w:name w:val="Endnote Text Char"/>
    <w:basedOn w:val="DefaultParagraphFont"/>
    <w:link w:val="EndnoteText"/>
    <w:rsid w:val="00D8364E"/>
    <w:rPr>
      <w:rFonts w:eastAsia="MS Mincho" w:cs="Arial"/>
      <w:sz w:val="22"/>
      <w:lang w:eastAsia="en-US"/>
    </w:rPr>
  </w:style>
  <w:style w:type="paragraph" w:customStyle="1" w:styleId="Heading1Calibri">
    <w:name w:val="Heading 1 + Calibri"/>
    <w:aliases w:val="10 pt"/>
    <w:basedOn w:val="Normal"/>
    <w:link w:val="Heading1CalibriChar"/>
    <w:rsid w:val="00D8364E"/>
    <w:pPr>
      <w:numPr>
        <w:numId w:val="6"/>
      </w:numPr>
      <w:spacing w:before="120"/>
    </w:pPr>
    <w:rPr>
      <w:rFonts w:eastAsia="Times New Roman"/>
      <w:szCs w:val="20"/>
    </w:rPr>
  </w:style>
  <w:style w:type="character" w:customStyle="1" w:styleId="Heading1CalibriChar">
    <w:name w:val="Heading 1 + Calibri Char"/>
    <w:aliases w:val="10 pt Char"/>
    <w:link w:val="Heading1Calibri"/>
    <w:locked/>
    <w:rsid w:val="00D8364E"/>
    <w:rPr>
      <w:rFonts w:eastAsia="Times New Roman"/>
      <w:sz w:val="22"/>
      <w:lang w:eastAsia="en-US"/>
    </w:rPr>
  </w:style>
  <w:style w:type="paragraph" w:customStyle="1" w:styleId="Heading2ax">
    <w:name w:val="Heading 2ax"/>
    <w:basedOn w:val="Heading2"/>
    <w:rsid w:val="00D8364E"/>
    <w:pPr>
      <w:widowControl w:val="0"/>
      <w:numPr>
        <w:ilvl w:val="0"/>
        <w:numId w:val="0"/>
      </w:numPr>
      <w:tabs>
        <w:tab w:val="left" w:pos="709"/>
      </w:tabs>
      <w:ind w:left="1"/>
      <w:outlineLvl w:val="9"/>
    </w:pPr>
    <w:rPr>
      <w:rFonts w:ascii="Times New Roman" w:eastAsia="MS Mincho" w:hAnsi="Times New Roman"/>
      <w:b w:val="0"/>
      <w:bCs w:val="0"/>
      <w:color w:val="0000FF"/>
    </w:rPr>
  </w:style>
  <w:style w:type="paragraph" w:customStyle="1" w:styleId="HeadingBase">
    <w:name w:val="Heading Base"/>
    <w:basedOn w:val="Normal"/>
    <w:next w:val="Normal"/>
    <w:rsid w:val="00D8364E"/>
    <w:pPr>
      <w:keepNext/>
      <w:keepLines/>
      <w:tabs>
        <w:tab w:val="left" w:pos="8505"/>
      </w:tabs>
      <w:spacing w:before="240" w:after="120" w:line="360" w:lineRule="exact"/>
      <w:ind w:right="96"/>
    </w:pPr>
    <w:rPr>
      <w:rFonts w:eastAsia="Times New Roman" w:cs="Arial"/>
      <w:b/>
      <w:snapToGrid w:val="0"/>
      <w:color w:val="000000"/>
      <w:kern w:val="28"/>
      <w:sz w:val="28"/>
      <w:szCs w:val="20"/>
    </w:rPr>
  </w:style>
  <w:style w:type="paragraph" w:customStyle="1" w:styleId="Heading1AX">
    <w:name w:val="Heading1AX"/>
    <w:basedOn w:val="Heading1"/>
    <w:next w:val="Normal"/>
    <w:link w:val="Heading1AXChar"/>
    <w:qFormat/>
    <w:rsid w:val="00D8364E"/>
    <w:pPr>
      <w:pageBreakBefore/>
      <w:numPr>
        <w:numId w:val="7"/>
      </w:numPr>
      <w:pBdr>
        <w:bottom w:val="single" w:sz="6" w:space="1" w:color="auto"/>
      </w:pBdr>
      <w:overflowPunct w:val="0"/>
      <w:autoSpaceDE w:val="0"/>
      <w:autoSpaceDN w:val="0"/>
      <w:adjustRightInd w:val="0"/>
      <w:spacing w:before="120" w:after="0"/>
      <w:textAlignment w:val="baseline"/>
    </w:pPr>
    <w:rPr>
      <w:rFonts w:eastAsia="MS Mincho"/>
      <w:b w:val="0"/>
      <w:bCs/>
      <w:color w:val="auto"/>
      <w:kern w:val="32"/>
      <w:sz w:val="28"/>
      <w:szCs w:val="24"/>
    </w:rPr>
  </w:style>
  <w:style w:type="character" w:customStyle="1" w:styleId="Heading1AXChar">
    <w:name w:val="Heading1AX Char"/>
    <w:link w:val="Heading1AX"/>
    <w:rsid w:val="00D8364E"/>
    <w:rPr>
      <w:rFonts w:eastAsia="MS Mincho" w:cs="Arial"/>
      <w:bCs/>
      <w:kern w:val="32"/>
      <w:sz w:val="28"/>
      <w:szCs w:val="24"/>
      <w:lang w:eastAsia="en-US"/>
    </w:rPr>
  </w:style>
  <w:style w:type="paragraph" w:styleId="Index1">
    <w:name w:val="index 1"/>
    <w:basedOn w:val="Normal"/>
    <w:next w:val="Normal"/>
    <w:autoRedefine/>
    <w:rsid w:val="00D8364E"/>
    <w:pPr>
      <w:overflowPunct w:val="0"/>
      <w:autoSpaceDE w:val="0"/>
      <w:autoSpaceDN w:val="0"/>
      <w:adjustRightInd w:val="0"/>
      <w:spacing w:before="120" w:after="120"/>
      <w:ind w:left="200" w:hanging="200"/>
      <w:jc w:val="both"/>
      <w:textAlignment w:val="baseline"/>
    </w:pPr>
    <w:rPr>
      <w:rFonts w:eastAsia="MS Mincho" w:cs="Arial"/>
      <w:szCs w:val="20"/>
    </w:rPr>
  </w:style>
  <w:style w:type="paragraph" w:styleId="IndexHeading">
    <w:name w:val="index heading"/>
    <w:basedOn w:val="Normal"/>
    <w:next w:val="Index1"/>
    <w:rsid w:val="00D8364E"/>
    <w:pPr>
      <w:overflowPunct w:val="0"/>
      <w:autoSpaceDE w:val="0"/>
      <w:autoSpaceDN w:val="0"/>
      <w:adjustRightInd w:val="0"/>
      <w:spacing w:before="120" w:after="120"/>
      <w:jc w:val="both"/>
      <w:textAlignment w:val="baseline"/>
    </w:pPr>
    <w:rPr>
      <w:rFonts w:ascii="Cambria" w:eastAsia="MS Gothic" w:hAnsi="Cambria"/>
      <w:b/>
      <w:bCs/>
      <w:szCs w:val="20"/>
    </w:rPr>
  </w:style>
  <w:style w:type="paragraph" w:customStyle="1" w:styleId="InsideAddress">
    <w:name w:val="Inside Address"/>
    <w:basedOn w:val="Normal"/>
    <w:rsid w:val="00D8364E"/>
    <w:pPr>
      <w:overflowPunct w:val="0"/>
      <w:autoSpaceDE w:val="0"/>
      <w:autoSpaceDN w:val="0"/>
      <w:adjustRightInd w:val="0"/>
      <w:spacing w:before="120" w:after="120"/>
      <w:jc w:val="both"/>
      <w:textAlignment w:val="baseline"/>
    </w:pPr>
    <w:rPr>
      <w:rFonts w:eastAsia="MS Mincho" w:cs="Arial"/>
      <w:szCs w:val="20"/>
    </w:rPr>
  </w:style>
  <w:style w:type="paragraph" w:styleId="List">
    <w:name w:val="List"/>
    <w:basedOn w:val="Normal"/>
    <w:rsid w:val="00D8364E"/>
    <w:pPr>
      <w:overflowPunct w:val="0"/>
      <w:autoSpaceDE w:val="0"/>
      <w:autoSpaceDN w:val="0"/>
      <w:adjustRightInd w:val="0"/>
      <w:spacing w:before="120" w:after="120"/>
      <w:ind w:left="283" w:hanging="283"/>
      <w:jc w:val="both"/>
      <w:textAlignment w:val="baseline"/>
    </w:pPr>
    <w:rPr>
      <w:rFonts w:eastAsia="MS Mincho" w:cs="Arial"/>
      <w:szCs w:val="20"/>
    </w:rPr>
  </w:style>
  <w:style w:type="paragraph" w:styleId="ListBullet2">
    <w:name w:val="List Bullet 2"/>
    <w:basedOn w:val="Normal"/>
    <w:rsid w:val="00D8364E"/>
    <w:pPr>
      <w:numPr>
        <w:numId w:val="8"/>
      </w:numPr>
      <w:overflowPunct w:val="0"/>
      <w:autoSpaceDE w:val="0"/>
      <w:autoSpaceDN w:val="0"/>
      <w:adjustRightInd w:val="0"/>
      <w:spacing w:before="120" w:after="120"/>
      <w:jc w:val="both"/>
      <w:textAlignment w:val="baseline"/>
    </w:pPr>
    <w:rPr>
      <w:rFonts w:eastAsia="MS Mincho" w:cs="Arial"/>
      <w:szCs w:val="20"/>
    </w:rPr>
  </w:style>
  <w:style w:type="paragraph" w:styleId="ListContinue">
    <w:name w:val="List Continue"/>
    <w:basedOn w:val="Normal"/>
    <w:rsid w:val="00D8364E"/>
    <w:pPr>
      <w:overflowPunct w:val="0"/>
      <w:autoSpaceDE w:val="0"/>
      <w:autoSpaceDN w:val="0"/>
      <w:adjustRightInd w:val="0"/>
      <w:spacing w:before="120" w:after="120"/>
      <w:ind w:left="283"/>
      <w:jc w:val="both"/>
      <w:textAlignment w:val="baseline"/>
    </w:pPr>
    <w:rPr>
      <w:rFonts w:eastAsia="MS Mincho" w:cs="Arial"/>
      <w:szCs w:val="20"/>
    </w:rPr>
  </w:style>
  <w:style w:type="character" w:customStyle="1" w:styleId="me">
    <w:name w:val="me"/>
    <w:rsid w:val="00D8364E"/>
  </w:style>
  <w:style w:type="paragraph" w:customStyle="1" w:styleId="Normal10pt">
    <w:name w:val="Normal + 10 pt"/>
    <w:basedOn w:val="Normal"/>
    <w:rsid w:val="00D8364E"/>
    <w:pPr>
      <w:spacing w:before="120"/>
      <w:ind w:left="720"/>
    </w:pPr>
    <w:rPr>
      <w:rFonts w:eastAsia="Times New Roman"/>
      <w:b/>
      <w:i/>
      <w:szCs w:val="20"/>
    </w:rPr>
  </w:style>
  <w:style w:type="paragraph" w:customStyle="1" w:styleId="NormalIndent1">
    <w:name w:val="Normal Indent 1"/>
    <w:basedOn w:val="Normal"/>
    <w:link w:val="NormalIndent1Char"/>
    <w:qFormat/>
    <w:rsid w:val="00D8364E"/>
    <w:pPr>
      <w:overflowPunct w:val="0"/>
      <w:autoSpaceDE w:val="0"/>
      <w:autoSpaceDN w:val="0"/>
      <w:adjustRightInd w:val="0"/>
      <w:spacing w:before="120" w:after="120"/>
      <w:ind w:left="284"/>
      <w:jc w:val="both"/>
      <w:textAlignment w:val="baseline"/>
    </w:pPr>
    <w:rPr>
      <w:rFonts w:eastAsia="MS Mincho" w:cs="Arial"/>
      <w:szCs w:val="20"/>
    </w:rPr>
  </w:style>
  <w:style w:type="character" w:customStyle="1" w:styleId="NormalIndent1Char">
    <w:name w:val="Normal Indent 1 Char"/>
    <w:link w:val="NormalIndent1"/>
    <w:rsid w:val="00D8364E"/>
    <w:rPr>
      <w:rFonts w:eastAsia="MS Mincho" w:cs="Arial"/>
      <w:sz w:val="22"/>
      <w:lang w:eastAsia="en-US"/>
    </w:rPr>
  </w:style>
  <w:style w:type="paragraph" w:customStyle="1" w:styleId="NormalIndent2">
    <w:name w:val="Normal Indent 2"/>
    <w:basedOn w:val="NormalIndent1"/>
    <w:link w:val="NormalIndent2Char"/>
    <w:qFormat/>
    <w:rsid w:val="00D8364E"/>
    <w:pPr>
      <w:ind w:left="720"/>
    </w:pPr>
  </w:style>
  <w:style w:type="character" w:customStyle="1" w:styleId="NormalIndent2Char">
    <w:name w:val="Normal Indent 2 Char"/>
    <w:link w:val="NormalIndent2"/>
    <w:rsid w:val="00D8364E"/>
    <w:rPr>
      <w:rFonts w:eastAsia="MS Mincho" w:cs="Arial"/>
      <w:sz w:val="22"/>
      <w:lang w:eastAsia="en-US"/>
    </w:rPr>
  </w:style>
  <w:style w:type="paragraph" w:styleId="PlainText">
    <w:name w:val="Plain Text"/>
    <w:basedOn w:val="Normal"/>
    <w:link w:val="PlainTextChar"/>
    <w:rsid w:val="00D8364E"/>
    <w:pPr>
      <w:spacing w:before="120" w:after="120"/>
    </w:pPr>
    <w:rPr>
      <w:rFonts w:ascii="Courier New" w:eastAsia="MS Mincho" w:hAnsi="Courier New" w:cs="Courier New"/>
      <w:szCs w:val="20"/>
      <w:lang w:eastAsia="ja-JP"/>
    </w:rPr>
  </w:style>
  <w:style w:type="character" w:customStyle="1" w:styleId="PlainTextChar">
    <w:name w:val="Plain Text Char"/>
    <w:basedOn w:val="DefaultParagraphFont"/>
    <w:link w:val="PlainText"/>
    <w:rsid w:val="00D8364E"/>
    <w:rPr>
      <w:rFonts w:ascii="Courier New" w:eastAsia="MS Mincho" w:hAnsi="Courier New" w:cs="Courier New"/>
      <w:sz w:val="22"/>
      <w:lang w:eastAsia="ja-JP"/>
    </w:rPr>
  </w:style>
  <w:style w:type="character" w:styleId="Strong">
    <w:name w:val="Strong"/>
    <w:qFormat/>
    <w:rsid w:val="00D8364E"/>
    <w:rPr>
      <w:b/>
      <w:bCs/>
    </w:rPr>
  </w:style>
  <w:style w:type="character" w:customStyle="1" w:styleId="subparatext">
    <w:name w:val="subparatext"/>
    <w:rsid w:val="00D8364E"/>
  </w:style>
  <w:style w:type="character" w:styleId="SubtleReference">
    <w:name w:val="Subtle Reference"/>
    <w:uiPriority w:val="31"/>
    <w:qFormat/>
    <w:rsid w:val="00D8364E"/>
    <w:rPr>
      <w:smallCaps/>
      <w:color w:val="C0504D"/>
      <w:u w:val="single"/>
    </w:rPr>
  </w:style>
  <w:style w:type="paragraph" w:styleId="TableofFigures">
    <w:name w:val="table of figures"/>
    <w:basedOn w:val="Normal"/>
    <w:next w:val="Normal"/>
    <w:uiPriority w:val="99"/>
    <w:rsid w:val="00B4218A"/>
    <w:pPr>
      <w:overflowPunct w:val="0"/>
      <w:autoSpaceDE w:val="0"/>
      <w:autoSpaceDN w:val="0"/>
      <w:adjustRightInd w:val="0"/>
      <w:spacing w:before="120" w:after="0"/>
      <w:jc w:val="both"/>
      <w:textAlignment w:val="baseline"/>
    </w:pPr>
    <w:rPr>
      <w:rFonts w:eastAsia="MS Mincho" w:cs="Arial"/>
      <w:sz w:val="20"/>
      <w:szCs w:val="20"/>
    </w:rPr>
  </w:style>
  <w:style w:type="paragraph" w:styleId="TOCHeading">
    <w:name w:val="TOC Heading"/>
    <w:basedOn w:val="Heading1"/>
    <w:next w:val="Normal"/>
    <w:uiPriority w:val="39"/>
    <w:qFormat/>
    <w:rsid w:val="00D8364E"/>
    <w:pPr>
      <w:keepLines/>
      <w:pageBreakBefore/>
      <w:numPr>
        <w:numId w:val="0"/>
      </w:numPr>
      <w:spacing w:before="480" w:after="0"/>
      <w:jc w:val="left"/>
      <w:outlineLvl w:val="9"/>
    </w:pPr>
    <w:rPr>
      <w:rFonts w:ascii="Cambria" w:eastAsia="MS Gothic" w:hAnsi="Cambria" w:cs="Times New Roman"/>
      <w:b w:val="0"/>
      <w:color w:val="365F91"/>
      <w:sz w:val="28"/>
      <w:szCs w:val="28"/>
      <w:lang w:val="en-US"/>
    </w:rPr>
  </w:style>
  <w:style w:type="character" w:customStyle="1" w:styleId="FootnoteChar">
    <w:name w:val="Footnote Char"/>
    <w:link w:val="Footnote"/>
    <w:locked/>
    <w:rsid w:val="00DA09F2"/>
    <w:rPr>
      <w:i/>
      <w:iCs/>
      <w:sz w:val="18"/>
    </w:rPr>
  </w:style>
  <w:style w:type="paragraph" w:customStyle="1" w:styleId="Footnote">
    <w:name w:val="Footnote"/>
    <w:basedOn w:val="Normal"/>
    <w:link w:val="FootnoteChar"/>
    <w:rsid w:val="00DA09F2"/>
    <w:pPr>
      <w:overflowPunct w:val="0"/>
      <w:autoSpaceDE w:val="0"/>
      <w:autoSpaceDN w:val="0"/>
      <w:spacing w:after="0" w:line="240" w:lineRule="auto"/>
      <w:ind w:left="284" w:hanging="284"/>
      <w:jc w:val="both"/>
    </w:pPr>
    <w:rPr>
      <w:i/>
      <w:iCs/>
      <w:sz w:val="18"/>
      <w:szCs w:val="20"/>
      <w:lang w:eastAsia="en-GB"/>
    </w:rPr>
  </w:style>
  <w:style w:type="paragraph" w:styleId="Revision">
    <w:name w:val="Revision"/>
    <w:hidden/>
    <w:uiPriority w:val="99"/>
    <w:semiHidden/>
    <w:rsid w:val="00D8364E"/>
    <w:rPr>
      <w:rFonts w:eastAsia="MS Mincho" w:cs="Arial"/>
      <w:sz w:val="22"/>
      <w:lang w:eastAsia="en-US"/>
    </w:rPr>
  </w:style>
  <w:style w:type="paragraph" w:styleId="ListNumber">
    <w:name w:val="List Number"/>
    <w:basedOn w:val="Normal"/>
    <w:uiPriority w:val="99"/>
    <w:semiHidden/>
    <w:unhideWhenUsed/>
    <w:rsid w:val="0097048D"/>
    <w:pPr>
      <w:numPr>
        <w:numId w:val="10"/>
      </w:numPr>
      <w:contextualSpacing/>
    </w:pPr>
  </w:style>
  <w:style w:type="table" w:styleId="LightShading-Accent1">
    <w:name w:val="Light Shading Accent 1"/>
    <w:basedOn w:val="TableNormal"/>
    <w:uiPriority w:val="60"/>
    <w:rsid w:val="00BF015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stParagraphChar">
    <w:name w:val="List Paragraph Char"/>
    <w:basedOn w:val="DefaultParagraphFont"/>
    <w:link w:val="ListParagraph"/>
    <w:uiPriority w:val="34"/>
    <w:rsid w:val="00CE3E11"/>
    <w:rPr>
      <w:rFonts w:ascii="Arial" w:hAnsi="Arial" w:cs="Arial"/>
      <w:noProof/>
      <w:sz w:val="22"/>
      <w:szCs w:val="22"/>
      <w:lang w:eastAsia="ja-JP"/>
    </w:rPr>
  </w:style>
  <w:style w:type="paragraph" w:customStyle="1" w:styleId="Marginalnumber">
    <w:name w:val="Marginal number"/>
    <w:basedOn w:val="Normal"/>
    <w:qFormat/>
    <w:rsid w:val="00CE3E11"/>
    <w:pPr>
      <w:numPr>
        <w:numId w:val="11"/>
      </w:numPr>
      <w:tabs>
        <w:tab w:val="left" w:pos="0"/>
      </w:tabs>
    </w:pPr>
    <w:rPr>
      <w:rFonts w:asciiTheme="minorHAnsi" w:eastAsiaTheme="minorEastAsia" w:hAnsiTheme="minorHAnsi" w:cstheme="minorBidi"/>
      <w:szCs w:val="20"/>
      <w:lang w:eastAsia="ja-JP"/>
    </w:rPr>
  </w:style>
  <w:style w:type="paragraph" w:customStyle="1" w:styleId="TableParagraph">
    <w:name w:val="Table Paragraph"/>
    <w:basedOn w:val="Normal"/>
    <w:uiPriority w:val="1"/>
    <w:qFormat/>
    <w:rsid w:val="00D465CD"/>
    <w:pPr>
      <w:autoSpaceDE w:val="0"/>
      <w:autoSpaceDN w:val="0"/>
      <w:adjustRightInd w:val="0"/>
      <w:spacing w:after="0" w:line="240" w:lineRule="auto"/>
    </w:pPr>
    <w:rPr>
      <w:rFonts w:cs="Calibri"/>
      <w:sz w:val="24"/>
      <w:szCs w:val="24"/>
      <w:lang w:eastAsia="en-GB"/>
    </w:rPr>
  </w:style>
  <w:style w:type="character" w:customStyle="1" w:styleId="xrefout">
    <w:name w:val="xrefout"/>
    <w:basedOn w:val="DefaultParagraphFont"/>
    <w:rsid w:val="006B0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6122">
      <w:bodyDiv w:val="1"/>
      <w:marLeft w:val="0"/>
      <w:marRight w:val="0"/>
      <w:marTop w:val="0"/>
      <w:marBottom w:val="0"/>
      <w:divBdr>
        <w:top w:val="none" w:sz="0" w:space="0" w:color="auto"/>
        <w:left w:val="none" w:sz="0" w:space="0" w:color="auto"/>
        <w:bottom w:val="none" w:sz="0" w:space="0" w:color="auto"/>
        <w:right w:val="none" w:sz="0" w:space="0" w:color="auto"/>
      </w:divBdr>
    </w:div>
    <w:div w:id="17970192">
      <w:bodyDiv w:val="1"/>
      <w:marLeft w:val="0"/>
      <w:marRight w:val="0"/>
      <w:marTop w:val="0"/>
      <w:marBottom w:val="0"/>
      <w:divBdr>
        <w:top w:val="none" w:sz="0" w:space="0" w:color="auto"/>
        <w:left w:val="none" w:sz="0" w:space="0" w:color="auto"/>
        <w:bottom w:val="none" w:sz="0" w:space="0" w:color="auto"/>
        <w:right w:val="none" w:sz="0" w:space="0" w:color="auto"/>
      </w:divBdr>
    </w:div>
    <w:div w:id="19942753">
      <w:bodyDiv w:val="1"/>
      <w:marLeft w:val="0"/>
      <w:marRight w:val="0"/>
      <w:marTop w:val="0"/>
      <w:marBottom w:val="0"/>
      <w:divBdr>
        <w:top w:val="none" w:sz="0" w:space="0" w:color="auto"/>
        <w:left w:val="none" w:sz="0" w:space="0" w:color="auto"/>
        <w:bottom w:val="none" w:sz="0" w:space="0" w:color="auto"/>
        <w:right w:val="none" w:sz="0" w:space="0" w:color="auto"/>
      </w:divBdr>
    </w:div>
    <w:div w:id="21447162">
      <w:bodyDiv w:val="1"/>
      <w:marLeft w:val="0"/>
      <w:marRight w:val="0"/>
      <w:marTop w:val="0"/>
      <w:marBottom w:val="0"/>
      <w:divBdr>
        <w:top w:val="none" w:sz="0" w:space="0" w:color="auto"/>
        <w:left w:val="none" w:sz="0" w:space="0" w:color="auto"/>
        <w:bottom w:val="none" w:sz="0" w:space="0" w:color="auto"/>
        <w:right w:val="none" w:sz="0" w:space="0" w:color="auto"/>
      </w:divBdr>
    </w:div>
    <w:div w:id="32461518">
      <w:bodyDiv w:val="1"/>
      <w:marLeft w:val="0"/>
      <w:marRight w:val="0"/>
      <w:marTop w:val="0"/>
      <w:marBottom w:val="0"/>
      <w:divBdr>
        <w:top w:val="none" w:sz="0" w:space="0" w:color="auto"/>
        <w:left w:val="none" w:sz="0" w:space="0" w:color="auto"/>
        <w:bottom w:val="none" w:sz="0" w:space="0" w:color="auto"/>
        <w:right w:val="none" w:sz="0" w:space="0" w:color="auto"/>
      </w:divBdr>
      <w:divsChild>
        <w:div w:id="2121147964">
          <w:marLeft w:val="0"/>
          <w:marRight w:val="0"/>
          <w:marTop w:val="0"/>
          <w:marBottom w:val="0"/>
          <w:divBdr>
            <w:top w:val="none" w:sz="0" w:space="0" w:color="auto"/>
            <w:left w:val="none" w:sz="0" w:space="0" w:color="auto"/>
            <w:bottom w:val="none" w:sz="0" w:space="0" w:color="auto"/>
            <w:right w:val="none" w:sz="0" w:space="0" w:color="auto"/>
          </w:divBdr>
          <w:divsChild>
            <w:div w:id="1036658380">
              <w:marLeft w:val="0"/>
              <w:marRight w:val="0"/>
              <w:marTop w:val="0"/>
              <w:marBottom w:val="0"/>
              <w:divBdr>
                <w:top w:val="none" w:sz="0" w:space="0" w:color="auto"/>
                <w:left w:val="none" w:sz="0" w:space="0" w:color="auto"/>
                <w:bottom w:val="none" w:sz="0" w:space="0" w:color="auto"/>
                <w:right w:val="none" w:sz="0" w:space="0" w:color="auto"/>
              </w:divBdr>
            </w:div>
          </w:divsChild>
        </w:div>
        <w:div w:id="1525556736">
          <w:marLeft w:val="0"/>
          <w:marRight w:val="0"/>
          <w:marTop w:val="0"/>
          <w:marBottom w:val="0"/>
          <w:divBdr>
            <w:top w:val="none" w:sz="0" w:space="0" w:color="auto"/>
            <w:left w:val="none" w:sz="0" w:space="0" w:color="auto"/>
            <w:bottom w:val="none" w:sz="0" w:space="0" w:color="auto"/>
            <w:right w:val="none" w:sz="0" w:space="0" w:color="auto"/>
          </w:divBdr>
          <w:divsChild>
            <w:div w:id="1748262567">
              <w:marLeft w:val="0"/>
              <w:marRight w:val="0"/>
              <w:marTop w:val="0"/>
              <w:marBottom w:val="0"/>
              <w:divBdr>
                <w:top w:val="none" w:sz="0" w:space="0" w:color="auto"/>
                <w:left w:val="none" w:sz="0" w:space="0" w:color="auto"/>
                <w:bottom w:val="none" w:sz="0" w:space="0" w:color="auto"/>
                <w:right w:val="none" w:sz="0" w:space="0" w:color="auto"/>
              </w:divBdr>
            </w:div>
          </w:divsChild>
        </w:div>
        <w:div w:id="732242669">
          <w:marLeft w:val="0"/>
          <w:marRight w:val="0"/>
          <w:marTop w:val="0"/>
          <w:marBottom w:val="0"/>
          <w:divBdr>
            <w:top w:val="none" w:sz="0" w:space="0" w:color="auto"/>
            <w:left w:val="none" w:sz="0" w:space="0" w:color="auto"/>
            <w:bottom w:val="none" w:sz="0" w:space="0" w:color="auto"/>
            <w:right w:val="none" w:sz="0" w:space="0" w:color="auto"/>
          </w:divBdr>
          <w:divsChild>
            <w:div w:id="16506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9517">
      <w:bodyDiv w:val="1"/>
      <w:marLeft w:val="0"/>
      <w:marRight w:val="0"/>
      <w:marTop w:val="0"/>
      <w:marBottom w:val="0"/>
      <w:divBdr>
        <w:top w:val="none" w:sz="0" w:space="0" w:color="auto"/>
        <w:left w:val="none" w:sz="0" w:space="0" w:color="auto"/>
        <w:bottom w:val="none" w:sz="0" w:space="0" w:color="auto"/>
        <w:right w:val="none" w:sz="0" w:space="0" w:color="auto"/>
      </w:divBdr>
    </w:div>
    <w:div w:id="52824427">
      <w:bodyDiv w:val="1"/>
      <w:marLeft w:val="0"/>
      <w:marRight w:val="0"/>
      <w:marTop w:val="0"/>
      <w:marBottom w:val="0"/>
      <w:divBdr>
        <w:top w:val="none" w:sz="0" w:space="0" w:color="auto"/>
        <w:left w:val="none" w:sz="0" w:space="0" w:color="auto"/>
        <w:bottom w:val="none" w:sz="0" w:space="0" w:color="auto"/>
        <w:right w:val="none" w:sz="0" w:space="0" w:color="auto"/>
      </w:divBdr>
    </w:div>
    <w:div w:id="52851979">
      <w:bodyDiv w:val="1"/>
      <w:marLeft w:val="0"/>
      <w:marRight w:val="0"/>
      <w:marTop w:val="0"/>
      <w:marBottom w:val="0"/>
      <w:divBdr>
        <w:top w:val="none" w:sz="0" w:space="0" w:color="auto"/>
        <w:left w:val="none" w:sz="0" w:space="0" w:color="auto"/>
        <w:bottom w:val="none" w:sz="0" w:space="0" w:color="auto"/>
        <w:right w:val="none" w:sz="0" w:space="0" w:color="auto"/>
      </w:divBdr>
    </w:div>
    <w:div w:id="59443808">
      <w:bodyDiv w:val="1"/>
      <w:marLeft w:val="0"/>
      <w:marRight w:val="0"/>
      <w:marTop w:val="0"/>
      <w:marBottom w:val="0"/>
      <w:divBdr>
        <w:top w:val="none" w:sz="0" w:space="0" w:color="auto"/>
        <w:left w:val="none" w:sz="0" w:space="0" w:color="auto"/>
        <w:bottom w:val="none" w:sz="0" w:space="0" w:color="auto"/>
        <w:right w:val="none" w:sz="0" w:space="0" w:color="auto"/>
      </w:divBdr>
    </w:div>
    <w:div w:id="76707466">
      <w:bodyDiv w:val="1"/>
      <w:marLeft w:val="0"/>
      <w:marRight w:val="0"/>
      <w:marTop w:val="0"/>
      <w:marBottom w:val="0"/>
      <w:divBdr>
        <w:top w:val="none" w:sz="0" w:space="0" w:color="auto"/>
        <w:left w:val="none" w:sz="0" w:space="0" w:color="auto"/>
        <w:bottom w:val="none" w:sz="0" w:space="0" w:color="auto"/>
        <w:right w:val="none" w:sz="0" w:space="0" w:color="auto"/>
      </w:divBdr>
    </w:div>
    <w:div w:id="96601823">
      <w:bodyDiv w:val="1"/>
      <w:marLeft w:val="0"/>
      <w:marRight w:val="0"/>
      <w:marTop w:val="0"/>
      <w:marBottom w:val="0"/>
      <w:divBdr>
        <w:top w:val="none" w:sz="0" w:space="0" w:color="auto"/>
        <w:left w:val="none" w:sz="0" w:space="0" w:color="auto"/>
        <w:bottom w:val="none" w:sz="0" w:space="0" w:color="auto"/>
        <w:right w:val="none" w:sz="0" w:space="0" w:color="auto"/>
      </w:divBdr>
    </w:div>
    <w:div w:id="106855602">
      <w:bodyDiv w:val="1"/>
      <w:marLeft w:val="0"/>
      <w:marRight w:val="0"/>
      <w:marTop w:val="0"/>
      <w:marBottom w:val="0"/>
      <w:divBdr>
        <w:top w:val="none" w:sz="0" w:space="0" w:color="auto"/>
        <w:left w:val="none" w:sz="0" w:space="0" w:color="auto"/>
        <w:bottom w:val="none" w:sz="0" w:space="0" w:color="auto"/>
        <w:right w:val="none" w:sz="0" w:space="0" w:color="auto"/>
      </w:divBdr>
    </w:div>
    <w:div w:id="109132351">
      <w:bodyDiv w:val="1"/>
      <w:marLeft w:val="0"/>
      <w:marRight w:val="0"/>
      <w:marTop w:val="0"/>
      <w:marBottom w:val="0"/>
      <w:divBdr>
        <w:top w:val="none" w:sz="0" w:space="0" w:color="auto"/>
        <w:left w:val="none" w:sz="0" w:space="0" w:color="auto"/>
        <w:bottom w:val="none" w:sz="0" w:space="0" w:color="auto"/>
        <w:right w:val="none" w:sz="0" w:space="0" w:color="auto"/>
      </w:divBdr>
    </w:div>
    <w:div w:id="110826926">
      <w:bodyDiv w:val="1"/>
      <w:marLeft w:val="0"/>
      <w:marRight w:val="0"/>
      <w:marTop w:val="0"/>
      <w:marBottom w:val="0"/>
      <w:divBdr>
        <w:top w:val="none" w:sz="0" w:space="0" w:color="auto"/>
        <w:left w:val="none" w:sz="0" w:space="0" w:color="auto"/>
        <w:bottom w:val="none" w:sz="0" w:space="0" w:color="auto"/>
        <w:right w:val="none" w:sz="0" w:space="0" w:color="auto"/>
      </w:divBdr>
    </w:div>
    <w:div w:id="112986717">
      <w:bodyDiv w:val="1"/>
      <w:marLeft w:val="0"/>
      <w:marRight w:val="0"/>
      <w:marTop w:val="0"/>
      <w:marBottom w:val="0"/>
      <w:divBdr>
        <w:top w:val="none" w:sz="0" w:space="0" w:color="auto"/>
        <w:left w:val="none" w:sz="0" w:space="0" w:color="auto"/>
        <w:bottom w:val="none" w:sz="0" w:space="0" w:color="auto"/>
        <w:right w:val="none" w:sz="0" w:space="0" w:color="auto"/>
      </w:divBdr>
    </w:div>
    <w:div w:id="128672152">
      <w:bodyDiv w:val="1"/>
      <w:marLeft w:val="0"/>
      <w:marRight w:val="0"/>
      <w:marTop w:val="0"/>
      <w:marBottom w:val="0"/>
      <w:divBdr>
        <w:top w:val="none" w:sz="0" w:space="0" w:color="auto"/>
        <w:left w:val="none" w:sz="0" w:space="0" w:color="auto"/>
        <w:bottom w:val="none" w:sz="0" w:space="0" w:color="auto"/>
        <w:right w:val="none" w:sz="0" w:space="0" w:color="auto"/>
      </w:divBdr>
    </w:div>
    <w:div w:id="132213122">
      <w:bodyDiv w:val="1"/>
      <w:marLeft w:val="0"/>
      <w:marRight w:val="0"/>
      <w:marTop w:val="0"/>
      <w:marBottom w:val="0"/>
      <w:divBdr>
        <w:top w:val="none" w:sz="0" w:space="0" w:color="auto"/>
        <w:left w:val="none" w:sz="0" w:space="0" w:color="auto"/>
        <w:bottom w:val="none" w:sz="0" w:space="0" w:color="auto"/>
        <w:right w:val="none" w:sz="0" w:space="0" w:color="auto"/>
      </w:divBdr>
    </w:div>
    <w:div w:id="138307030">
      <w:bodyDiv w:val="1"/>
      <w:marLeft w:val="0"/>
      <w:marRight w:val="0"/>
      <w:marTop w:val="0"/>
      <w:marBottom w:val="0"/>
      <w:divBdr>
        <w:top w:val="none" w:sz="0" w:space="0" w:color="auto"/>
        <w:left w:val="none" w:sz="0" w:space="0" w:color="auto"/>
        <w:bottom w:val="none" w:sz="0" w:space="0" w:color="auto"/>
        <w:right w:val="none" w:sz="0" w:space="0" w:color="auto"/>
      </w:divBdr>
    </w:div>
    <w:div w:id="158351229">
      <w:bodyDiv w:val="1"/>
      <w:marLeft w:val="0"/>
      <w:marRight w:val="0"/>
      <w:marTop w:val="0"/>
      <w:marBottom w:val="0"/>
      <w:divBdr>
        <w:top w:val="none" w:sz="0" w:space="0" w:color="auto"/>
        <w:left w:val="none" w:sz="0" w:space="0" w:color="auto"/>
        <w:bottom w:val="none" w:sz="0" w:space="0" w:color="auto"/>
        <w:right w:val="none" w:sz="0" w:space="0" w:color="auto"/>
      </w:divBdr>
    </w:div>
    <w:div w:id="166673172">
      <w:bodyDiv w:val="1"/>
      <w:marLeft w:val="0"/>
      <w:marRight w:val="0"/>
      <w:marTop w:val="0"/>
      <w:marBottom w:val="0"/>
      <w:divBdr>
        <w:top w:val="none" w:sz="0" w:space="0" w:color="auto"/>
        <w:left w:val="none" w:sz="0" w:space="0" w:color="auto"/>
        <w:bottom w:val="none" w:sz="0" w:space="0" w:color="auto"/>
        <w:right w:val="none" w:sz="0" w:space="0" w:color="auto"/>
      </w:divBdr>
    </w:div>
    <w:div w:id="185675956">
      <w:bodyDiv w:val="1"/>
      <w:marLeft w:val="0"/>
      <w:marRight w:val="0"/>
      <w:marTop w:val="0"/>
      <w:marBottom w:val="0"/>
      <w:divBdr>
        <w:top w:val="none" w:sz="0" w:space="0" w:color="auto"/>
        <w:left w:val="none" w:sz="0" w:space="0" w:color="auto"/>
        <w:bottom w:val="none" w:sz="0" w:space="0" w:color="auto"/>
        <w:right w:val="none" w:sz="0" w:space="0" w:color="auto"/>
      </w:divBdr>
    </w:div>
    <w:div w:id="188301681">
      <w:bodyDiv w:val="1"/>
      <w:marLeft w:val="0"/>
      <w:marRight w:val="0"/>
      <w:marTop w:val="0"/>
      <w:marBottom w:val="0"/>
      <w:divBdr>
        <w:top w:val="none" w:sz="0" w:space="0" w:color="auto"/>
        <w:left w:val="none" w:sz="0" w:space="0" w:color="auto"/>
        <w:bottom w:val="none" w:sz="0" w:space="0" w:color="auto"/>
        <w:right w:val="none" w:sz="0" w:space="0" w:color="auto"/>
      </w:divBdr>
    </w:div>
    <w:div w:id="208303207">
      <w:bodyDiv w:val="1"/>
      <w:marLeft w:val="0"/>
      <w:marRight w:val="0"/>
      <w:marTop w:val="0"/>
      <w:marBottom w:val="0"/>
      <w:divBdr>
        <w:top w:val="none" w:sz="0" w:space="0" w:color="auto"/>
        <w:left w:val="none" w:sz="0" w:space="0" w:color="auto"/>
        <w:bottom w:val="none" w:sz="0" w:space="0" w:color="auto"/>
        <w:right w:val="none" w:sz="0" w:space="0" w:color="auto"/>
      </w:divBdr>
    </w:div>
    <w:div w:id="214702727">
      <w:bodyDiv w:val="1"/>
      <w:marLeft w:val="0"/>
      <w:marRight w:val="0"/>
      <w:marTop w:val="0"/>
      <w:marBottom w:val="0"/>
      <w:divBdr>
        <w:top w:val="none" w:sz="0" w:space="0" w:color="auto"/>
        <w:left w:val="none" w:sz="0" w:space="0" w:color="auto"/>
        <w:bottom w:val="none" w:sz="0" w:space="0" w:color="auto"/>
        <w:right w:val="none" w:sz="0" w:space="0" w:color="auto"/>
      </w:divBdr>
    </w:div>
    <w:div w:id="215819911">
      <w:bodyDiv w:val="1"/>
      <w:marLeft w:val="0"/>
      <w:marRight w:val="0"/>
      <w:marTop w:val="0"/>
      <w:marBottom w:val="0"/>
      <w:divBdr>
        <w:top w:val="none" w:sz="0" w:space="0" w:color="auto"/>
        <w:left w:val="none" w:sz="0" w:space="0" w:color="auto"/>
        <w:bottom w:val="none" w:sz="0" w:space="0" w:color="auto"/>
        <w:right w:val="none" w:sz="0" w:space="0" w:color="auto"/>
      </w:divBdr>
    </w:div>
    <w:div w:id="222133683">
      <w:bodyDiv w:val="1"/>
      <w:marLeft w:val="0"/>
      <w:marRight w:val="0"/>
      <w:marTop w:val="0"/>
      <w:marBottom w:val="0"/>
      <w:divBdr>
        <w:top w:val="none" w:sz="0" w:space="0" w:color="auto"/>
        <w:left w:val="none" w:sz="0" w:space="0" w:color="auto"/>
        <w:bottom w:val="none" w:sz="0" w:space="0" w:color="auto"/>
        <w:right w:val="none" w:sz="0" w:space="0" w:color="auto"/>
      </w:divBdr>
    </w:div>
    <w:div w:id="227618247">
      <w:bodyDiv w:val="1"/>
      <w:marLeft w:val="0"/>
      <w:marRight w:val="0"/>
      <w:marTop w:val="0"/>
      <w:marBottom w:val="0"/>
      <w:divBdr>
        <w:top w:val="none" w:sz="0" w:space="0" w:color="auto"/>
        <w:left w:val="none" w:sz="0" w:space="0" w:color="auto"/>
        <w:bottom w:val="none" w:sz="0" w:space="0" w:color="auto"/>
        <w:right w:val="none" w:sz="0" w:space="0" w:color="auto"/>
      </w:divBdr>
    </w:div>
    <w:div w:id="230115153">
      <w:bodyDiv w:val="1"/>
      <w:marLeft w:val="0"/>
      <w:marRight w:val="0"/>
      <w:marTop w:val="0"/>
      <w:marBottom w:val="0"/>
      <w:divBdr>
        <w:top w:val="none" w:sz="0" w:space="0" w:color="auto"/>
        <w:left w:val="none" w:sz="0" w:space="0" w:color="auto"/>
        <w:bottom w:val="none" w:sz="0" w:space="0" w:color="auto"/>
        <w:right w:val="none" w:sz="0" w:space="0" w:color="auto"/>
      </w:divBdr>
    </w:div>
    <w:div w:id="231738521">
      <w:bodyDiv w:val="1"/>
      <w:marLeft w:val="0"/>
      <w:marRight w:val="0"/>
      <w:marTop w:val="0"/>
      <w:marBottom w:val="0"/>
      <w:divBdr>
        <w:top w:val="none" w:sz="0" w:space="0" w:color="auto"/>
        <w:left w:val="none" w:sz="0" w:space="0" w:color="auto"/>
        <w:bottom w:val="none" w:sz="0" w:space="0" w:color="auto"/>
        <w:right w:val="none" w:sz="0" w:space="0" w:color="auto"/>
      </w:divBdr>
    </w:div>
    <w:div w:id="238633982">
      <w:bodyDiv w:val="1"/>
      <w:marLeft w:val="0"/>
      <w:marRight w:val="0"/>
      <w:marTop w:val="0"/>
      <w:marBottom w:val="0"/>
      <w:divBdr>
        <w:top w:val="none" w:sz="0" w:space="0" w:color="auto"/>
        <w:left w:val="none" w:sz="0" w:space="0" w:color="auto"/>
        <w:bottom w:val="none" w:sz="0" w:space="0" w:color="auto"/>
        <w:right w:val="none" w:sz="0" w:space="0" w:color="auto"/>
      </w:divBdr>
    </w:div>
    <w:div w:id="265426962">
      <w:bodyDiv w:val="1"/>
      <w:marLeft w:val="0"/>
      <w:marRight w:val="0"/>
      <w:marTop w:val="0"/>
      <w:marBottom w:val="0"/>
      <w:divBdr>
        <w:top w:val="none" w:sz="0" w:space="0" w:color="auto"/>
        <w:left w:val="none" w:sz="0" w:space="0" w:color="auto"/>
        <w:bottom w:val="none" w:sz="0" w:space="0" w:color="auto"/>
        <w:right w:val="none" w:sz="0" w:space="0" w:color="auto"/>
      </w:divBdr>
    </w:div>
    <w:div w:id="268241147">
      <w:bodyDiv w:val="1"/>
      <w:marLeft w:val="0"/>
      <w:marRight w:val="0"/>
      <w:marTop w:val="0"/>
      <w:marBottom w:val="0"/>
      <w:divBdr>
        <w:top w:val="none" w:sz="0" w:space="0" w:color="auto"/>
        <w:left w:val="none" w:sz="0" w:space="0" w:color="auto"/>
        <w:bottom w:val="none" w:sz="0" w:space="0" w:color="auto"/>
        <w:right w:val="none" w:sz="0" w:space="0" w:color="auto"/>
      </w:divBdr>
    </w:div>
    <w:div w:id="270092329">
      <w:bodyDiv w:val="1"/>
      <w:marLeft w:val="0"/>
      <w:marRight w:val="0"/>
      <w:marTop w:val="0"/>
      <w:marBottom w:val="0"/>
      <w:divBdr>
        <w:top w:val="none" w:sz="0" w:space="0" w:color="auto"/>
        <w:left w:val="none" w:sz="0" w:space="0" w:color="auto"/>
        <w:bottom w:val="none" w:sz="0" w:space="0" w:color="auto"/>
        <w:right w:val="none" w:sz="0" w:space="0" w:color="auto"/>
      </w:divBdr>
    </w:div>
    <w:div w:id="290869021">
      <w:bodyDiv w:val="1"/>
      <w:marLeft w:val="0"/>
      <w:marRight w:val="0"/>
      <w:marTop w:val="0"/>
      <w:marBottom w:val="0"/>
      <w:divBdr>
        <w:top w:val="none" w:sz="0" w:space="0" w:color="auto"/>
        <w:left w:val="none" w:sz="0" w:space="0" w:color="auto"/>
        <w:bottom w:val="none" w:sz="0" w:space="0" w:color="auto"/>
        <w:right w:val="none" w:sz="0" w:space="0" w:color="auto"/>
      </w:divBdr>
    </w:div>
    <w:div w:id="292172281">
      <w:bodyDiv w:val="1"/>
      <w:marLeft w:val="0"/>
      <w:marRight w:val="0"/>
      <w:marTop w:val="0"/>
      <w:marBottom w:val="0"/>
      <w:divBdr>
        <w:top w:val="none" w:sz="0" w:space="0" w:color="auto"/>
        <w:left w:val="none" w:sz="0" w:space="0" w:color="auto"/>
        <w:bottom w:val="none" w:sz="0" w:space="0" w:color="auto"/>
        <w:right w:val="none" w:sz="0" w:space="0" w:color="auto"/>
      </w:divBdr>
    </w:div>
    <w:div w:id="307176689">
      <w:bodyDiv w:val="1"/>
      <w:marLeft w:val="0"/>
      <w:marRight w:val="0"/>
      <w:marTop w:val="0"/>
      <w:marBottom w:val="0"/>
      <w:divBdr>
        <w:top w:val="none" w:sz="0" w:space="0" w:color="auto"/>
        <w:left w:val="none" w:sz="0" w:space="0" w:color="auto"/>
        <w:bottom w:val="none" w:sz="0" w:space="0" w:color="auto"/>
        <w:right w:val="none" w:sz="0" w:space="0" w:color="auto"/>
      </w:divBdr>
      <w:divsChild>
        <w:div w:id="1061946148">
          <w:marLeft w:val="0"/>
          <w:marRight w:val="0"/>
          <w:marTop w:val="0"/>
          <w:marBottom w:val="300"/>
          <w:divBdr>
            <w:top w:val="none" w:sz="0" w:space="0" w:color="auto"/>
            <w:left w:val="none" w:sz="0" w:space="0" w:color="auto"/>
            <w:bottom w:val="none" w:sz="0" w:space="0" w:color="auto"/>
            <w:right w:val="none" w:sz="0" w:space="0" w:color="auto"/>
          </w:divBdr>
          <w:divsChild>
            <w:div w:id="843545342">
              <w:marLeft w:val="0"/>
              <w:marRight w:val="0"/>
              <w:marTop w:val="0"/>
              <w:marBottom w:val="300"/>
              <w:divBdr>
                <w:top w:val="none" w:sz="0" w:space="0" w:color="auto"/>
                <w:left w:val="none" w:sz="0" w:space="0" w:color="auto"/>
                <w:bottom w:val="none" w:sz="0" w:space="0" w:color="auto"/>
                <w:right w:val="none" w:sz="0" w:space="0" w:color="auto"/>
              </w:divBdr>
            </w:div>
            <w:div w:id="184949567">
              <w:marLeft w:val="0"/>
              <w:marRight w:val="0"/>
              <w:marTop w:val="0"/>
              <w:marBottom w:val="0"/>
              <w:divBdr>
                <w:top w:val="none" w:sz="0" w:space="0" w:color="auto"/>
                <w:left w:val="none" w:sz="0" w:space="0" w:color="auto"/>
                <w:bottom w:val="none" w:sz="0" w:space="0" w:color="auto"/>
                <w:right w:val="none" w:sz="0" w:space="0" w:color="auto"/>
              </w:divBdr>
              <w:divsChild>
                <w:div w:id="64516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7676">
      <w:bodyDiv w:val="1"/>
      <w:marLeft w:val="0"/>
      <w:marRight w:val="0"/>
      <w:marTop w:val="0"/>
      <w:marBottom w:val="0"/>
      <w:divBdr>
        <w:top w:val="none" w:sz="0" w:space="0" w:color="auto"/>
        <w:left w:val="none" w:sz="0" w:space="0" w:color="auto"/>
        <w:bottom w:val="none" w:sz="0" w:space="0" w:color="auto"/>
        <w:right w:val="none" w:sz="0" w:space="0" w:color="auto"/>
      </w:divBdr>
    </w:div>
    <w:div w:id="329529015">
      <w:bodyDiv w:val="1"/>
      <w:marLeft w:val="0"/>
      <w:marRight w:val="0"/>
      <w:marTop w:val="0"/>
      <w:marBottom w:val="0"/>
      <w:divBdr>
        <w:top w:val="none" w:sz="0" w:space="0" w:color="auto"/>
        <w:left w:val="none" w:sz="0" w:space="0" w:color="auto"/>
        <w:bottom w:val="none" w:sz="0" w:space="0" w:color="auto"/>
        <w:right w:val="none" w:sz="0" w:space="0" w:color="auto"/>
      </w:divBdr>
    </w:div>
    <w:div w:id="353267340">
      <w:bodyDiv w:val="1"/>
      <w:marLeft w:val="0"/>
      <w:marRight w:val="0"/>
      <w:marTop w:val="0"/>
      <w:marBottom w:val="0"/>
      <w:divBdr>
        <w:top w:val="none" w:sz="0" w:space="0" w:color="auto"/>
        <w:left w:val="none" w:sz="0" w:space="0" w:color="auto"/>
        <w:bottom w:val="none" w:sz="0" w:space="0" w:color="auto"/>
        <w:right w:val="none" w:sz="0" w:space="0" w:color="auto"/>
      </w:divBdr>
    </w:div>
    <w:div w:id="355808417">
      <w:bodyDiv w:val="1"/>
      <w:marLeft w:val="0"/>
      <w:marRight w:val="0"/>
      <w:marTop w:val="0"/>
      <w:marBottom w:val="0"/>
      <w:divBdr>
        <w:top w:val="none" w:sz="0" w:space="0" w:color="auto"/>
        <w:left w:val="none" w:sz="0" w:space="0" w:color="auto"/>
        <w:bottom w:val="none" w:sz="0" w:space="0" w:color="auto"/>
        <w:right w:val="none" w:sz="0" w:space="0" w:color="auto"/>
      </w:divBdr>
    </w:div>
    <w:div w:id="382096052">
      <w:bodyDiv w:val="1"/>
      <w:marLeft w:val="0"/>
      <w:marRight w:val="0"/>
      <w:marTop w:val="0"/>
      <w:marBottom w:val="0"/>
      <w:divBdr>
        <w:top w:val="none" w:sz="0" w:space="0" w:color="auto"/>
        <w:left w:val="none" w:sz="0" w:space="0" w:color="auto"/>
        <w:bottom w:val="none" w:sz="0" w:space="0" w:color="auto"/>
        <w:right w:val="none" w:sz="0" w:space="0" w:color="auto"/>
      </w:divBdr>
    </w:div>
    <w:div w:id="393967719">
      <w:bodyDiv w:val="1"/>
      <w:marLeft w:val="0"/>
      <w:marRight w:val="0"/>
      <w:marTop w:val="0"/>
      <w:marBottom w:val="0"/>
      <w:divBdr>
        <w:top w:val="none" w:sz="0" w:space="0" w:color="auto"/>
        <w:left w:val="none" w:sz="0" w:space="0" w:color="auto"/>
        <w:bottom w:val="none" w:sz="0" w:space="0" w:color="auto"/>
        <w:right w:val="none" w:sz="0" w:space="0" w:color="auto"/>
      </w:divBdr>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23502391">
      <w:bodyDiv w:val="1"/>
      <w:marLeft w:val="0"/>
      <w:marRight w:val="0"/>
      <w:marTop w:val="0"/>
      <w:marBottom w:val="0"/>
      <w:divBdr>
        <w:top w:val="none" w:sz="0" w:space="0" w:color="auto"/>
        <w:left w:val="none" w:sz="0" w:space="0" w:color="auto"/>
        <w:bottom w:val="none" w:sz="0" w:space="0" w:color="auto"/>
        <w:right w:val="none" w:sz="0" w:space="0" w:color="auto"/>
      </w:divBdr>
    </w:div>
    <w:div w:id="430587707">
      <w:bodyDiv w:val="1"/>
      <w:marLeft w:val="0"/>
      <w:marRight w:val="0"/>
      <w:marTop w:val="0"/>
      <w:marBottom w:val="0"/>
      <w:divBdr>
        <w:top w:val="none" w:sz="0" w:space="0" w:color="auto"/>
        <w:left w:val="none" w:sz="0" w:space="0" w:color="auto"/>
        <w:bottom w:val="none" w:sz="0" w:space="0" w:color="auto"/>
        <w:right w:val="none" w:sz="0" w:space="0" w:color="auto"/>
      </w:divBdr>
    </w:div>
    <w:div w:id="438725408">
      <w:bodyDiv w:val="1"/>
      <w:marLeft w:val="0"/>
      <w:marRight w:val="0"/>
      <w:marTop w:val="0"/>
      <w:marBottom w:val="0"/>
      <w:divBdr>
        <w:top w:val="none" w:sz="0" w:space="0" w:color="auto"/>
        <w:left w:val="none" w:sz="0" w:space="0" w:color="auto"/>
        <w:bottom w:val="none" w:sz="0" w:space="0" w:color="auto"/>
        <w:right w:val="none" w:sz="0" w:space="0" w:color="auto"/>
      </w:divBdr>
    </w:div>
    <w:div w:id="451368425">
      <w:bodyDiv w:val="1"/>
      <w:marLeft w:val="0"/>
      <w:marRight w:val="0"/>
      <w:marTop w:val="0"/>
      <w:marBottom w:val="0"/>
      <w:divBdr>
        <w:top w:val="none" w:sz="0" w:space="0" w:color="auto"/>
        <w:left w:val="none" w:sz="0" w:space="0" w:color="auto"/>
        <w:bottom w:val="none" w:sz="0" w:space="0" w:color="auto"/>
        <w:right w:val="none" w:sz="0" w:space="0" w:color="auto"/>
      </w:divBdr>
    </w:div>
    <w:div w:id="456685930">
      <w:bodyDiv w:val="1"/>
      <w:marLeft w:val="0"/>
      <w:marRight w:val="0"/>
      <w:marTop w:val="0"/>
      <w:marBottom w:val="0"/>
      <w:divBdr>
        <w:top w:val="none" w:sz="0" w:space="0" w:color="auto"/>
        <w:left w:val="none" w:sz="0" w:space="0" w:color="auto"/>
        <w:bottom w:val="none" w:sz="0" w:space="0" w:color="auto"/>
        <w:right w:val="none" w:sz="0" w:space="0" w:color="auto"/>
      </w:divBdr>
    </w:div>
    <w:div w:id="465045278">
      <w:bodyDiv w:val="1"/>
      <w:marLeft w:val="0"/>
      <w:marRight w:val="0"/>
      <w:marTop w:val="0"/>
      <w:marBottom w:val="0"/>
      <w:divBdr>
        <w:top w:val="none" w:sz="0" w:space="0" w:color="auto"/>
        <w:left w:val="none" w:sz="0" w:space="0" w:color="auto"/>
        <w:bottom w:val="none" w:sz="0" w:space="0" w:color="auto"/>
        <w:right w:val="none" w:sz="0" w:space="0" w:color="auto"/>
      </w:divBdr>
    </w:div>
    <w:div w:id="470095975">
      <w:bodyDiv w:val="1"/>
      <w:marLeft w:val="0"/>
      <w:marRight w:val="0"/>
      <w:marTop w:val="0"/>
      <w:marBottom w:val="0"/>
      <w:divBdr>
        <w:top w:val="none" w:sz="0" w:space="0" w:color="auto"/>
        <w:left w:val="none" w:sz="0" w:space="0" w:color="auto"/>
        <w:bottom w:val="none" w:sz="0" w:space="0" w:color="auto"/>
        <w:right w:val="none" w:sz="0" w:space="0" w:color="auto"/>
      </w:divBdr>
    </w:div>
    <w:div w:id="496310745">
      <w:bodyDiv w:val="1"/>
      <w:marLeft w:val="0"/>
      <w:marRight w:val="0"/>
      <w:marTop w:val="0"/>
      <w:marBottom w:val="0"/>
      <w:divBdr>
        <w:top w:val="none" w:sz="0" w:space="0" w:color="auto"/>
        <w:left w:val="none" w:sz="0" w:space="0" w:color="auto"/>
        <w:bottom w:val="none" w:sz="0" w:space="0" w:color="auto"/>
        <w:right w:val="none" w:sz="0" w:space="0" w:color="auto"/>
      </w:divBdr>
    </w:div>
    <w:div w:id="508064001">
      <w:bodyDiv w:val="1"/>
      <w:marLeft w:val="0"/>
      <w:marRight w:val="0"/>
      <w:marTop w:val="0"/>
      <w:marBottom w:val="0"/>
      <w:divBdr>
        <w:top w:val="none" w:sz="0" w:space="0" w:color="auto"/>
        <w:left w:val="none" w:sz="0" w:space="0" w:color="auto"/>
        <w:bottom w:val="none" w:sz="0" w:space="0" w:color="auto"/>
        <w:right w:val="none" w:sz="0" w:space="0" w:color="auto"/>
      </w:divBdr>
    </w:div>
    <w:div w:id="535436300">
      <w:bodyDiv w:val="1"/>
      <w:marLeft w:val="0"/>
      <w:marRight w:val="0"/>
      <w:marTop w:val="0"/>
      <w:marBottom w:val="0"/>
      <w:divBdr>
        <w:top w:val="none" w:sz="0" w:space="0" w:color="auto"/>
        <w:left w:val="none" w:sz="0" w:space="0" w:color="auto"/>
        <w:bottom w:val="none" w:sz="0" w:space="0" w:color="auto"/>
        <w:right w:val="none" w:sz="0" w:space="0" w:color="auto"/>
      </w:divBdr>
    </w:div>
    <w:div w:id="538855194">
      <w:bodyDiv w:val="1"/>
      <w:marLeft w:val="0"/>
      <w:marRight w:val="0"/>
      <w:marTop w:val="0"/>
      <w:marBottom w:val="0"/>
      <w:divBdr>
        <w:top w:val="none" w:sz="0" w:space="0" w:color="auto"/>
        <w:left w:val="none" w:sz="0" w:space="0" w:color="auto"/>
        <w:bottom w:val="none" w:sz="0" w:space="0" w:color="auto"/>
        <w:right w:val="none" w:sz="0" w:space="0" w:color="auto"/>
      </w:divBdr>
    </w:div>
    <w:div w:id="541526733">
      <w:bodyDiv w:val="1"/>
      <w:marLeft w:val="0"/>
      <w:marRight w:val="0"/>
      <w:marTop w:val="0"/>
      <w:marBottom w:val="0"/>
      <w:divBdr>
        <w:top w:val="none" w:sz="0" w:space="0" w:color="auto"/>
        <w:left w:val="none" w:sz="0" w:space="0" w:color="auto"/>
        <w:bottom w:val="none" w:sz="0" w:space="0" w:color="auto"/>
        <w:right w:val="none" w:sz="0" w:space="0" w:color="auto"/>
      </w:divBdr>
    </w:div>
    <w:div w:id="566917018">
      <w:bodyDiv w:val="1"/>
      <w:marLeft w:val="0"/>
      <w:marRight w:val="0"/>
      <w:marTop w:val="0"/>
      <w:marBottom w:val="0"/>
      <w:divBdr>
        <w:top w:val="none" w:sz="0" w:space="0" w:color="auto"/>
        <w:left w:val="none" w:sz="0" w:space="0" w:color="auto"/>
        <w:bottom w:val="none" w:sz="0" w:space="0" w:color="auto"/>
        <w:right w:val="none" w:sz="0" w:space="0" w:color="auto"/>
      </w:divBdr>
    </w:div>
    <w:div w:id="589461005">
      <w:bodyDiv w:val="1"/>
      <w:marLeft w:val="0"/>
      <w:marRight w:val="0"/>
      <w:marTop w:val="0"/>
      <w:marBottom w:val="0"/>
      <w:divBdr>
        <w:top w:val="none" w:sz="0" w:space="0" w:color="auto"/>
        <w:left w:val="none" w:sz="0" w:space="0" w:color="auto"/>
        <w:bottom w:val="none" w:sz="0" w:space="0" w:color="auto"/>
        <w:right w:val="none" w:sz="0" w:space="0" w:color="auto"/>
      </w:divBdr>
    </w:div>
    <w:div w:id="614992045">
      <w:bodyDiv w:val="1"/>
      <w:marLeft w:val="0"/>
      <w:marRight w:val="0"/>
      <w:marTop w:val="0"/>
      <w:marBottom w:val="0"/>
      <w:divBdr>
        <w:top w:val="none" w:sz="0" w:space="0" w:color="auto"/>
        <w:left w:val="none" w:sz="0" w:space="0" w:color="auto"/>
        <w:bottom w:val="none" w:sz="0" w:space="0" w:color="auto"/>
        <w:right w:val="none" w:sz="0" w:space="0" w:color="auto"/>
      </w:divBdr>
    </w:div>
    <w:div w:id="634410772">
      <w:bodyDiv w:val="1"/>
      <w:marLeft w:val="0"/>
      <w:marRight w:val="0"/>
      <w:marTop w:val="0"/>
      <w:marBottom w:val="0"/>
      <w:divBdr>
        <w:top w:val="none" w:sz="0" w:space="0" w:color="auto"/>
        <w:left w:val="none" w:sz="0" w:space="0" w:color="auto"/>
        <w:bottom w:val="none" w:sz="0" w:space="0" w:color="auto"/>
        <w:right w:val="none" w:sz="0" w:space="0" w:color="auto"/>
      </w:divBdr>
    </w:div>
    <w:div w:id="635719310">
      <w:bodyDiv w:val="1"/>
      <w:marLeft w:val="0"/>
      <w:marRight w:val="0"/>
      <w:marTop w:val="0"/>
      <w:marBottom w:val="0"/>
      <w:divBdr>
        <w:top w:val="none" w:sz="0" w:space="0" w:color="auto"/>
        <w:left w:val="none" w:sz="0" w:space="0" w:color="auto"/>
        <w:bottom w:val="none" w:sz="0" w:space="0" w:color="auto"/>
        <w:right w:val="none" w:sz="0" w:space="0" w:color="auto"/>
      </w:divBdr>
    </w:div>
    <w:div w:id="638263993">
      <w:bodyDiv w:val="1"/>
      <w:marLeft w:val="0"/>
      <w:marRight w:val="0"/>
      <w:marTop w:val="0"/>
      <w:marBottom w:val="0"/>
      <w:divBdr>
        <w:top w:val="none" w:sz="0" w:space="0" w:color="auto"/>
        <w:left w:val="none" w:sz="0" w:space="0" w:color="auto"/>
        <w:bottom w:val="none" w:sz="0" w:space="0" w:color="auto"/>
        <w:right w:val="none" w:sz="0" w:space="0" w:color="auto"/>
      </w:divBdr>
    </w:div>
    <w:div w:id="638416853">
      <w:bodyDiv w:val="1"/>
      <w:marLeft w:val="0"/>
      <w:marRight w:val="0"/>
      <w:marTop w:val="0"/>
      <w:marBottom w:val="0"/>
      <w:divBdr>
        <w:top w:val="none" w:sz="0" w:space="0" w:color="auto"/>
        <w:left w:val="none" w:sz="0" w:space="0" w:color="auto"/>
        <w:bottom w:val="none" w:sz="0" w:space="0" w:color="auto"/>
        <w:right w:val="none" w:sz="0" w:space="0" w:color="auto"/>
      </w:divBdr>
    </w:div>
    <w:div w:id="650403525">
      <w:bodyDiv w:val="1"/>
      <w:marLeft w:val="0"/>
      <w:marRight w:val="0"/>
      <w:marTop w:val="0"/>
      <w:marBottom w:val="0"/>
      <w:divBdr>
        <w:top w:val="none" w:sz="0" w:space="0" w:color="auto"/>
        <w:left w:val="none" w:sz="0" w:space="0" w:color="auto"/>
        <w:bottom w:val="none" w:sz="0" w:space="0" w:color="auto"/>
        <w:right w:val="none" w:sz="0" w:space="0" w:color="auto"/>
      </w:divBdr>
    </w:div>
    <w:div w:id="677001276">
      <w:bodyDiv w:val="1"/>
      <w:marLeft w:val="0"/>
      <w:marRight w:val="0"/>
      <w:marTop w:val="0"/>
      <w:marBottom w:val="0"/>
      <w:divBdr>
        <w:top w:val="none" w:sz="0" w:space="0" w:color="auto"/>
        <w:left w:val="none" w:sz="0" w:space="0" w:color="auto"/>
        <w:bottom w:val="none" w:sz="0" w:space="0" w:color="auto"/>
        <w:right w:val="none" w:sz="0" w:space="0" w:color="auto"/>
      </w:divBdr>
    </w:div>
    <w:div w:id="684791808">
      <w:bodyDiv w:val="1"/>
      <w:marLeft w:val="0"/>
      <w:marRight w:val="0"/>
      <w:marTop w:val="0"/>
      <w:marBottom w:val="0"/>
      <w:divBdr>
        <w:top w:val="none" w:sz="0" w:space="0" w:color="auto"/>
        <w:left w:val="none" w:sz="0" w:space="0" w:color="auto"/>
        <w:bottom w:val="none" w:sz="0" w:space="0" w:color="auto"/>
        <w:right w:val="none" w:sz="0" w:space="0" w:color="auto"/>
      </w:divBdr>
    </w:div>
    <w:div w:id="716246102">
      <w:bodyDiv w:val="1"/>
      <w:marLeft w:val="0"/>
      <w:marRight w:val="0"/>
      <w:marTop w:val="0"/>
      <w:marBottom w:val="0"/>
      <w:divBdr>
        <w:top w:val="none" w:sz="0" w:space="0" w:color="auto"/>
        <w:left w:val="none" w:sz="0" w:space="0" w:color="auto"/>
        <w:bottom w:val="none" w:sz="0" w:space="0" w:color="auto"/>
        <w:right w:val="none" w:sz="0" w:space="0" w:color="auto"/>
      </w:divBdr>
    </w:div>
    <w:div w:id="732700140">
      <w:bodyDiv w:val="1"/>
      <w:marLeft w:val="0"/>
      <w:marRight w:val="0"/>
      <w:marTop w:val="0"/>
      <w:marBottom w:val="0"/>
      <w:divBdr>
        <w:top w:val="none" w:sz="0" w:space="0" w:color="auto"/>
        <w:left w:val="none" w:sz="0" w:space="0" w:color="auto"/>
        <w:bottom w:val="none" w:sz="0" w:space="0" w:color="auto"/>
        <w:right w:val="none" w:sz="0" w:space="0" w:color="auto"/>
      </w:divBdr>
    </w:div>
    <w:div w:id="733049700">
      <w:bodyDiv w:val="1"/>
      <w:marLeft w:val="0"/>
      <w:marRight w:val="0"/>
      <w:marTop w:val="0"/>
      <w:marBottom w:val="0"/>
      <w:divBdr>
        <w:top w:val="none" w:sz="0" w:space="0" w:color="auto"/>
        <w:left w:val="none" w:sz="0" w:space="0" w:color="auto"/>
        <w:bottom w:val="none" w:sz="0" w:space="0" w:color="auto"/>
        <w:right w:val="none" w:sz="0" w:space="0" w:color="auto"/>
      </w:divBdr>
    </w:div>
    <w:div w:id="790589968">
      <w:bodyDiv w:val="1"/>
      <w:marLeft w:val="0"/>
      <w:marRight w:val="0"/>
      <w:marTop w:val="0"/>
      <w:marBottom w:val="0"/>
      <w:divBdr>
        <w:top w:val="none" w:sz="0" w:space="0" w:color="auto"/>
        <w:left w:val="none" w:sz="0" w:space="0" w:color="auto"/>
        <w:bottom w:val="none" w:sz="0" w:space="0" w:color="auto"/>
        <w:right w:val="none" w:sz="0" w:space="0" w:color="auto"/>
      </w:divBdr>
    </w:div>
    <w:div w:id="793016246">
      <w:bodyDiv w:val="1"/>
      <w:marLeft w:val="0"/>
      <w:marRight w:val="0"/>
      <w:marTop w:val="0"/>
      <w:marBottom w:val="0"/>
      <w:divBdr>
        <w:top w:val="none" w:sz="0" w:space="0" w:color="auto"/>
        <w:left w:val="none" w:sz="0" w:space="0" w:color="auto"/>
        <w:bottom w:val="none" w:sz="0" w:space="0" w:color="auto"/>
        <w:right w:val="none" w:sz="0" w:space="0" w:color="auto"/>
      </w:divBdr>
    </w:div>
    <w:div w:id="810097391">
      <w:bodyDiv w:val="1"/>
      <w:marLeft w:val="0"/>
      <w:marRight w:val="0"/>
      <w:marTop w:val="0"/>
      <w:marBottom w:val="0"/>
      <w:divBdr>
        <w:top w:val="none" w:sz="0" w:space="0" w:color="auto"/>
        <w:left w:val="none" w:sz="0" w:space="0" w:color="auto"/>
        <w:bottom w:val="none" w:sz="0" w:space="0" w:color="auto"/>
        <w:right w:val="none" w:sz="0" w:space="0" w:color="auto"/>
      </w:divBdr>
    </w:div>
    <w:div w:id="822158764">
      <w:bodyDiv w:val="1"/>
      <w:marLeft w:val="0"/>
      <w:marRight w:val="0"/>
      <w:marTop w:val="0"/>
      <w:marBottom w:val="0"/>
      <w:divBdr>
        <w:top w:val="none" w:sz="0" w:space="0" w:color="auto"/>
        <w:left w:val="none" w:sz="0" w:space="0" w:color="auto"/>
        <w:bottom w:val="none" w:sz="0" w:space="0" w:color="auto"/>
        <w:right w:val="none" w:sz="0" w:space="0" w:color="auto"/>
      </w:divBdr>
    </w:div>
    <w:div w:id="841702718">
      <w:bodyDiv w:val="1"/>
      <w:marLeft w:val="0"/>
      <w:marRight w:val="0"/>
      <w:marTop w:val="0"/>
      <w:marBottom w:val="0"/>
      <w:divBdr>
        <w:top w:val="none" w:sz="0" w:space="0" w:color="auto"/>
        <w:left w:val="none" w:sz="0" w:space="0" w:color="auto"/>
        <w:bottom w:val="none" w:sz="0" w:space="0" w:color="auto"/>
        <w:right w:val="none" w:sz="0" w:space="0" w:color="auto"/>
      </w:divBdr>
    </w:div>
    <w:div w:id="879131645">
      <w:bodyDiv w:val="1"/>
      <w:marLeft w:val="0"/>
      <w:marRight w:val="0"/>
      <w:marTop w:val="0"/>
      <w:marBottom w:val="0"/>
      <w:divBdr>
        <w:top w:val="none" w:sz="0" w:space="0" w:color="auto"/>
        <w:left w:val="none" w:sz="0" w:space="0" w:color="auto"/>
        <w:bottom w:val="none" w:sz="0" w:space="0" w:color="auto"/>
        <w:right w:val="none" w:sz="0" w:space="0" w:color="auto"/>
      </w:divBdr>
    </w:div>
    <w:div w:id="886726011">
      <w:bodyDiv w:val="1"/>
      <w:marLeft w:val="0"/>
      <w:marRight w:val="0"/>
      <w:marTop w:val="0"/>
      <w:marBottom w:val="0"/>
      <w:divBdr>
        <w:top w:val="none" w:sz="0" w:space="0" w:color="auto"/>
        <w:left w:val="none" w:sz="0" w:space="0" w:color="auto"/>
        <w:bottom w:val="none" w:sz="0" w:space="0" w:color="auto"/>
        <w:right w:val="none" w:sz="0" w:space="0" w:color="auto"/>
      </w:divBdr>
    </w:div>
    <w:div w:id="888033488">
      <w:bodyDiv w:val="1"/>
      <w:marLeft w:val="0"/>
      <w:marRight w:val="0"/>
      <w:marTop w:val="0"/>
      <w:marBottom w:val="0"/>
      <w:divBdr>
        <w:top w:val="none" w:sz="0" w:space="0" w:color="auto"/>
        <w:left w:val="none" w:sz="0" w:space="0" w:color="auto"/>
        <w:bottom w:val="none" w:sz="0" w:space="0" w:color="auto"/>
        <w:right w:val="none" w:sz="0" w:space="0" w:color="auto"/>
      </w:divBdr>
    </w:div>
    <w:div w:id="899100335">
      <w:bodyDiv w:val="1"/>
      <w:marLeft w:val="0"/>
      <w:marRight w:val="0"/>
      <w:marTop w:val="0"/>
      <w:marBottom w:val="0"/>
      <w:divBdr>
        <w:top w:val="none" w:sz="0" w:space="0" w:color="auto"/>
        <w:left w:val="none" w:sz="0" w:space="0" w:color="auto"/>
        <w:bottom w:val="none" w:sz="0" w:space="0" w:color="auto"/>
        <w:right w:val="none" w:sz="0" w:space="0" w:color="auto"/>
      </w:divBdr>
    </w:div>
    <w:div w:id="904145421">
      <w:bodyDiv w:val="1"/>
      <w:marLeft w:val="0"/>
      <w:marRight w:val="0"/>
      <w:marTop w:val="0"/>
      <w:marBottom w:val="0"/>
      <w:divBdr>
        <w:top w:val="none" w:sz="0" w:space="0" w:color="auto"/>
        <w:left w:val="none" w:sz="0" w:space="0" w:color="auto"/>
        <w:bottom w:val="none" w:sz="0" w:space="0" w:color="auto"/>
        <w:right w:val="none" w:sz="0" w:space="0" w:color="auto"/>
      </w:divBdr>
    </w:div>
    <w:div w:id="912932623">
      <w:bodyDiv w:val="1"/>
      <w:marLeft w:val="0"/>
      <w:marRight w:val="0"/>
      <w:marTop w:val="0"/>
      <w:marBottom w:val="0"/>
      <w:divBdr>
        <w:top w:val="none" w:sz="0" w:space="0" w:color="auto"/>
        <w:left w:val="none" w:sz="0" w:space="0" w:color="auto"/>
        <w:bottom w:val="none" w:sz="0" w:space="0" w:color="auto"/>
        <w:right w:val="none" w:sz="0" w:space="0" w:color="auto"/>
      </w:divBdr>
    </w:div>
    <w:div w:id="930622589">
      <w:bodyDiv w:val="1"/>
      <w:marLeft w:val="0"/>
      <w:marRight w:val="0"/>
      <w:marTop w:val="0"/>
      <w:marBottom w:val="0"/>
      <w:divBdr>
        <w:top w:val="none" w:sz="0" w:space="0" w:color="auto"/>
        <w:left w:val="none" w:sz="0" w:space="0" w:color="auto"/>
        <w:bottom w:val="none" w:sz="0" w:space="0" w:color="auto"/>
        <w:right w:val="none" w:sz="0" w:space="0" w:color="auto"/>
      </w:divBdr>
    </w:div>
    <w:div w:id="946306924">
      <w:bodyDiv w:val="1"/>
      <w:marLeft w:val="0"/>
      <w:marRight w:val="0"/>
      <w:marTop w:val="0"/>
      <w:marBottom w:val="0"/>
      <w:divBdr>
        <w:top w:val="none" w:sz="0" w:space="0" w:color="auto"/>
        <w:left w:val="none" w:sz="0" w:space="0" w:color="auto"/>
        <w:bottom w:val="none" w:sz="0" w:space="0" w:color="auto"/>
        <w:right w:val="none" w:sz="0" w:space="0" w:color="auto"/>
      </w:divBdr>
    </w:div>
    <w:div w:id="957685119">
      <w:bodyDiv w:val="1"/>
      <w:marLeft w:val="0"/>
      <w:marRight w:val="0"/>
      <w:marTop w:val="0"/>
      <w:marBottom w:val="0"/>
      <w:divBdr>
        <w:top w:val="none" w:sz="0" w:space="0" w:color="auto"/>
        <w:left w:val="none" w:sz="0" w:space="0" w:color="auto"/>
        <w:bottom w:val="none" w:sz="0" w:space="0" w:color="auto"/>
        <w:right w:val="none" w:sz="0" w:space="0" w:color="auto"/>
      </w:divBdr>
      <w:divsChild>
        <w:div w:id="1418014751">
          <w:marLeft w:val="274"/>
          <w:marRight w:val="0"/>
          <w:marTop w:val="0"/>
          <w:marBottom w:val="0"/>
          <w:divBdr>
            <w:top w:val="none" w:sz="0" w:space="0" w:color="auto"/>
            <w:left w:val="none" w:sz="0" w:space="0" w:color="auto"/>
            <w:bottom w:val="none" w:sz="0" w:space="0" w:color="auto"/>
            <w:right w:val="none" w:sz="0" w:space="0" w:color="auto"/>
          </w:divBdr>
        </w:div>
      </w:divsChild>
    </w:div>
    <w:div w:id="968820044">
      <w:bodyDiv w:val="1"/>
      <w:marLeft w:val="0"/>
      <w:marRight w:val="0"/>
      <w:marTop w:val="0"/>
      <w:marBottom w:val="0"/>
      <w:divBdr>
        <w:top w:val="none" w:sz="0" w:space="0" w:color="auto"/>
        <w:left w:val="none" w:sz="0" w:space="0" w:color="auto"/>
        <w:bottom w:val="none" w:sz="0" w:space="0" w:color="auto"/>
        <w:right w:val="none" w:sz="0" w:space="0" w:color="auto"/>
      </w:divBdr>
    </w:div>
    <w:div w:id="980231427">
      <w:bodyDiv w:val="1"/>
      <w:marLeft w:val="0"/>
      <w:marRight w:val="0"/>
      <w:marTop w:val="0"/>
      <w:marBottom w:val="0"/>
      <w:divBdr>
        <w:top w:val="none" w:sz="0" w:space="0" w:color="auto"/>
        <w:left w:val="none" w:sz="0" w:space="0" w:color="auto"/>
        <w:bottom w:val="none" w:sz="0" w:space="0" w:color="auto"/>
        <w:right w:val="none" w:sz="0" w:space="0" w:color="auto"/>
      </w:divBdr>
    </w:div>
    <w:div w:id="1018192019">
      <w:bodyDiv w:val="1"/>
      <w:marLeft w:val="0"/>
      <w:marRight w:val="0"/>
      <w:marTop w:val="0"/>
      <w:marBottom w:val="0"/>
      <w:divBdr>
        <w:top w:val="none" w:sz="0" w:space="0" w:color="auto"/>
        <w:left w:val="none" w:sz="0" w:space="0" w:color="auto"/>
        <w:bottom w:val="none" w:sz="0" w:space="0" w:color="auto"/>
        <w:right w:val="none" w:sz="0" w:space="0" w:color="auto"/>
      </w:divBdr>
    </w:div>
    <w:div w:id="1020665762">
      <w:bodyDiv w:val="1"/>
      <w:marLeft w:val="0"/>
      <w:marRight w:val="0"/>
      <w:marTop w:val="0"/>
      <w:marBottom w:val="0"/>
      <w:divBdr>
        <w:top w:val="none" w:sz="0" w:space="0" w:color="auto"/>
        <w:left w:val="none" w:sz="0" w:space="0" w:color="auto"/>
        <w:bottom w:val="none" w:sz="0" w:space="0" w:color="auto"/>
        <w:right w:val="none" w:sz="0" w:space="0" w:color="auto"/>
      </w:divBdr>
    </w:div>
    <w:div w:id="1081172099">
      <w:bodyDiv w:val="1"/>
      <w:marLeft w:val="0"/>
      <w:marRight w:val="0"/>
      <w:marTop w:val="0"/>
      <w:marBottom w:val="0"/>
      <w:divBdr>
        <w:top w:val="none" w:sz="0" w:space="0" w:color="auto"/>
        <w:left w:val="none" w:sz="0" w:space="0" w:color="auto"/>
        <w:bottom w:val="none" w:sz="0" w:space="0" w:color="auto"/>
        <w:right w:val="none" w:sz="0" w:space="0" w:color="auto"/>
      </w:divBdr>
    </w:div>
    <w:div w:id="1098478367">
      <w:bodyDiv w:val="1"/>
      <w:marLeft w:val="0"/>
      <w:marRight w:val="0"/>
      <w:marTop w:val="0"/>
      <w:marBottom w:val="0"/>
      <w:divBdr>
        <w:top w:val="none" w:sz="0" w:space="0" w:color="auto"/>
        <w:left w:val="none" w:sz="0" w:space="0" w:color="auto"/>
        <w:bottom w:val="none" w:sz="0" w:space="0" w:color="auto"/>
        <w:right w:val="none" w:sz="0" w:space="0" w:color="auto"/>
      </w:divBdr>
    </w:div>
    <w:div w:id="1100373587">
      <w:bodyDiv w:val="1"/>
      <w:marLeft w:val="0"/>
      <w:marRight w:val="0"/>
      <w:marTop w:val="0"/>
      <w:marBottom w:val="0"/>
      <w:divBdr>
        <w:top w:val="none" w:sz="0" w:space="0" w:color="auto"/>
        <w:left w:val="none" w:sz="0" w:space="0" w:color="auto"/>
        <w:bottom w:val="none" w:sz="0" w:space="0" w:color="auto"/>
        <w:right w:val="none" w:sz="0" w:space="0" w:color="auto"/>
      </w:divBdr>
    </w:div>
    <w:div w:id="1101070929">
      <w:bodyDiv w:val="1"/>
      <w:marLeft w:val="0"/>
      <w:marRight w:val="0"/>
      <w:marTop w:val="0"/>
      <w:marBottom w:val="0"/>
      <w:divBdr>
        <w:top w:val="none" w:sz="0" w:space="0" w:color="auto"/>
        <w:left w:val="none" w:sz="0" w:space="0" w:color="auto"/>
        <w:bottom w:val="none" w:sz="0" w:space="0" w:color="auto"/>
        <w:right w:val="none" w:sz="0" w:space="0" w:color="auto"/>
      </w:divBdr>
    </w:div>
    <w:div w:id="1102457573">
      <w:bodyDiv w:val="1"/>
      <w:marLeft w:val="0"/>
      <w:marRight w:val="0"/>
      <w:marTop w:val="0"/>
      <w:marBottom w:val="0"/>
      <w:divBdr>
        <w:top w:val="none" w:sz="0" w:space="0" w:color="auto"/>
        <w:left w:val="none" w:sz="0" w:space="0" w:color="auto"/>
        <w:bottom w:val="none" w:sz="0" w:space="0" w:color="auto"/>
        <w:right w:val="none" w:sz="0" w:space="0" w:color="auto"/>
      </w:divBdr>
    </w:div>
    <w:div w:id="1125540418">
      <w:bodyDiv w:val="1"/>
      <w:marLeft w:val="0"/>
      <w:marRight w:val="0"/>
      <w:marTop w:val="0"/>
      <w:marBottom w:val="0"/>
      <w:divBdr>
        <w:top w:val="none" w:sz="0" w:space="0" w:color="auto"/>
        <w:left w:val="none" w:sz="0" w:space="0" w:color="auto"/>
        <w:bottom w:val="none" w:sz="0" w:space="0" w:color="auto"/>
        <w:right w:val="none" w:sz="0" w:space="0" w:color="auto"/>
      </w:divBdr>
    </w:div>
    <w:div w:id="1165366737">
      <w:bodyDiv w:val="1"/>
      <w:marLeft w:val="0"/>
      <w:marRight w:val="0"/>
      <w:marTop w:val="0"/>
      <w:marBottom w:val="0"/>
      <w:divBdr>
        <w:top w:val="none" w:sz="0" w:space="0" w:color="auto"/>
        <w:left w:val="none" w:sz="0" w:space="0" w:color="auto"/>
        <w:bottom w:val="none" w:sz="0" w:space="0" w:color="auto"/>
        <w:right w:val="none" w:sz="0" w:space="0" w:color="auto"/>
      </w:divBdr>
    </w:div>
    <w:div w:id="1170489559">
      <w:bodyDiv w:val="1"/>
      <w:marLeft w:val="0"/>
      <w:marRight w:val="0"/>
      <w:marTop w:val="0"/>
      <w:marBottom w:val="0"/>
      <w:divBdr>
        <w:top w:val="none" w:sz="0" w:space="0" w:color="auto"/>
        <w:left w:val="none" w:sz="0" w:space="0" w:color="auto"/>
        <w:bottom w:val="none" w:sz="0" w:space="0" w:color="auto"/>
        <w:right w:val="none" w:sz="0" w:space="0" w:color="auto"/>
      </w:divBdr>
    </w:div>
    <w:div w:id="1177380686">
      <w:bodyDiv w:val="1"/>
      <w:marLeft w:val="0"/>
      <w:marRight w:val="0"/>
      <w:marTop w:val="0"/>
      <w:marBottom w:val="0"/>
      <w:divBdr>
        <w:top w:val="none" w:sz="0" w:space="0" w:color="auto"/>
        <w:left w:val="none" w:sz="0" w:space="0" w:color="auto"/>
        <w:bottom w:val="none" w:sz="0" w:space="0" w:color="auto"/>
        <w:right w:val="none" w:sz="0" w:space="0" w:color="auto"/>
      </w:divBdr>
    </w:div>
    <w:div w:id="1188906917">
      <w:bodyDiv w:val="1"/>
      <w:marLeft w:val="0"/>
      <w:marRight w:val="0"/>
      <w:marTop w:val="0"/>
      <w:marBottom w:val="0"/>
      <w:divBdr>
        <w:top w:val="none" w:sz="0" w:space="0" w:color="auto"/>
        <w:left w:val="none" w:sz="0" w:space="0" w:color="auto"/>
        <w:bottom w:val="none" w:sz="0" w:space="0" w:color="auto"/>
        <w:right w:val="none" w:sz="0" w:space="0" w:color="auto"/>
      </w:divBdr>
    </w:div>
    <w:div w:id="1203863012">
      <w:bodyDiv w:val="1"/>
      <w:marLeft w:val="0"/>
      <w:marRight w:val="0"/>
      <w:marTop w:val="0"/>
      <w:marBottom w:val="0"/>
      <w:divBdr>
        <w:top w:val="none" w:sz="0" w:space="0" w:color="auto"/>
        <w:left w:val="none" w:sz="0" w:space="0" w:color="auto"/>
        <w:bottom w:val="none" w:sz="0" w:space="0" w:color="auto"/>
        <w:right w:val="none" w:sz="0" w:space="0" w:color="auto"/>
      </w:divBdr>
    </w:div>
    <w:div w:id="1229654878">
      <w:bodyDiv w:val="1"/>
      <w:marLeft w:val="0"/>
      <w:marRight w:val="0"/>
      <w:marTop w:val="0"/>
      <w:marBottom w:val="0"/>
      <w:divBdr>
        <w:top w:val="none" w:sz="0" w:space="0" w:color="auto"/>
        <w:left w:val="none" w:sz="0" w:space="0" w:color="auto"/>
        <w:bottom w:val="none" w:sz="0" w:space="0" w:color="auto"/>
        <w:right w:val="none" w:sz="0" w:space="0" w:color="auto"/>
      </w:divBdr>
    </w:div>
    <w:div w:id="1244417062">
      <w:bodyDiv w:val="1"/>
      <w:marLeft w:val="0"/>
      <w:marRight w:val="0"/>
      <w:marTop w:val="0"/>
      <w:marBottom w:val="0"/>
      <w:divBdr>
        <w:top w:val="none" w:sz="0" w:space="0" w:color="auto"/>
        <w:left w:val="none" w:sz="0" w:space="0" w:color="auto"/>
        <w:bottom w:val="none" w:sz="0" w:space="0" w:color="auto"/>
        <w:right w:val="none" w:sz="0" w:space="0" w:color="auto"/>
      </w:divBdr>
    </w:div>
    <w:div w:id="1254632209">
      <w:bodyDiv w:val="1"/>
      <w:marLeft w:val="0"/>
      <w:marRight w:val="0"/>
      <w:marTop w:val="0"/>
      <w:marBottom w:val="0"/>
      <w:divBdr>
        <w:top w:val="none" w:sz="0" w:space="0" w:color="auto"/>
        <w:left w:val="none" w:sz="0" w:space="0" w:color="auto"/>
        <w:bottom w:val="none" w:sz="0" w:space="0" w:color="auto"/>
        <w:right w:val="none" w:sz="0" w:space="0" w:color="auto"/>
      </w:divBdr>
    </w:div>
    <w:div w:id="1279798803">
      <w:bodyDiv w:val="1"/>
      <w:marLeft w:val="0"/>
      <w:marRight w:val="0"/>
      <w:marTop w:val="0"/>
      <w:marBottom w:val="0"/>
      <w:divBdr>
        <w:top w:val="none" w:sz="0" w:space="0" w:color="auto"/>
        <w:left w:val="none" w:sz="0" w:space="0" w:color="auto"/>
        <w:bottom w:val="none" w:sz="0" w:space="0" w:color="auto"/>
        <w:right w:val="none" w:sz="0" w:space="0" w:color="auto"/>
      </w:divBdr>
    </w:div>
    <w:div w:id="1284309252">
      <w:bodyDiv w:val="1"/>
      <w:marLeft w:val="0"/>
      <w:marRight w:val="0"/>
      <w:marTop w:val="0"/>
      <w:marBottom w:val="0"/>
      <w:divBdr>
        <w:top w:val="none" w:sz="0" w:space="0" w:color="auto"/>
        <w:left w:val="none" w:sz="0" w:space="0" w:color="auto"/>
        <w:bottom w:val="none" w:sz="0" w:space="0" w:color="auto"/>
        <w:right w:val="none" w:sz="0" w:space="0" w:color="auto"/>
      </w:divBdr>
    </w:div>
    <w:div w:id="1294561258">
      <w:bodyDiv w:val="1"/>
      <w:marLeft w:val="0"/>
      <w:marRight w:val="0"/>
      <w:marTop w:val="0"/>
      <w:marBottom w:val="0"/>
      <w:divBdr>
        <w:top w:val="none" w:sz="0" w:space="0" w:color="auto"/>
        <w:left w:val="none" w:sz="0" w:space="0" w:color="auto"/>
        <w:bottom w:val="none" w:sz="0" w:space="0" w:color="auto"/>
        <w:right w:val="none" w:sz="0" w:space="0" w:color="auto"/>
      </w:divBdr>
    </w:div>
    <w:div w:id="1309941692">
      <w:bodyDiv w:val="1"/>
      <w:marLeft w:val="0"/>
      <w:marRight w:val="0"/>
      <w:marTop w:val="0"/>
      <w:marBottom w:val="0"/>
      <w:divBdr>
        <w:top w:val="none" w:sz="0" w:space="0" w:color="auto"/>
        <w:left w:val="none" w:sz="0" w:space="0" w:color="auto"/>
        <w:bottom w:val="none" w:sz="0" w:space="0" w:color="auto"/>
        <w:right w:val="none" w:sz="0" w:space="0" w:color="auto"/>
      </w:divBdr>
    </w:div>
    <w:div w:id="1314675931">
      <w:bodyDiv w:val="1"/>
      <w:marLeft w:val="0"/>
      <w:marRight w:val="0"/>
      <w:marTop w:val="0"/>
      <w:marBottom w:val="0"/>
      <w:divBdr>
        <w:top w:val="none" w:sz="0" w:space="0" w:color="auto"/>
        <w:left w:val="none" w:sz="0" w:space="0" w:color="auto"/>
        <w:bottom w:val="none" w:sz="0" w:space="0" w:color="auto"/>
        <w:right w:val="none" w:sz="0" w:space="0" w:color="auto"/>
      </w:divBdr>
    </w:div>
    <w:div w:id="1317610261">
      <w:bodyDiv w:val="1"/>
      <w:marLeft w:val="0"/>
      <w:marRight w:val="0"/>
      <w:marTop w:val="0"/>
      <w:marBottom w:val="0"/>
      <w:divBdr>
        <w:top w:val="none" w:sz="0" w:space="0" w:color="auto"/>
        <w:left w:val="none" w:sz="0" w:space="0" w:color="auto"/>
        <w:bottom w:val="none" w:sz="0" w:space="0" w:color="auto"/>
        <w:right w:val="none" w:sz="0" w:space="0" w:color="auto"/>
      </w:divBdr>
    </w:div>
    <w:div w:id="1340085682">
      <w:bodyDiv w:val="1"/>
      <w:marLeft w:val="0"/>
      <w:marRight w:val="0"/>
      <w:marTop w:val="0"/>
      <w:marBottom w:val="0"/>
      <w:divBdr>
        <w:top w:val="none" w:sz="0" w:space="0" w:color="auto"/>
        <w:left w:val="none" w:sz="0" w:space="0" w:color="auto"/>
        <w:bottom w:val="none" w:sz="0" w:space="0" w:color="auto"/>
        <w:right w:val="none" w:sz="0" w:space="0" w:color="auto"/>
      </w:divBdr>
    </w:div>
    <w:div w:id="1360201482">
      <w:bodyDiv w:val="1"/>
      <w:marLeft w:val="0"/>
      <w:marRight w:val="0"/>
      <w:marTop w:val="0"/>
      <w:marBottom w:val="0"/>
      <w:divBdr>
        <w:top w:val="none" w:sz="0" w:space="0" w:color="auto"/>
        <w:left w:val="none" w:sz="0" w:space="0" w:color="auto"/>
        <w:bottom w:val="none" w:sz="0" w:space="0" w:color="auto"/>
        <w:right w:val="none" w:sz="0" w:space="0" w:color="auto"/>
      </w:divBdr>
    </w:div>
    <w:div w:id="1365212442">
      <w:bodyDiv w:val="1"/>
      <w:marLeft w:val="0"/>
      <w:marRight w:val="0"/>
      <w:marTop w:val="0"/>
      <w:marBottom w:val="0"/>
      <w:divBdr>
        <w:top w:val="none" w:sz="0" w:space="0" w:color="auto"/>
        <w:left w:val="none" w:sz="0" w:space="0" w:color="auto"/>
        <w:bottom w:val="none" w:sz="0" w:space="0" w:color="auto"/>
        <w:right w:val="none" w:sz="0" w:space="0" w:color="auto"/>
      </w:divBdr>
    </w:div>
    <w:div w:id="1370032875">
      <w:bodyDiv w:val="1"/>
      <w:marLeft w:val="0"/>
      <w:marRight w:val="0"/>
      <w:marTop w:val="0"/>
      <w:marBottom w:val="0"/>
      <w:divBdr>
        <w:top w:val="none" w:sz="0" w:space="0" w:color="auto"/>
        <w:left w:val="none" w:sz="0" w:space="0" w:color="auto"/>
        <w:bottom w:val="none" w:sz="0" w:space="0" w:color="auto"/>
        <w:right w:val="none" w:sz="0" w:space="0" w:color="auto"/>
      </w:divBdr>
    </w:div>
    <w:div w:id="1381586854">
      <w:bodyDiv w:val="1"/>
      <w:marLeft w:val="0"/>
      <w:marRight w:val="0"/>
      <w:marTop w:val="0"/>
      <w:marBottom w:val="0"/>
      <w:divBdr>
        <w:top w:val="none" w:sz="0" w:space="0" w:color="auto"/>
        <w:left w:val="none" w:sz="0" w:space="0" w:color="auto"/>
        <w:bottom w:val="none" w:sz="0" w:space="0" w:color="auto"/>
        <w:right w:val="none" w:sz="0" w:space="0" w:color="auto"/>
      </w:divBdr>
    </w:div>
    <w:div w:id="1393649620">
      <w:bodyDiv w:val="1"/>
      <w:marLeft w:val="0"/>
      <w:marRight w:val="0"/>
      <w:marTop w:val="0"/>
      <w:marBottom w:val="0"/>
      <w:divBdr>
        <w:top w:val="none" w:sz="0" w:space="0" w:color="auto"/>
        <w:left w:val="none" w:sz="0" w:space="0" w:color="auto"/>
        <w:bottom w:val="none" w:sz="0" w:space="0" w:color="auto"/>
        <w:right w:val="none" w:sz="0" w:space="0" w:color="auto"/>
      </w:divBdr>
    </w:div>
    <w:div w:id="1402752330">
      <w:bodyDiv w:val="1"/>
      <w:marLeft w:val="0"/>
      <w:marRight w:val="0"/>
      <w:marTop w:val="0"/>
      <w:marBottom w:val="0"/>
      <w:divBdr>
        <w:top w:val="none" w:sz="0" w:space="0" w:color="auto"/>
        <w:left w:val="none" w:sz="0" w:space="0" w:color="auto"/>
        <w:bottom w:val="none" w:sz="0" w:space="0" w:color="auto"/>
        <w:right w:val="none" w:sz="0" w:space="0" w:color="auto"/>
      </w:divBdr>
    </w:div>
    <w:div w:id="1404596256">
      <w:bodyDiv w:val="1"/>
      <w:marLeft w:val="0"/>
      <w:marRight w:val="0"/>
      <w:marTop w:val="0"/>
      <w:marBottom w:val="0"/>
      <w:divBdr>
        <w:top w:val="none" w:sz="0" w:space="0" w:color="auto"/>
        <w:left w:val="none" w:sz="0" w:space="0" w:color="auto"/>
        <w:bottom w:val="none" w:sz="0" w:space="0" w:color="auto"/>
        <w:right w:val="none" w:sz="0" w:space="0" w:color="auto"/>
      </w:divBdr>
    </w:div>
    <w:div w:id="1406681694">
      <w:bodyDiv w:val="1"/>
      <w:marLeft w:val="0"/>
      <w:marRight w:val="0"/>
      <w:marTop w:val="0"/>
      <w:marBottom w:val="0"/>
      <w:divBdr>
        <w:top w:val="none" w:sz="0" w:space="0" w:color="auto"/>
        <w:left w:val="none" w:sz="0" w:space="0" w:color="auto"/>
        <w:bottom w:val="none" w:sz="0" w:space="0" w:color="auto"/>
        <w:right w:val="none" w:sz="0" w:space="0" w:color="auto"/>
      </w:divBdr>
    </w:div>
    <w:div w:id="1419671588">
      <w:bodyDiv w:val="1"/>
      <w:marLeft w:val="0"/>
      <w:marRight w:val="0"/>
      <w:marTop w:val="0"/>
      <w:marBottom w:val="0"/>
      <w:divBdr>
        <w:top w:val="none" w:sz="0" w:space="0" w:color="auto"/>
        <w:left w:val="none" w:sz="0" w:space="0" w:color="auto"/>
        <w:bottom w:val="none" w:sz="0" w:space="0" w:color="auto"/>
        <w:right w:val="none" w:sz="0" w:space="0" w:color="auto"/>
      </w:divBdr>
    </w:div>
    <w:div w:id="1425342930">
      <w:bodyDiv w:val="1"/>
      <w:marLeft w:val="0"/>
      <w:marRight w:val="0"/>
      <w:marTop w:val="0"/>
      <w:marBottom w:val="0"/>
      <w:divBdr>
        <w:top w:val="none" w:sz="0" w:space="0" w:color="auto"/>
        <w:left w:val="none" w:sz="0" w:space="0" w:color="auto"/>
        <w:bottom w:val="none" w:sz="0" w:space="0" w:color="auto"/>
        <w:right w:val="none" w:sz="0" w:space="0" w:color="auto"/>
      </w:divBdr>
    </w:div>
    <w:div w:id="1436634705">
      <w:bodyDiv w:val="1"/>
      <w:marLeft w:val="0"/>
      <w:marRight w:val="0"/>
      <w:marTop w:val="0"/>
      <w:marBottom w:val="0"/>
      <w:divBdr>
        <w:top w:val="none" w:sz="0" w:space="0" w:color="auto"/>
        <w:left w:val="none" w:sz="0" w:space="0" w:color="auto"/>
        <w:bottom w:val="none" w:sz="0" w:space="0" w:color="auto"/>
        <w:right w:val="none" w:sz="0" w:space="0" w:color="auto"/>
      </w:divBdr>
    </w:div>
    <w:div w:id="1444153406">
      <w:bodyDiv w:val="1"/>
      <w:marLeft w:val="0"/>
      <w:marRight w:val="0"/>
      <w:marTop w:val="0"/>
      <w:marBottom w:val="0"/>
      <w:divBdr>
        <w:top w:val="none" w:sz="0" w:space="0" w:color="auto"/>
        <w:left w:val="none" w:sz="0" w:space="0" w:color="auto"/>
        <w:bottom w:val="none" w:sz="0" w:space="0" w:color="auto"/>
        <w:right w:val="none" w:sz="0" w:space="0" w:color="auto"/>
      </w:divBdr>
    </w:div>
    <w:div w:id="1470056127">
      <w:bodyDiv w:val="1"/>
      <w:marLeft w:val="0"/>
      <w:marRight w:val="0"/>
      <w:marTop w:val="0"/>
      <w:marBottom w:val="0"/>
      <w:divBdr>
        <w:top w:val="none" w:sz="0" w:space="0" w:color="auto"/>
        <w:left w:val="none" w:sz="0" w:space="0" w:color="auto"/>
        <w:bottom w:val="none" w:sz="0" w:space="0" w:color="auto"/>
        <w:right w:val="none" w:sz="0" w:space="0" w:color="auto"/>
      </w:divBdr>
      <w:divsChild>
        <w:div w:id="2061401262">
          <w:marLeft w:val="0"/>
          <w:marRight w:val="0"/>
          <w:marTop w:val="0"/>
          <w:marBottom w:val="0"/>
          <w:divBdr>
            <w:top w:val="none" w:sz="0" w:space="0" w:color="auto"/>
            <w:left w:val="none" w:sz="0" w:space="0" w:color="auto"/>
            <w:bottom w:val="none" w:sz="0" w:space="0" w:color="auto"/>
            <w:right w:val="none" w:sz="0" w:space="0" w:color="auto"/>
          </w:divBdr>
        </w:div>
        <w:div w:id="884606726">
          <w:marLeft w:val="0"/>
          <w:marRight w:val="0"/>
          <w:marTop w:val="0"/>
          <w:marBottom w:val="0"/>
          <w:divBdr>
            <w:top w:val="none" w:sz="0" w:space="0" w:color="auto"/>
            <w:left w:val="none" w:sz="0" w:space="0" w:color="auto"/>
            <w:bottom w:val="none" w:sz="0" w:space="0" w:color="auto"/>
            <w:right w:val="none" w:sz="0" w:space="0" w:color="auto"/>
          </w:divBdr>
          <w:divsChild>
            <w:div w:id="195625595">
              <w:marLeft w:val="0"/>
              <w:marRight w:val="0"/>
              <w:marTop w:val="0"/>
              <w:marBottom w:val="0"/>
              <w:divBdr>
                <w:top w:val="none" w:sz="0" w:space="0" w:color="auto"/>
                <w:left w:val="none" w:sz="0" w:space="0" w:color="auto"/>
                <w:bottom w:val="none" w:sz="0" w:space="0" w:color="auto"/>
                <w:right w:val="none" w:sz="0" w:space="0" w:color="auto"/>
              </w:divBdr>
              <w:divsChild>
                <w:div w:id="12854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21447">
          <w:marLeft w:val="0"/>
          <w:marRight w:val="0"/>
          <w:marTop w:val="100"/>
          <w:marBottom w:val="0"/>
          <w:divBdr>
            <w:top w:val="none" w:sz="0" w:space="0" w:color="auto"/>
            <w:left w:val="none" w:sz="0" w:space="0" w:color="auto"/>
            <w:bottom w:val="none" w:sz="0" w:space="0" w:color="auto"/>
            <w:right w:val="none" w:sz="0" w:space="0" w:color="auto"/>
          </w:divBdr>
          <w:divsChild>
            <w:div w:id="276569826">
              <w:marLeft w:val="0"/>
              <w:marRight w:val="0"/>
              <w:marTop w:val="0"/>
              <w:marBottom w:val="0"/>
              <w:divBdr>
                <w:top w:val="none" w:sz="0" w:space="0" w:color="auto"/>
                <w:left w:val="none" w:sz="0" w:space="0" w:color="auto"/>
                <w:bottom w:val="none" w:sz="0" w:space="0" w:color="auto"/>
                <w:right w:val="none" w:sz="0" w:space="0" w:color="auto"/>
              </w:divBdr>
              <w:divsChild>
                <w:div w:id="738746625">
                  <w:marLeft w:val="0"/>
                  <w:marRight w:val="0"/>
                  <w:marTop w:val="0"/>
                  <w:marBottom w:val="0"/>
                  <w:divBdr>
                    <w:top w:val="none" w:sz="0" w:space="0" w:color="auto"/>
                    <w:left w:val="none" w:sz="0" w:space="0" w:color="auto"/>
                    <w:bottom w:val="none" w:sz="0" w:space="0" w:color="auto"/>
                    <w:right w:val="none" w:sz="0" w:space="0" w:color="auto"/>
                  </w:divBdr>
                  <w:divsChild>
                    <w:div w:id="1741295738">
                      <w:marLeft w:val="0"/>
                      <w:marRight w:val="0"/>
                      <w:marTop w:val="0"/>
                      <w:marBottom w:val="0"/>
                      <w:divBdr>
                        <w:top w:val="none" w:sz="0" w:space="0" w:color="auto"/>
                        <w:left w:val="none" w:sz="0" w:space="0" w:color="auto"/>
                        <w:bottom w:val="none" w:sz="0" w:space="0" w:color="auto"/>
                        <w:right w:val="none" w:sz="0" w:space="0" w:color="auto"/>
                      </w:divBdr>
                      <w:divsChild>
                        <w:div w:id="1692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830733">
          <w:marLeft w:val="0"/>
          <w:marRight w:val="0"/>
          <w:marTop w:val="0"/>
          <w:marBottom w:val="0"/>
          <w:divBdr>
            <w:top w:val="none" w:sz="0" w:space="0" w:color="auto"/>
            <w:left w:val="none" w:sz="0" w:space="0" w:color="auto"/>
            <w:bottom w:val="none" w:sz="0" w:space="0" w:color="auto"/>
            <w:right w:val="none" w:sz="0" w:space="0" w:color="auto"/>
          </w:divBdr>
          <w:divsChild>
            <w:div w:id="894660910">
              <w:marLeft w:val="0"/>
              <w:marRight w:val="0"/>
              <w:marTop w:val="0"/>
              <w:marBottom w:val="0"/>
              <w:divBdr>
                <w:top w:val="none" w:sz="0" w:space="0" w:color="auto"/>
                <w:left w:val="none" w:sz="0" w:space="0" w:color="auto"/>
                <w:bottom w:val="none" w:sz="0" w:space="0" w:color="auto"/>
                <w:right w:val="none" w:sz="0" w:space="0" w:color="auto"/>
              </w:divBdr>
              <w:divsChild>
                <w:div w:id="1134326720">
                  <w:marLeft w:val="0"/>
                  <w:marRight w:val="0"/>
                  <w:marTop w:val="0"/>
                  <w:marBottom w:val="0"/>
                  <w:divBdr>
                    <w:top w:val="none" w:sz="0" w:space="0" w:color="auto"/>
                    <w:left w:val="none" w:sz="0" w:space="0" w:color="auto"/>
                    <w:bottom w:val="none" w:sz="0" w:space="0" w:color="auto"/>
                    <w:right w:val="none" w:sz="0" w:space="0" w:color="auto"/>
                  </w:divBdr>
                  <w:divsChild>
                    <w:div w:id="17126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70193">
      <w:bodyDiv w:val="1"/>
      <w:marLeft w:val="0"/>
      <w:marRight w:val="0"/>
      <w:marTop w:val="0"/>
      <w:marBottom w:val="0"/>
      <w:divBdr>
        <w:top w:val="none" w:sz="0" w:space="0" w:color="auto"/>
        <w:left w:val="none" w:sz="0" w:space="0" w:color="auto"/>
        <w:bottom w:val="none" w:sz="0" w:space="0" w:color="auto"/>
        <w:right w:val="none" w:sz="0" w:space="0" w:color="auto"/>
      </w:divBdr>
    </w:div>
    <w:div w:id="1492453512">
      <w:bodyDiv w:val="1"/>
      <w:marLeft w:val="0"/>
      <w:marRight w:val="0"/>
      <w:marTop w:val="0"/>
      <w:marBottom w:val="0"/>
      <w:divBdr>
        <w:top w:val="none" w:sz="0" w:space="0" w:color="auto"/>
        <w:left w:val="none" w:sz="0" w:space="0" w:color="auto"/>
        <w:bottom w:val="none" w:sz="0" w:space="0" w:color="auto"/>
        <w:right w:val="none" w:sz="0" w:space="0" w:color="auto"/>
      </w:divBdr>
    </w:div>
    <w:div w:id="1495760279">
      <w:bodyDiv w:val="1"/>
      <w:marLeft w:val="0"/>
      <w:marRight w:val="0"/>
      <w:marTop w:val="0"/>
      <w:marBottom w:val="0"/>
      <w:divBdr>
        <w:top w:val="none" w:sz="0" w:space="0" w:color="auto"/>
        <w:left w:val="none" w:sz="0" w:space="0" w:color="auto"/>
        <w:bottom w:val="none" w:sz="0" w:space="0" w:color="auto"/>
        <w:right w:val="none" w:sz="0" w:space="0" w:color="auto"/>
      </w:divBdr>
    </w:div>
    <w:div w:id="1530407791">
      <w:bodyDiv w:val="1"/>
      <w:marLeft w:val="0"/>
      <w:marRight w:val="0"/>
      <w:marTop w:val="0"/>
      <w:marBottom w:val="0"/>
      <w:divBdr>
        <w:top w:val="none" w:sz="0" w:space="0" w:color="auto"/>
        <w:left w:val="none" w:sz="0" w:space="0" w:color="auto"/>
        <w:bottom w:val="none" w:sz="0" w:space="0" w:color="auto"/>
        <w:right w:val="none" w:sz="0" w:space="0" w:color="auto"/>
      </w:divBdr>
    </w:div>
    <w:div w:id="1559780393">
      <w:bodyDiv w:val="1"/>
      <w:marLeft w:val="0"/>
      <w:marRight w:val="0"/>
      <w:marTop w:val="0"/>
      <w:marBottom w:val="0"/>
      <w:divBdr>
        <w:top w:val="none" w:sz="0" w:space="0" w:color="auto"/>
        <w:left w:val="none" w:sz="0" w:space="0" w:color="auto"/>
        <w:bottom w:val="none" w:sz="0" w:space="0" w:color="auto"/>
        <w:right w:val="none" w:sz="0" w:space="0" w:color="auto"/>
      </w:divBdr>
    </w:div>
    <w:div w:id="1567063699">
      <w:bodyDiv w:val="1"/>
      <w:marLeft w:val="0"/>
      <w:marRight w:val="0"/>
      <w:marTop w:val="0"/>
      <w:marBottom w:val="0"/>
      <w:divBdr>
        <w:top w:val="none" w:sz="0" w:space="0" w:color="auto"/>
        <w:left w:val="none" w:sz="0" w:space="0" w:color="auto"/>
        <w:bottom w:val="none" w:sz="0" w:space="0" w:color="auto"/>
        <w:right w:val="none" w:sz="0" w:space="0" w:color="auto"/>
      </w:divBdr>
    </w:div>
    <w:div w:id="1575117953">
      <w:bodyDiv w:val="1"/>
      <w:marLeft w:val="0"/>
      <w:marRight w:val="0"/>
      <w:marTop w:val="0"/>
      <w:marBottom w:val="0"/>
      <w:divBdr>
        <w:top w:val="none" w:sz="0" w:space="0" w:color="auto"/>
        <w:left w:val="none" w:sz="0" w:space="0" w:color="auto"/>
        <w:bottom w:val="none" w:sz="0" w:space="0" w:color="auto"/>
        <w:right w:val="none" w:sz="0" w:space="0" w:color="auto"/>
      </w:divBdr>
    </w:div>
    <w:div w:id="1606500332">
      <w:bodyDiv w:val="1"/>
      <w:marLeft w:val="0"/>
      <w:marRight w:val="0"/>
      <w:marTop w:val="0"/>
      <w:marBottom w:val="0"/>
      <w:divBdr>
        <w:top w:val="none" w:sz="0" w:space="0" w:color="auto"/>
        <w:left w:val="none" w:sz="0" w:space="0" w:color="auto"/>
        <w:bottom w:val="none" w:sz="0" w:space="0" w:color="auto"/>
        <w:right w:val="none" w:sz="0" w:space="0" w:color="auto"/>
      </w:divBdr>
    </w:div>
    <w:div w:id="1616407594">
      <w:bodyDiv w:val="1"/>
      <w:marLeft w:val="0"/>
      <w:marRight w:val="0"/>
      <w:marTop w:val="0"/>
      <w:marBottom w:val="0"/>
      <w:divBdr>
        <w:top w:val="none" w:sz="0" w:space="0" w:color="auto"/>
        <w:left w:val="none" w:sz="0" w:space="0" w:color="auto"/>
        <w:bottom w:val="none" w:sz="0" w:space="0" w:color="auto"/>
        <w:right w:val="none" w:sz="0" w:space="0" w:color="auto"/>
      </w:divBdr>
    </w:div>
    <w:div w:id="1624070331">
      <w:bodyDiv w:val="1"/>
      <w:marLeft w:val="0"/>
      <w:marRight w:val="0"/>
      <w:marTop w:val="0"/>
      <w:marBottom w:val="0"/>
      <w:divBdr>
        <w:top w:val="none" w:sz="0" w:space="0" w:color="auto"/>
        <w:left w:val="none" w:sz="0" w:space="0" w:color="auto"/>
        <w:bottom w:val="none" w:sz="0" w:space="0" w:color="auto"/>
        <w:right w:val="none" w:sz="0" w:space="0" w:color="auto"/>
      </w:divBdr>
    </w:div>
    <w:div w:id="1624312488">
      <w:bodyDiv w:val="1"/>
      <w:marLeft w:val="0"/>
      <w:marRight w:val="0"/>
      <w:marTop w:val="0"/>
      <w:marBottom w:val="0"/>
      <w:divBdr>
        <w:top w:val="none" w:sz="0" w:space="0" w:color="auto"/>
        <w:left w:val="none" w:sz="0" w:space="0" w:color="auto"/>
        <w:bottom w:val="none" w:sz="0" w:space="0" w:color="auto"/>
        <w:right w:val="none" w:sz="0" w:space="0" w:color="auto"/>
      </w:divBdr>
    </w:div>
    <w:div w:id="1641956591">
      <w:bodyDiv w:val="1"/>
      <w:marLeft w:val="0"/>
      <w:marRight w:val="0"/>
      <w:marTop w:val="0"/>
      <w:marBottom w:val="0"/>
      <w:divBdr>
        <w:top w:val="none" w:sz="0" w:space="0" w:color="auto"/>
        <w:left w:val="none" w:sz="0" w:space="0" w:color="auto"/>
        <w:bottom w:val="none" w:sz="0" w:space="0" w:color="auto"/>
        <w:right w:val="none" w:sz="0" w:space="0" w:color="auto"/>
      </w:divBdr>
    </w:div>
    <w:div w:id="1672491552">
      <w:bodyDiv w:val="1"/>
      <w:marLeft w:val="0"/>
      <w:marRight w:val="0"/>
      <w:marTop w:val="0"/>
      <w:marBottom w:val="0"/>
      <w:divBdr>
        <w:top w:val="none" w:sz="0" w:space="0" w:color="auto"/>
        <w:left w:val="none" w:sz="0" w:space="0" w:color="auto"/>
        <w:bottom w:val="none" w:sz="0" w:space="0" w:color="auto"/>
        <w:right w:val="none" w:sz="0" w:space="0" w:color="auto"/>
      </w:divBdr>
    </w:div>
    <w:div w:id="1692947221">
      <w:bodyDiv w:val="1"/>
      <w:marLeft w:val="0"/>
      <w:marRight w:val="0"/>
      <w:marTop w:val="0"/>
      <w:marBottom w:val="0"/>
      <w:divBdr>
        <w:top w:val="none" w:sz="0" w:space="0" w:color="auto"/>
        <w:left w:val="none" w:sz="0" w:space="0" w:color="auto"/>
        <w:bottom w:val="none" w:sz="0" w:space="0" w:color="auto"/>
        <w:right w:val="none" w:sz="0" w:space="0" w:color="auto"/>
      </w:divBdr>
    </w:div>
    <w:div w:id="1696735097">
      <w:bodyDiv w:val="1"/>
      <w:marLeft w:val="0"/>
      <w:marRight w:val="0"/>
      <w:marTop w:val="0"/>
      <w:marBottom w:val="0"/>
      <w:divBdr>
        <w:top w:val="none" w:sz="0" w:space="0" w:color="auto"/>
        <w:left w:val="none" w:sz="0" w:space="0" w:color="auto"/>
        <w:bottom w:val="none" w:sz="0" w:space="0" w:color="auto"/>
        <w:right w:val="none" w:sz="0" w:space="0" w:color="auto"/>
      </w:divBdr>
      <w:divsChild>
        <w:div w:id="1214543596">
          <w:marLeft w:val="274"/>
          <w:marRight w:val="0"/>
          <w:marTop w:val="0"/>
          <w:marBottom w:val="0"/>
          <w:divBdr>
            <w:top w:val="none" w:sz="0" w:space="0" w:color="auto"/>
            <w:left w:val="none" w:sz="0" w:space="0" w:color="auto"/>
            <w:bottom w:val="none" w:sz="0" w:space="0" w:color="auto"/>
            <w:right w:val="none" w:sz="0" w:space="0" w:color="auto"/>
          </w:divBdr>
        </w:div>
      </w:divsChild>
    </w:div>
    <w:div w:id="1706977998">
      <w:bodyDiv w:val="1"/>
      <w:marLeft w:val="0"/>
      <w:marRight w:val="0"/>
      <w:marTop w:val="0"/>
      <w:marBottom w:val="0"/>
      <w:divBdr>
        <w:top w:val="none" w:sz="0" w:space="0" w:color="auto"/>
        <w:left w:val="none" w:sz="0" w:space="0" w:color="auto"/>
        <w:bottom w:val="none" w:sz="0" w:space="0" w:color="auto"/>
        <w:right w:val="none" w:sz="0" w:space="0" w:color="auto"/>
      </w:divBdr>
    </w:div>
    <w:div w:id="1715077698">
      <w:bodyDiv w:val="1"/>
      <w:marLeft w:val="0"/>
      <w:marRight w:val="0"/>
      <w:marTop w:val="0"/>
      <w:marBottom w:val="0"/>
      <w:divBdr>
        <w:top w:val="none" w:sz="0" w:space="0" w:color="auto"/>
        <w:left w:val="none" w:sz="0" w:space="0" w:color="auto"/>
        <w:bottom w:val="none" w:sz="0" w:space="0" w:color="auto"/>
        <w:right w:val="none" w:sz="0" w:space="0" w:color="auto"/>
      </w:divBdr>
    </w:div>
    <w:div w:id="1720084852">
      <w:bodyDiv w:val="1"/>
      <w:marLeft w:val="0"/>
      <w:marRight w:val="0"/>
      <w:marTop w:val="0"/>
      <w:marBottom w:val="0"/>
      <w:divBdr>
        <w:top w:val="none" w:sz="0" w:space="0" w:color="auto"/>
        <w:left w:val="none" w:sz="0" w:space="0" w:color="auto"/>
        <w:bottom w:val="none" w:sz="0" w:space="0" w:color="auto"/>
        <w:right w:val="none" w:sz="0" w:space="0" w:color="auto"/>
      </w:divBdr>
    </w:div>
    <w:div w:id="1720277391">
      <w:bodyDiv w:val="1"/>
      <w:marLeft w:val="0"/>
      <w:marRight w:val="0"/>
      <w:marTop w:val="0"/>
      <w:marBottom w:val="0"/>
      <w:divBdr>
        <w:top w:val="none" w:sz="0" w:space="0" w:color="auto"/>
        <w:left w:val="none" w:sz="0" w:space="0" w:color="auto"/>
        <w:bottom w:val="none" w:sz="0" w:space="0" w:color="auto"/>
        <w:right w:val="none" w:sz="0" w:space="0" w:color="auto"/>
      </w:divBdr>
    </w:div>
    <w:div w:id="1720788076">
      <w:bodyDiv w:val="1"/>
      <w:marLeft w:val="0"/>
      <w:marRight w:val="0"/>
      <w:marTop w:val="0"/>
      <w:marBottom w:val="0"/>
      <w:divBdr>
        <w:top w:val="none" w:sz="0" w:space="0" w:color="auto"/>
        <w:left w:val="none" w:sz="0" w:space="0" w:color="auto"/>
        <w:bottom w:val="none" w:sz="0" w:space="0" w:color="auto"/>
        <w:right w:val="none" w:sz="0" w:space="0" w:color="auto"/>
      </w:divBdr>
    </w:div>
    <w:div w:id="1721438970">
      <w:bodyDiv w:val="1"/>
      <w:marLeft w:val="0"/>
      <w:marRight w:val="0"/>
      <w:marTop w:val="0"/>
      <w:marBottom w:val="0"/>
      <w:divBdr>
        <w:top w:val="none" w:sz="0" w:space="0" w:color="auto"/>
        <w:left w:val="none" w:sz="0" w:space="0" w:color="auto"/>
        <w:bottom w:val="none" w:sz="0" w:space="0" w:color="auto"/>
        <w:right w:val="none" w:sz="0" w:space="0" w:color="auto"/>
      </w:divBdr>
    </w:div>
    <w:div w:id="1729842191">
      <w:bodyDiv w:val="1"/>
      <w:marLeft w:val="0"/>
      <w:marRight w:val="0"/>
      <w:marTop w:val="0"/>
      <w:marBottom w:val="0"/>
      <w:divBdr>
        <w:top w:val="none" w:sz="0" w:space="0" w:color="auto"/>
        <w:left w:val="none" w:sz="0" w:space="0" w:color="auto"/>
        <w:bottom w:val="none" w:sz="0" w:space="0" w:color="auto"/>
        <w:right w:val="none" w:sz="0" w:space="0" w:color="auto"/>
      </w:divBdr>
    </w:div>
    <w:div w:id="1736925364">
      <w:bodyDiv w:val="1"/>
      <w:marLeft w:val="0"/>
      <w:marRight w:val="0"/>
      <w:marTop w:val="0"/>
      <w:marBottom w:val="0"/>
      <w:divBdr>
        <w:top w:val="none" w:sz="0" w:space="0" w:color="auto"/>
        <w:left w:val="none" w:sz="0" w:space="0" w:color="auto"/>
        <w:bottom w:val="none" w:sz="0" w:space="0" w:color="auto"/>
        <w:right w:val="none" w:sz="0" w:space="0" w:color="auto"/>
      </w:divBdr>
    </w:div>
    <w:div w:id="1759403767">
      <w:bodyDiv w:val="1"/>
      <w:marLeft w:val="0"/>
      <w:marRight w:val="0"/>
      <w:marTop w:val="0"/>
      <w:marBottom w:val="0"/>
      <w:divBdr>
        <w:top w:val="none" w:sz="0" w:space="0" w:color="auto"/>
        <w:left w:val="none" w:sz="0" w:space="0" w:color="auto"/>
        <w:bottom w:val="none" w:sz="0" w:space="0" w:color="auto"/>
        <w:right w:val="none" w:sz="0" w:space="0" w:color="auto"/>
      </w:divBdr>
    </w:div>
    <w:div w:id="1762526254">
      <w:bodyDiv w:val="1"/>
      <w:marLeft w:val="0"/>
      <w:marRight w:val="0"/>
      <w:marTop w:val="0"/>
      <w:marBottom w:val="0"/>
      <w:divBdr>
        <w:top w:val="none" w:sz="0" w:space="0" w:color="auto"/>
        <w:left w:val="none" w:sz="0" w:space="0" w:color="auto"/>
        <w:bottom w:val="none" w:sz="0" w:space="0" w:color="auto"/>
        <w:right w:val="none" w:sz="0" w:space="0" w:color="auto"/>
      </w:divBdr>
    </w:div>
    <w:div w:id="1768649403">
      <w:bodyDiv w:val="1"/>
      <w:marLeft w:val="0"/>
      <w:marRight w:val="0"/>
      <w:marTop w:val="0"/>
      <w:marBottom w:val="0"/>
      <w:divBdr>
        <w:top w:val="none" w:sz="0" w:space="0" w:color="auto"/>
        <w:left w:val="none" w:sz="0" w:space="0" w:color="auto"/>
        <w:bottom w:val="none" w:sz="0" w:space="0" w:color="auto"/>
        <w:right w:val="none" w:sz="0" w:space="0" w:color="auto"/>
      </w:divBdr>
    </w:div>
    <w:div w:id="1781413528">
      <w:bodyDiv w:val="1"/>
      <w:marLeft w:val="0"/>
      <w:marRight w:val="0"/>
      <w:marTop w:val="0"/>
      <w:marBottom w:val="0"/>
      <w:divBdr>
        <w:top w:val="none" w:sz="0" w:space="0" w:color="auto"/>
        <w:left w:val="none" w:sz="0" w:space="0" w:color="auto"/>
        <w:bottom w:val="none" w:sz="0" w:space="0" w:color="auto"/>
        <w:right w:val="none" w:sz="0" w:space="0" w:color="auto"/>
      </w:divBdr>
    </w:div>
    <w:div w:id="1795362163">
      <w:bodyDiv w:val="1"/>
      <w:marLeft w:val="0"/>
      <w:marRight w:val="0"/>
      <w:marTop w:val="0"/>
      <w:marBottom w:val="0"/>
      <w:divBdr>
        <w:top w:val="none" w:sz="0" w:space="0" w:color="auto"/>
        <w:left w:val="none" w:sz="0" w:space="0" w:color="auto"/>
        <w:bottom w:val="none" w:sz="0" w:space="0" w:color="auto"/>
        <w:right w:val="none" w:sz="0" w:space="0" w:color="auto"/>
      </w:divBdr>
    </w:div>
    <w:div w:id="1795903723">
      <w:bodyDiv w:val="1"/>
      <w:marLeft w:val="0"/>
      <w:marRight w:val="0"/>
      <w:marTop w:val="0"/>
      <w:marBottom w:val="0"/>
      <w:divBdr>
        <w:top w:val="none" w:sz="0" w:space="0" w:color="auto"/>
        <w:left w:val="none" w:sz="0" w:space="0" w:color="auto"/>
        <w:bottom w:val="none" w:sz="0" w:space="0" w:color="auto"/>
        <w:right w:val="none" w:sz="0" w:space="0" w:color="auto"/>
      </w:divBdr>
    </w:div>
    <w:div w:id="1804930382">
      <w:bodyDiv w:val="1"/>
      <w:marLeft w:val="0"/>
      <w:marRight w:val="0"/>
      <w:marTop w:val="0"/>
      <w:marBottom w:val="0"/>
      <w:divBdr>
        <w:top w:val="none" w:sz="0" w:space="0" w:color="auto"/>
        <w:left w:val="none" w:sz="0" w:space="0" w:color="auto"/>
        <w:bottom w:val="none" w:sz="0" w:space="0" w:color="auto"/>
        <w:right w:val="none" w:sz="0" w:space="0" w:color="auto"/>
      </w:divBdr>
    </w:div>
    <w:div w:id="1806658654">
      <w:bodyDiv w:val="1"/>
      <w:marLeft w:val="0"/>
      <w:marRight w:val="0"/>
      <w:marTop w:val="0"/>
      <w:marBottom w:val="0"/>
      <w:divBdr>
        <w:top w:val="none" w:sz="0" w:space="0" w:color="auto"/>
        <w:left w:val="none" w:sz="0" w:space="0" w:color="auto"/>
        <w:bottom w:val="none" w:sz="0" w:space="0" w:color="auto"/>
        <w:right w:val="none" w:sz="0" w:space="0" w:color="auto"/>
      </w:divBdr>
    </w:div>
    <w:div w:id="1809123448">
      <w:bodyDiv w:val="1"/>
      <w:marLeft w:val="0"/>
      <w:marRight w:val="0"/>
      <w:marTop w:val="0"/>
      <w:marBottom w:val="0"/>
      <w:divBdr>
        <w:top w:val="none" w:sz="0" w:space="0" w:color="auto"/>
        <w:left w:val="none" w:sz="0" w:space="0" w:color="auto"/>
        <w:bottom w:val="none" w:sz="0" w:space="0" w:color="auto"/>
        <w:right w:val="none" w:sz="0" w:space="0" w:color="auto"/>
      </w:divBdr>
    </w:div>
    <w:div w:id="1810784596">
      <w:bodyDiv w:val="1"/>
      <w:marLeft w:val="0"/>
      <w:marRight w:val="0"/>
      <w:marTop w:val="0"/>
      <w:marBottom w:val="0"/>
      <w:divBdr>
        <w:top w:val="none" w:sz="0" w:space="0" w:color="auto"/>
        <w:left w:val="none" w:sz="0" w:space="0" w:color="auto"/>
        <w:bottom w:val="none" w:sz="0" w:space="0" w:color="auto"/>
        <w:right w:val="none" w:sz="0" w:space="0" w:color="auto"/>
      </w:divBdr>
    </w:div>
    <w:div w:id="1816607965">
      <w:bodyDiv w:val="1"/>
      <w:marLeft w:val="0"/>
      <w:marRight w:val="0"/>
      <w:marTop w:val="0"/>
      <w:marBottom w:val="0"/>
      <w:divBdr>
        <w:top w:val="none" w:sz="0" w:space="0" w:color="auto"/>
        <w:left w:val="none" w:sz="0" w:space="0" w:color="auto"/>
        <w:bottom w:val="none" w:sz="0" w:space="0" w:color="auto"/>
        <w:right w:val="none" w:sz="0" w:space="0" w:color="auto"/>
      </w:divBdr>
    </w:div>
    <w:div w:id="1824422149">
      <w:bodyDiv w:val="1"/>
      <w:marLeft w:val="0"/>
      <w:marRight w:val="0"/>
      <w:marTop w:val="0"/>
      <w:marBottom w:val="0"/>
      <w:divBdr>
        <w:top w:val="none" w:sz="0" w:space="0" w:color="auto"/>
        <w:left w:val="none" w:sz="0" w:space="0" w:color="auto"/>
        <w:bottom w:val="none" w:sz="0" w:space="0" w:color="auto"/>
        <w:right w:val="none" w:sz="0" w:space="0" w:color="auto"/>
      </w:divBdr>
    </w:div>
    <w:div w:id="1841311154">
      <w:bodyDiv w:val="1"/>
      <w:marLeft w:val="0"/>
      <w:marRight w:val="0"/>
      <w:marTop w:val="0"/>
      <w:marBottom w:val="0"/>
      <w:divBdr>
        <w:top w:val="none" w:sz="0" w:space="0" w:color="auto"/>
        <w:left w:val="none" w:sz="0" w:space="0" w:color="auto"/>
        <w:bottom w:val="none" w:sz="0" w:space="0" w:color="auto"/>
        <w:right w:val="none" w:sz="0" w:space="0" w:color="auto"/>
      </w:divBdr>
    </w:div>
    <w:div w:id="1864703194">
      <w:bodyDiv w:val="1"/>
      <w:marLeft w:val="0"/>
      <w:marRight w:val="0"/>
      <w:marTop w:val="0"/>
      <w:marBottom w:val="0"/>
      <w:divBdr>
        <w:top w:val="none" w:sz="0" w:space="0" w:color="auto"/>
        <w:left w:val="none" w:sz="0" w:space="0" w:color="auto"/>
        <w:bottom w:val="none" w:sz="0" w:space="0" w:color="auto"/>
        <w:right w:val="none" w:sz="0" w:space="0" w:color="auto"/>
      </w:divBdr>
    </w:div>
    <w:div w:id="1898933526">
      <w:bodyDiv w:val="1"/>
      <w:marLeft w:val="0"/>
      <w:marRight w:val="0"/>
      <w:marTop w:val="0"/>
      <w:marBottom w:val="0"/>
      <w:divBdr>
        <w:top w:val="none" w:sz="0" w:space="0" w:color="auto"/>
        <w:left w:val="none" w:sz="0" w:space="0" w:color="auto"/>
        <w:bottom w:val="none" w:sz="0" w:space="0" w:color="auto"/>
        <w:right w:val="none" w:sz="0" w:space="0" w:color="auto"/>
      </w:divBdr>
    </w:div>
    <w:div w:id="1935935177">
      <w:bodyDiv w:val="1"/>
      <w:marLeft w:val="0"/>
      <w:marRight w:val="0"/>
      <w:marTop w:val="0"/>
      <w:marBottom w:val="0"/>
      <w:divBdr>
        <w:top w:val="none" w:sz="0" w:space="0" w:color="auto"/>
        <w:left w:val="none" w:sz="0" w:space="0" w:color="auto"/>
        <w:bottom w:val="none" w:sz="0" w:space="0" w:color="auto"/>
        <w:right w:val="none" w:sz="0" w:space="0" w:color="auto"/>
      </w:divBdr>
    </w:div>
    <w:div w:id="1946495516">
      <w:bodyDiv w:val="1"/>
      <w:marLeft w:val="0"/>
      <w:marRight w:val="0"/>
      <w:marTop w:val="0"/>
      <w:marBottom w:val="0"/>
      <w:divBdr>
        <w:top w:val="none" w:sz="0" w:space="0" w:color="auto"/>
        <w:left w:val="none" w:sz="0" w:space="0" w:color="auto"/>
        <w:bottom w:val="none" w:sz="0" w:space="0" w:color="auto"/>
        <w:right w:val="none" w:sz="0" w:space="0" w:color="auto"/>
      </w:divBdr>
    </w:div>
    <w:div w:id="1972706902">
      <w:bodyDiv w:val="1"/>
      <w:marLeft w:val="0"/>
      <w:marRight w:val="0"/>
      <w:marTop w:val="0"/>
      <w:marBottom w:val="0"/>
      <w:divBdr>
        <w:top w:val="none" w:sz="0" w:space="0" w:color="auto"/>
        <w:left w:val="none" w:sz="0" w:space="0" w:color="auto"/>
        <w:bottom w:val="none" w:sz="0" w:space="0" w:color="auto"/>
        <w:right w:val="none" w:sz="0" w:space="0" w:color="auto"/>
      </w:divBdr>
    </w:div>
    <w:div w:id="1974603585">
      <w:bodyDiv w:val="1"/>
      <w:marLeft w:val="0"/>
      <w:marRight w:val="0"/>
      <w:marTop w:val="0"/>
      <w:marBottom w:val="0"/>
      <w:divBdr>
        <w:top w:val="none" w:sz="0" w:space="0" w:color="auto"/>
        <w:left w:val="none" w:sz="0" w:space="0" w:color="auto"/>
        <w:bottom w:val="none" w:sz="0" w:space="0" w:color="auto"/>
        <w:right w:val="none" w:sz="0" w:space="0" w:color="auto"/>
      </w:divBdr>
    </w:div>
    <w:div w:id="1991210415">
      <w:bodyDiv w:val="1"/>
      <w:marLeft w:val="0"/>
      <w:marRight w:val="0"/>
      <w:marTop w:val="0"/>
      <w:marBottom w:val="0"/>
      <w:divBdr>
        <w:top w:val="none" w:sz="0" w:space="0" w:color="auto"/>
        <w:left w:val="none" w:sz="0" w:space="0" w:color="auto"/>
        <w:bottom w:val="none" w:sz="0" w:space="0" w:color="auto"/>
        <w:right w:val="none" w:sz="0" w:space="0" w:color="auto"/>
      </w:divBdr>
    </w:div>
    <w:div w:id="1997343278">
      <w:bodyDiv w:val="1"/>
      <w:marLeft w:val="0"/>
      <w:marRight w:val="0"/>
      <w:marTop w:val="0"/>
      <w:marBottom w:val="0"/>
      <w:divBdr>
        <w:top w:val="none" w:sz="0" w:space="0" w:color="auto"/>
        <w:left w:val="none" w:sz="0" w:space="0" w:color="auto"/>
        <w:bottom w:val="none" w:sz="0" w:space="0" w:color="auto"/>
        <w:right w:val="none" w:sz="0" w:space="0" w:color="auto"/>
      </w:divBdr>
    </w:div>
    <w:div w:id="2000424353">
      <w:bodyDiv w:val="1"/>
      <w:marLeft w:val="0"/>
      <w:marRight w:val="0"/>
      <w:marTop w:val="0"/>
      <w:marBottom w:val="0"/>
      <w:divBdr>
        <w:top w:val="none" w:sz="0" w:space="0" w:color="auto"/>
        <w:left w:val="none" w:sz="0" w:space="0" w:color="auto"/>
        <w:bottom w:val="none" w:sz="0" w:space="0" w:color="auto"/>
        <w:right w:val="none" w:sz="0" w:space="0" w:color="auto"/>
      </w:divBdr>
    </w:div>
    <w:div w:id="2006470934">
      <w:bodyDiv w:val="1"/>
      <w:marLeft w:val="0"/>
      <w:marRight w:val="0"/>
      <w:marTop w:val="0"/>
      <w:marBottom w:val="0"/>
      <w:divBdr>
        <w:top w:val="none" w:sz="0" w:space="0" w:color="auto"/>
        <w:left w:val="none" w:sz="0" w:space="0" w:color="auto"/>
        <w:bottom w:val="none" w:sz="0" w:space="0" w:color="auto"/>
        <w:right w:val="none" w:sz="0" w:space="0" w:color="auto"/>
      </w:divBdr>
    </w:div>
    <w:div w:id="2021737426">
      <w:bodyDiv w:val="1"/>
      <w:marLeft w:val="0"/>
      <w:marRight w:val="0"/>
      <w:marTop w:val="0"/>
      <w:marBottom w:val="0"/>
      <w:divBdr>
        <w:top w:val="none" w:sz="0" w:space="0" w:color="auto"/>
        <w:left w:val="none" w:sz="0" w:space="0" w:color="auto"/>
        <w:bottom w:val="none" w:sz="0" w:space="0" w:color="auto"/>
        <w:right w:val="none" w:sz="0" w:space="0" w:color="auto"/>
      </w:divBdr>
    </w:div>
    <w:div w:id="2024478463">
      <w:bodyDiv w:val="1"/>
      <w:marLeft w:val="0"/>
      <w:marRight w:val="0"/>
      <w:marTop w:val="0"/>
      <w:marBottom w:val="0"/>
      <w:divBdr>
        <w:top w:val="none" w:sz="0" w:space="0" w:color="auto"/>
        <w:left w:val="none" w:sz="0" w:space="0" w:color="auto"/>
        <w:bottom w:val="none" w:sz="0" w:space="0" w:color="auto"/>
        <w:right w:val="none" w:sz="0" w:space="0" w:color="auto"/>
      </w:divBdr>
    </w:div>
    <w:div w:id="2054772665">
      <w:bodyDiv w:val="1"/>
      <w:marLeft w:val="0"/>
      <w:marRight w:val="0"/>
      <w:marTop w:val="0"/>
      <w:marBottom w:val="0"/>
      <w:divBdr>
        <w:top w:val="none" w:sz="0" w:space="0" w:color="auto"/>
        <w:left w:val="none" w:sz="0" w:space="0" w:color="auto"/>
        <w:bottom w:val="none" w:sz="0" w:space="0" w:color="auto"/>
        <w:right w:val="none" w:sz="0" w:space="0" w:color="auto"/>
      </w:divBdr>
    </w:div>
    <w:div w:id="2071491350">
      <w:bodyDiv w:val="1"/>
      <w:marLeft w:val="0"/>
      <w:marRight w:val="0"/>
      <w:marTop w:val="0"/>
      <w:marBottom w:val="0"/>
      <w:divBdr>
        <w:top w:val="none" w:sz="0" w:space="0" w:color="auto"/>
        <w:left w:val="none" w:sz="0" w:space="0" w:color="auto"/>
        <w:bottom w:val="none" w:sz="0" w:space="0" w:color="auto"/>
        <w:right w:val="none" w:sz="0" w:space="0" w:color="auto"/>
      </w:divBdr>
    </w:div>
    <w:div w:id="2076733109">
      <w:bodyDiv w:val="1"/>
      <w:marLeft w:val="0"/>
      <w:marRight w:val="0"/>
      <w:marTop w:val="0"/>
      <w:marBottom w:val="0"/>
      <w:divBdr>
        <w:top w:val="none" w:sz="0" w:space="0" w:color="auto"/>
        <w:left w:val="none" w:sz="0" w:space="0" w:color="auto"/>
        <w:bottom w:val="none" w:sz="0" w:space="0" w:color="auto"/>
        <w:right w:val="none" w:sz="0" w:space="0" w:color="auto"/>
      </w:divBdr>
    </w:div>
    <w:div w:id="2091847914">
      <w:bodyDiv w:val="1"/>
      <w:marLeft w:val="0"/>
      <w:marRight w:val="0"/>
      <w:marTop w:val="0"/>
      <w:marBottom w:val="0"/>
      <w:divBdr>
        <w:top w:val="none" w:sz="0" w:space="0" w:color="auto"/>
        <w:left w:val="none" w:sz="0" w:space="0" w:color="auto"/>
        <w:bottom w:val="none" w:sz="0" w:space="0" w:color="auto"/>
        <w:right w:val="none" w:sz="0" w:space="0" w:color="auto"/>
      </w:divBdr>
    </w:div>
    <w:div w:id="2108034680">
      <w:bodyDiv w:val="1"/>
      <w:marLeft w:val="0"/>
      <w:marRight w:val="0"/>
      <w:marTop w:val="0"/>
      <w:marBottom w:val="0"/>
      <w:divBdr>
        <w:top w:val="none" w:sz="0" w:space="0" w:color="auto"/>
        <w:left w:val="none" w:sz="0" w:space="0" w:color="auto"/>
        <w:bottom w:val="none" w:sz="0" w:space="0" w:color="auto"/>
        <w:right w:val="none" w:sz="0" w:space="0" w:color="auto"/>
      </w:divBdr>
    </w:div>
    <w:div w:id="2109083655">
      <w:bodyDiv w:val="1"/>
      <w:marLeft w:val="0"/>
      <w:marRight w:val="0"/>
      <w:marTop w:val="0"/>
      <w:marBottom w:val="0"/>
      <w:divBdr>
        <w:top w:val="none" w:sz="0" w:space="0" w:color="auto"/>
        <w:left w:val="none" w:sz="0" w:space="0" w:color="auto"/>
        <w:bottom w:val="none" w:sz="0" w:space="0" w:color="auto"/>
        <w:right w:val="none" w:sz="0" w:space="0" w:color="auto"/>
      </w:divBdr>
    </w:div>
    <w:div w:id="2123762370">
      <w:bodyDiv w:val="1"/>
      <w:marLeft w:val="0"/>
      <w:marRight w:val="0"/>
      <w:marTop w:val="0"/>
      <w:marBottom w:val="0"/>
      <w:divBdr>
        <w:top w:val="none" w:sz="0" w:space="0" w:color="auto"/>
        <w:left w:val="none" w:sz="0" w:space="0" w:color="auto"/>
        <w:bottom w:val="none" w:sz="0" w:space="0" w:color="auto"/>
        <w:right w:val="none" w:sz="0" w:space="0" w:color="auto"/>
      </w:divBdr>
    </w:div>
    <w:div w:id="21290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ppt/media/image30.svg"/><Relationship Id="rId26" Type="http://schemas.openxmlformats.org/officeDocument/2006/relationships/image" Target="../ppt/media/image26.svg"/><Relationship Id="rId39" Type="http://schemas.openxmlformats.org/officeDocument/2006/relationships/fontTable" Target="fontTable.xml"/><Relationship Id="rId3" Type="http://schemas.openxmlformats.org/officeDocument/2006/relationships/styles" Target="styles.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ppt/media/image24.svg"/><Relationship Id="rId25" Type="http://schemas.openxmlformats.org/officeDocument/2006/relationships/image" Target="media/image6.png"/><Relationship Id="rId33" Type="http://schemas.openxmlformats.org/officeDocument/2006/relationships/image" Target="media/image12.png"/><Relationship Id="rId38"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5.png"/><Relationship Id="rId32" Type="http://schemas.openxmlformats.org/officeDocument/2006/relationships/image" Target="media/image11.pn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ppt/media/image32.svg"/><Relationship Id="rId23" Type="http://schemas.openxmlformats.org/officeDocument/2006/relationships/image" Target="media/image4.png"/><Relationship Id="rId28" Type="http://schemas.openxmlformats.org/officeDocument/2006/relationships/image" Target="../ppt/media/image28.svg"/><Relationship Id="rId36" Type="http://schemas.openxmlformats.org/officeDocument/2006/relationships/header" Target="header2.xml"/><Relationship Id="rId10" Type="http://schemas.openxmlformats.org/officeDocument/2006/relationships/image" Target="../ppt/media/image22.svg"/><Relationship Id="rId31" Type="http://schemas.openxmlformats.org/officeDocument/2006/relationships/image" Target="media/image10.png"/><Relationship Id="rId4"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ppt/media/image10.svg"/><Relationship Id="rId27" Type="http://schemas.openxmlformats.org/officeDocument/2006/relationships/image" Target="media/image7.png"/><Relationship Id="rId30" Type="http://schemas.openxmlformats.org/officeDocument/2006/relationships/image" Target="media/image9.png"/><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ppt/media/image8.svg"/><Relationship Id="rId1" Type="http://schemas.openxmlformats.org/officeDocument/2006/relationships/image" Target="media/image14.png"/></Relationships>
</file>

<file path=word/_rels/footer2.xml.rels><?xml version="1.0" encoding="UTF-8" standalone="yes"?>
<Relationships xmlns="http://schemas.openxmlformats.org/package/2006/relationships"><Relationship Id="rId3" Type="http://schemas.openxmlformats.org/officeDocument/2006/relationships/image" Target="../ppt/media/image80.svg"/><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761A6-8250-4FC0-AFC1-873758A4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11225</Words>
  <Characters>63985</Characters>
  <Application>Microsoft Office Word</Application>
  <DocSecurity>8</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Manager>Christopher.Stockman@uk.daiwacm.com</Manager>
  <Company>Daiwa Capital Markets</Company>
  <LinksUpToDate>false</LinksUpToDate>
  <CharactersWithSpaces>75060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Ricardo.Melgarejo@uk.daiwacm.com</dc:creator>
  <cp:keywords/>
  <dc:description/>
  <cp:lastModifiedBy>Kramer, Uwe</cp:lastModifiedBy>
  <cp:revision>3</cp:revision>
  <cp:lastPrinted>2022-06-01T11:57:00Z</cp:lastPrinted>
  <dcterms:created xsi:type="dcterms:W3CDTF">2022-12-28T15:48:00Z</dcterms:created>
  <dcterms:modified xsi:type="dcterms:W3CDTF">2022-12-28T15:49:00Z</dcterms:modified>
</cp:coreProperties>
</file>